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06"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Washington, D.C. 20549</w:t>
      </w:r>
    </w:p>
    <w:p>
      <w:pPr>
        <w:spacing w:after="0" w:line="103" w:lineRule="exact"/>
        <w:rPr>
          <w:sz w:val="24"/>
          <w:szCs w:val="24"/>
          <w:color w:val="auto"/>
        </w:rPr>
      </w:pPr>
    </w:p>
    <w:p>
      <w:pPr>
        <w:jc w:val="center"/>
        <w:ind w:right="160"/>
        <w:spacing w:after="0"/>
        <w:rPr>
          <w:sz w:val="20"/>
          <w:szCs w:val="20"/>
          <w:color w:val="auto"/>
        </w:rPr>
      </w:pPr>
      <w:r>
        <w:rPr>
          <w:rFonts w:ascii="Arial" w:cs="Arial" w:eastAsia="Arial" w:hAnsi="Arial"/>
          <w:sz w:val="27"/>
          <w:szCs w:val="27"/>
          <w:b w:val="1"/>
          <w:bCs w:val="1"/>
          <w:color w:val="auto"/>
        </w:rPr>
        <w:t>SCHEDULE 14A</w:t>
      </w:r>
    </w:p>
    <w:p>
      <w:pPr>
        <w:spacing w:after="0" w:line="186"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Proxy Statement Pursuant to Section 14(a) of the</w:t>
      </w:r>
    </w:p>
    <w:p>
      <w:pPr>
        <w:spacing w:after="0" w:line="5"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Securities Exchange Act of 1934</w:t>
      </w:r>
    </w:p>
    <w:p>
      <w:pPr>
        <w:spacing w:after="0" w:line="182" w:lineRule="exact"/>
        <w:rPr>
          <w:sz w:val="24"/>
          <w:szCs w:val="24"/>
          <w:color w:val="auto"/>
        </w:rPr>
      </w:pPr>
    </w:p>
    <w:p>
      <w:pPr>
        <w:ind w:left="1620"/>
        <w:spacing w:after="0" w:line="288" w:lineRule="exact"/>
        <w:tabs>
          <w:tab w:leader="none" w:pos="1980" w:val="left"/>
          <w:tab w:leader="none" w:pos="5740" w:val="left"/>
        </w:tabs>
        <w:rPr>
          <w:sz w:val="20"/>
          <w:szCs w:val="20"/>
          <w:color w:val="auto"/>
        </w:rPr>
      </w:pPr>
      <w:r>
        <w:rPr>
          <w:rFonts w:ascii="MS PGothic" w:cs="MS PGothic" w:eastAsia="MS PGothic" w:hAnsi="MS PGothic"/>
          <w:sz w:val="25"/>
          <w:szCs w:val="25"/>
          <w:color w:val="auto"/>
        </w:rPr>
        <w:t>☒</w:t>
      </w:r>
      <w:r>
        <w:rPr>
          <w:rFonts w:ascii="Arial" w:cs="Arial" w:eastAsia="Arial" w:hAnsi="Arial"/>
          <w:sz w:val="17"/>
          <w:szCs w:val="17"/>
          <w:color w:val="auto"/>
        </w:rPr>
        <w:tab/>
        <w:t>Filed by the Registrant</w:t>
      </w:r>
      <w:r>
        <w:rPr>
          <w:sz w:val="20"/>
          <w:szCs w:val="20"/>
          <w:color w:val="auto"/>
        </w:rPr>
        <w:tab/>
      </w:r>
      <w:r>
        <w:rPr>
          <w:rFonts w:ascii="MS PGothic" w:cs="MS PGothic" w:eastAsia="MS PGothic" w:hAnsi="MS PGothic"/>
          <w:sz w:val="25"/>
          <w:szCs w:val="25"/>
          <w:color w:val="auto"/>
        </w:rPr>
        <w:t xml:space="preserve">☐ </w:t>
      </w: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wp:posOffset>
            </wp:positionH>
            <wp:positionV relativeFrom="paragraph">
              <wp:posOffset>201295</wp:posOffset>
            </wp:positionV>
            <wp:extent cx="7254875"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132205"/>
                    </a:xfrm>
                    <a:prstGeom prst="rect">
                      <a:avLst/>
                    </a:prstGeom>
                    <a:noFill/>
                  </pic:spPr>
                </pic:pic>
              </a:graphicData>
            </a:graphic>
          </wp:anchor>
        </w:drawing>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6" w:lineRule="exact"/>
        <w:rPr>
          <w:sz w:val="24"/>
          <w:szCs w:val="24"/>
          <w:color w:val="auto"/>
        </w:rPr>
      </w:pPr>
    </w:p>
    <w:p>
      <w:pPr>
        <w:ind w:left="600" w:hanging="436"/>
        <w:spacing w:after="0"/>
        <w:tabs>
          <w:tab w:leader="none" w:pos="600" w:val="left"/>
        </w:tabs>
        <w:numPr>
          <w:ilvl w:val="0"/>
          <w:numId w:val="1"/>
        </w:numPr>
        <w:rPr>
          <w:rFonts w:ascii="MS PGothic" w:cs="MS PGothic" w:eastAsia="MS PGothic" w:hAnsi="MS PGothic"/>
          <w:sz w:val="25"/>
          <w:szCs w:val="25"/>
          <w:color w:val="auto"/>
        </w:rPr>
      </w:pPr>
      <w:r>
        <w:rPr>
          <w:rFonts w:ascii="Arial" w:cs="Arial" w:eastAsia="Arial" w:hAnsi="Arial"/>
          <w:sz w:val="17"/>
          <w:szCs w:val="17"/>
          <w:color w:val="auto"/>
        </w:rPr>
        <w:t>Preliminary Proxy Statement</w:t>
      </w:r>
    </w:p>
    <w:p>
      <w:pPr>
        <w:spacing w:after="0" w:line="59" w:lineRule="exact"/>
        <w:rPr>
          <w:rFonts w:ascii="MS PGothic" w:cs="MS PGothic" w:eastAsia="MS PGothic" w:hAnsi="MS PGothic"/>
          <w:sz w:val="25"/>
          <w:szCs w:val="25"/>
          <w:color w:val="auto"/>
        </w:rPr>
      </w:pPr>
    </w:p>
    <w:p>
      <w:pPr>
        <w:ind w:left="600" w:hanging="436"/>
        <w:spacing w:after="0"/>
        <w:tabs>
          <w:tab w:leader="none" w:pos="600" w:val="left"/>
        </w:tabs>
        <w:numPr>
          <w:ilvl w:val="0"/>
          <w:numId w:val="1"/>
        </w:numPr>
        <w:rPr>
          <w:rFonts w:ascii="MS PGothic" w:cs="MS PGothic" w:eastAsia="MS PGothic" w:hAnsi="MS PGothic"/>
          <w:sz w:val="25"/>
          <w:szCs w:val="25"/>
          <w:color w:val="auto"/>
        </w:rPr>
      </w:pPr>
      <w:r>
        <w:rPr>
          <w:rFonts w:ascii="Arial" w:cs="Arial" w:eastAsia="Arial" w:hAnsi="Arial"/>
          <w:sz w:val="17"/>
          <w:szCs w:val="17"/>
          <w:color w:val="auto"/>
        </w:rPr>
        <w:t>CONFIDENTIAL, FOR USE OF THE COMMISSION ONLY (AS PERMITTED BY RULE 14A-6(E)(2))</w:t>
      </w:r>
    </w:p>
    <w:p>
      <w:pPr>
        <w:spacing w:after="0" w:line="60" w:lineRule="exact"/>
        <w:rPr>
          <w:sz w:val="24"/>
          <w:szCs w:val="24"/>
          <w:color w:val="auto"/>
        </w:rPr>
      </w:pPr>
    </w:p>
    <w:p>
      <w:pPr>
        <w:ind w:left="600" w:hanging="436"/>
        <w:spacing w:after="0"/>
        <w:tabs>
          <w:tab w:leader="none" w:pos="600" w:val="left"/>
        </w:tabs>
        <w:numPr>
          <w:ilvl w:val="0"/>
          <w:numId w:val="2"/>
        </w:numPr>
        <w:rPr>
          <w:rFonts w:ascii="MS PGothic" w:cs="MS PGothic" w:eastAsia="MS PGothic" w:hAnsi="MS PGothic"/>
          <w:sz w:val="25"/>
          <w:szCs w:val="25"/>
          <w:color w:val="auto"/>
        </w:rPr>
      </w:pPr>
      <w:r>
        <w:rPr>
          <w:rFonts w:ascii="Arial" w:cs="Arial" w:eastAsia="Arial" w:hAnsi="Arial"/>
          <w:sz w:val="17"/>
          <w:szCs w:val="17"/>
          <w:color w:val="auto"/>
        </w:rPr>
        <w:t>Definitive Proxy Statement</w:t>
      </w:r>
    </w:p>
    <w:p>
      <w:pPr>
        <w:spacing w:after="0" w:line="60" w:lineRule="exact"/>
        <w:rPr>
          <w:sz w:val="24"/>
          <w:szCs w:val="24"/>
          <w:color w:val="auto"/>
        </w:rPr>
      </w:pPr>
    </w:p>
    <w:p>
      <w:pPr>
        <w:ind w:left="600" w:hanging="436"/>
        <w:spacing w:after="0"/>
        <w:tabs>
          <w:tab w:leader="none" w:pos="600" w:val="left"/>
        </w:tabs>
        <w:numPr>
          <w:ilvl w:val="0"/>
          <w:numId w:val="3"/>
        </w:numPr>
        <w:rPr>
          <w:rFonts w:ascii="MS PGothic" w:cs="MS PGothic" w:eastAsia="MS PGothic" w:hAnsi="MS PGothic"/>
          <w:sz w:val="25"/>
          <w:szCs w:val="25"/>
          <w:color w:val="auto"/>
        </w:rPr>
      </w:pPr>
      <w:r>
        <w:rPr>
          <w:rFonts w:ascii="Arial" w:cs="Arial" w:eastAsia="Arial" w:hAnsi="Arial"/>
          <w:sz w:val="17"/>
          <w:szCs w:val="17"/>
          <w:color w:val="auto"/>
        </w:rPr>
        <w:t>Definitive Additional Materials</w:t>
      </w:r>
    </w:p>
    <w:p>
      <w:pPr>
        <w:spacing w:after="0" w:line="59" w:lineRule="exact"/>
        <w:rPr>
          <w:rFonts w:ascii="MS PGothic" w:cs="MS PGothic" w:eastAsia="MS PGothic" w:hAnsi="MS PGothic"/>
          <w:sz w:val="25"/>
          <w:szCs w:val="25"/>
          <w:color w:val="auto"/>
        </w:rPr>
      </w:pPr>
    </w:p>
    <w:p>
      <w:pPr>
        <w:ind w:left="600" w:hanging="436"/>
        <w:spacing w:after="0"/>
        <w:tabs>
          <w:tab w:leader="none" w:pos="600" w:val="left"/>
        </w:tabs>
        <w:numPr>
          <w:ilvl w:val="0"/>
          <w:numId w:val="3"/>
        </w:numPr>
        <w:rPr>
          <w:rFonts w:ascii="MS PGothic" w:cs="MS PGothic" w:eastAsia="MS PGothic" w:hAnsi="MS PGothic"/>
          <w:sz w:val="25"/>
          <w:szCs w:val="25"/>
          <w:color w:val="auto"/>
        </w:rPr>
      </w:pPr>
      <w:r>
        <w:rPr>
          <w:rFonts w:ascii="Arial" w:cs="Arial" w:eastAsia="Arial" w:hAnsi="Arial"/>
          <w:sz w:val="17"/>
          <w:szCs w:val="17"/>
          <w:color w:val="auto"/>
        </w:rPr>
        <w:t>Soliciting Material Pursuant to §240.14a-12</w:t>
      </w:r>
    </w:p>
    <w:p>
      <w:pPr>
        <w:spacing w:after="0" w:line="167" w:lineRule="exact"/>
        <w:rPr>
          <w:sz w:val="24"/>
          <w:szCs w:val="24"/>
          <w:color w:val="auto"/>
        </w:rPr>
      </w:pPr>
    </w:p>
    <w:p>
      <w:pPr>
        <w:jc w:val="center"/>
        <w:ind w:right="160"/>
        <w:spacing w:after="0"/>
        <w:rPr>
          <w:sz w:val="20"/>
          <w:szCs w:val="20"/>
          <w:color w:val="auto"/>
        </w:rPr>
      </w:pPr>
      <w:r>
        <w:rPr>
          <w:rFonts w:ascii="Arial" w:cs="Arial" w:eastAsia="Arial" w:hAnsi="Arial"/>
          <w:sz w:val="43"/>
          <w:szCs w:val="43"/>
          <w:b w:val="1"/>
          <w:bCs w:val="1"/>
          <w:color w:val="0091D2"/>
        </w:rPr>
        <w:t>VIACOM INC.</w:t>
      </w:r>
    </w:p>
    <w:p>
      <w:pPr>
        <w:spacing w:after="0" w:line="148" w:lineRule="exact"/>
        <w:rPr>
          <w:sz w:val="24"/>
          <w:szCs w:val="24"/>
          <w:color w:val="auto"/>
        </w:rPr>
      </w:pPr>
    </w:p>
    <w:p>
      <w:pPr>
        <w:jc w:val="center"/>
        <w:ind w:right="16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12" w:lineRule="exact"/>
        <w:rPr>
          <w:sz w:val="24"/>
          <w:szCs w:val="24"/>
          <w:color w:val="auto"/>
        </w:rPr>
      </w:pPr>
    </w:p>
    <w:p>
      <w:pPr>
        <w:ind w:left="268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wp:posOffset>
            </wp:positionH>
            <wp:positionV relativeFrom="paragraph">
              <wp:posOffset>163830</wp:posOffset>
            </wp:positionV>
            <wp:extent cx="7246620" cy="3035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035935"/>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600" w:hanging="443"/>
        <w:spacing w:after="0" w:line="238" w:lineRule="auto"/>
        <w:tabs>
          <w:tab w:leader="none" w:pos="600" w:val="left"/>
        </w:tabs>
        <w:numPr>
          <w:ilvl w:val="0"/>
          <w:numId w:val="4"/>
        </w:numPr>
        <w:rPr>
          <w:rFonts w:ascii="MS PGothic" w:cs="MS PGothic" w:eastAsia="MS PGothic" w:hAnsi="MS PGothic"/>
          <w:sz w:val="25"/>
          <w:szCs w:val="25"/>
          <w:color w:val="auto"/>
        </w:rPr>
      </w:pPr>
      <w:r>
        <w:rPr>
          <w:rFonts w:ascii="Arial" w:cs="Arial" w:eastAsia="Arial" w:hAnsi="Arial"/>
          <w:sz w:val="17"/>
          <w:szCs w:val="17"/>
          <w:b w:val="1"/>
          <w:bCs w:val="1"/>
          <w:color w:val="auto"/>
        </w:rPr>
        <w:t>No fee required.</w:t>
      </w:r>
    </w:p>
    <w:p>
      <w:pPr>
        <w:spacing w:after="0" w:line="60" w:lineRule="exact"/>
        <w:rPr>
          <w:sz w:val="24"/>
          <w:szCs w:val="24"/>
          <w:color w:val="auto"/>
        </w:rPr>
      </w:pPr>
    </w:p>
    <w:p>
      <w:pPr>
        <w:ind w:left="600" w:hanging="443"/>
        <w:spacing w:after="0"/>
        <w:tabs>
          <w:tab w:leader="none" w:pos="600" w:val="left"/>
        </w:tabs>
        <w:numPr>
          <w:ilvl w:val="0"/>
          <w:numId w:val="5"/>
        </w:numPr>
        <w:rPr>
          <w:rFonts w:ascii="MS PGothic" w:cs="MS PGothic" w:eastAsia="MS PGothic" w:hAnsi="MS PGothic"/>
          <w:sz w:val="25"/>
          <w:szCs w:val="25"/>
          <w:color w:val="auto"/>
        </w:rPr>
      </w:pPr>
      <w:r>
        <w:rPr>
          <w:rFonts w:ascii="Arial" w:cs="Arial" w:eastAsia="Arial" w:hAnsi="Arial"/>
          <w:sz w:val="17"/>
          <w:szCs w:val="17"/>
          <w:b w:val="1"/>
          <w:bCs w:val="1"/>
          <w:color w:val="auto"/>
        </w:rPr>
        <w:t>Fee computed on table below per Exchange Act Rules 14a-6(i)(1) and 0-11.</w:t>
      </w:r>
    </w:p>
    <w:p>
      <w:pPr>
        <w:spacing w:after="0" w:line="132" w:lineRule="exact"/>
        <w:rPr>
          <w:rFonts w:ascii="MS PGothic" w:cs="MS PGothic" w:eastAsia="MS PGothic" w:hAnsi="MS PGothic"/>
          <w:sz w:val="25"/>
          <w:szCs w:val="25"/>
          <w:color w:val="auto"/>
        </w:rPr>
      </w:pPr>
    </w:p>
    <w:p>
      <w:pPr>
        <w:ind w:left="860" w:hanging="261"/>
        <w:spacing w:after="0"/>
        <w:tabs>
          <w:tab w:leader="none" w:pos="8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88" w:lineRule="exact"/>
        <w:rPr>
          <w:rFonts w:ascii="Arial" w:cs="Arial" w:eastAsia="Arial" w:hAnsi="Arial"/>
          <w:sz w:val="17"/>
          <w:szCs w:val="17"/>
          <w:color w:val="auto"/>
        </w:rPr>
      </w:pPr>
    </w:p>
    <w:p>
      <w:pPr>
        <w:ind w:left="840" w:hanging="241"/>
        <w:spacing w:after="0"/>
        <w:tabs>
          <w:tab w:leader="none" w:pos="8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88" w:lineRule="exact"/>
        <w:rPr>
          <w:rFonts w:ascii="Arial" w:cs="Arial" w:eastAsia="Arial" w:hAnsi="Arial"/>
          <w:sz w:val="17"/>
          <w:szCs w:val="17"/>
          <w:color w:val="auto"/>
        </w:rPr>
      </w:pPr>
    </w:p>
    <w:p>
      <w:pPr>
        <w:ind w:left="820" w:hanging="221"/>
        <w:spacing w:after="0" w:line="243" w:lineRule="auto"/>
        <w:tabs>
          <w:tab w:leader="none" w:pos="867"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76" w:lineRule="exact"/>
        <w:rPr>
          <w:rFonts w:ascii="Arial" w:cs="Arial" w:eastAsia="Arial" w:hAnsi="Arial"/>
          <w:sz w:val="17"/>
          <w:szCs w:val="17"/>
          <w:color w:val="auto"/>
        </w:rPr>
      </w:pPr>
    </w:p>
    <w:p>
      <w:pPr>
        <w:ind w:left="860" w:hanging="261"/>
        <w:spacing w:after="0"/>
        <w:tabs>
          <w:tab w:leader="none" w:pos="8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88" w:lineRule="exact"/>
        <w:rPr>
          <w:rFonts w:ascii="Arial" w:cs="Arial" w:eastAsia="Arial" w:hAnsi="Arial"/>
          <w:sz w:val="17"/>
          <w:szCs w:val="17"/>
          <w:color w:val="auto"/>
        </w:rPr>
      </w:pPr>
    </w:p>
    <w:p>
      <w:pPr>
        <w:ind w:left="860" w:hanging="261"/>
        <w:spacing w:after="0"/>
        <w:tabs>
          <w:tab w:leader="none" w:pos="8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96" w:lineRule="exact"/>
        <w:rPr>
          <w:rFonts w:ascii="Arial" w:cs="Arial" w:eastAsia="Arial" w:hAnsi="Arial"/>
          <w:sz w:val="17"/>
          <w:szCs w:val="17"/>
          <w:color w:val="auto"/>
        </w:rPr>
      </w:pPr>
    </w:p>
    <w:p>
      <w:pPr>
        <w:ind w:left="600" w:hanging="443"/>
        <w:spacing w:after="0"/>
        <w:tabs>
          <w:tab w:leader="none" w:pos="600" w:val="left"/>
        </w:tabs>
        <w:numPr>
          <w:ilvl w:val="0"/>
          <w:numId w:val="5"/>
        </w:numPr>
        <w:rPr>
          <w:rFonts w:ascii="MS PGothic" w:cs="MS PGothic" w:eastAsia="MS PGothic" w:hAnsi="MS PGothic"/>
          <w:sz w:val="25"/>
          <w:szCs w:val="25"/>
          <w:color w:val="auto"/>
        </w:rPr>
      </w:pPr>
      <w:r>
        <w:rPr>
          <w:rFonts w:ascii="Arial" w:cs="Arial" w:eastAsia="Arial" w:hAnsi="Arial"/>
          <w:sz w:val="17"/>
          <w:szCs w:val="17"/>
          <w:b w:val="1"/>
          <w:bCs w:val="1"/>
          <w:color w:val="auto"/>
        </w:rPr>
        <w:t>Fee paid previously with preliminary materials.</w:t>
      </w:r>
    </w:p>
    <w:p>
      <w:pPr>
        <w:spacing w:after="0" w:line="112" w:lineRule="exact"/>
        <w:rPr>
          <w:rFonts w:ascii="MS PGothic" w:cs="MS PGothic" w:eastAsia="MS PGothic" w:hAnsi="MS PGothic"/>
          <w:sz w:val="25"/>
          <w:szCs w:val="25"/>
          <w:color w:val="auto"/>
        </w:rPr>
      </w:pPr>
    </w:p>
    <w:p>
      <w:pPr>
        <w:ind w:left="600" w:right="20" w:hanging="443"/>
        <w:spacing w:after="0" w:line="225" w:lineRule="auto"/>
        <w:tabs>
          <w:tab w:leader="none" w:pos="600" w:val="left"/>
        </w:tabs>
        <w:numPr>
          <w:ilvl w:val="0"/>
          <w:numId w:val="5"/>
        </w:numPr>
        <w:rPr>
          <w:rFonts w:ascii="MS PGothic" w:cs="MS PGothic" w:eastAsia="MS PGothic" w:hAnsi="MS PGothic"/>
          <w:sz w:val="25"/>
          <w:szCs w:val="25"/>
          <w:color w:val="auto"/>
        </w:rPr>
      </w:pPr>
      <w:r>
        <w:rPr>
          <w:rFonts w:ascii="Arial" w:cs="Arial" w:eastAsia="Arial" w:hAnsi="Arial"/>
          <w:sz w:val="17"/>
          <w:szCs w:val="17"/>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MS PGothic" w:cs="MS PGothic" w:eastAsia="MS PGothic" w:hAnsi="MS PGothic"/>
          <w:sz w:val="25"/>
          <w:szCs w:val="25"/>
          <w:color w:val="auto"/>
        </w:rPr>
      </w:pPr>
    </w:p>
    <w:p>
      <w:pPr>
        <w:ind w:left="840" w:hanging="241"/>
        <w:spacing w:after="0"/>
        <w:tabs>
          <w:tab w:leader="none" w:pos="8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88" w:lineRule="exact"/>
        <w:rPr>
          <w:rFonts w:ascii="Arial" w:cs="Arial" w:eastAsia="Arial" w:hAnsi="Arial"/>
          <w:sz w:val="17"/>
          <w:szCs w:val="17"/>
          <w:color w:val="auto"/>
        </w:rPr>
      </w:pPr>
    </w:p>
    <w:p>
      <w:pPr>
        <w:ind w:left="860" w:hanging="261"/>
        <w:spacing w:after="0"/>
        <w:tabs>
          <w:tab w:leader="none" w:pos="8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88" w:lineRule="exact"/>
        <w:rPr>
          <w:rFonts w:ascii="Arial" w:cs="Arial" w:eastAsia="Arial" w:hAnsi="Arial"/>
          <w:sz w:val="17"/>
          <w:szCs w:val="17"/>
          <w:color w:val="auto"/>
        </w:rPr>
      </w:pPr>
    </w:p>
    <w:p>
      <w:pPr>
        <w:ind w:left="860" w:hanging="261"/>
        <w:spacing w:after="0"/>
        <w:tabs>
          <w:tab w:leader="none" w:pos="8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88" w:lineRule="exact"/>
        <w:rPr>
          <w:rFonts w:ascii="Arial" w:cs="Arial" w:eastAsia="Arial" w:hAnsi="Arial"/>
          <w:sz w:val="17"/>
          <w:szCs w:val="17"/>
          <w:color w:val="auto"/>
        </w:rPr>
      </w:pPr>
    </w:p>
    <w:p>
      <w:pPr>
        <w:ind w:left="860" w:hanging="261"/>
        <w:spacing w:after="0"/>
        <w:tabs>
          <w:tab w:leader="none" w:pos="86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553085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420" w:top="446"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414780" cy="214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January 25,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Viacom Stockholders:</w:t>
      </w:r>
    </w:p>
    <w:p>
      <w:pPr>
        <w:spacing w:after="0" w:line="171" w:lineRule="exact"/>
        <w:rPr>
          <w:sz w:val="20"/>
          <w:szCs w:val="20"/>
          <w:color w:val="auto"/>
        </w:rPr>
      </w:pPr>
    </w:p>
    <w:p>
      <w:pPr>
        <w:jc w:val="both"/>
        <w:ind w:right="20" w:firstLine="598"/>
        <w:spacing w:after="0" w:line="246" w:lineRule="auto"/>
        <w:rPr>
          <w:sz w:val="20"/>
          <w:szCs w:val="20"/>
          <w:color w:val="auto"/>
        </w:rPr>
      </w:pPr>
      <w:r>
        <w:rPr>
          <w:rFonts w:ascii="Arial" w:cs="Arial" w:eastAsia="Arial" w:hAnsi="Arial"/>
          <w:sz w:val="18"/>
          <w:szCs w:val="18"/>
          <w:color w:val="auto"/>
        </w:rPr>
        <w:t>We are pleased to invite you to attend the Viacom Inc. 2019 Annual Meeting of Stockholders. The meeting will be held on Monday, March 11, 2019 at Viacom’s corporate headquarters at 1515 Broadway, New York, New York, beginning at 9:00 a.m., Eastern Time.</w:t>
      </w:r>
    </w:p>
    <w:p>
      <w:pPr>
        <w:spacing w:after="0" w:line="156" w:lineRule="exact"/>
        <w:rPr>
          <w:sz w:val="20"/>
          <w:szCs w:val="20"/>
          <w:color w:val="auto"/>
        </w:rPr>
      </w:pPr>
    </w:p>
    <w:p>
      <w:pPr>
        <w:jc w:val="both"/>
        <w:ind w:right="20" w:firstLine="598"/>
        <w:spacing w:after="0" w:line="246" w:lineRule="auto"/>
        <w:rPr>
          <w:sz w:val="20"/>
          <w:szCs w:val="20"/>
          <w:color w:val="auto"/>
        </w:rPr>
      </w:pPr>
      <w:r>
        <w:rPr>
          <w:rFonts w:ascii="Arial" w:cs="Arial" w:eastAsia="Arial" w:hAnsi="Arial"/>
          <w:sz w:val="18"/>
          <w:szCs w:val="18"/>
          <w:color w:val="auto"/>
        </w:rPr>
        <w:t>At this year’s meeting, we will be electing nine members of our Board of Directors and ratifying the appointment of our independent auditor, as described in the proxy statement.</w:t>
      </w:r>
    </w:p>
    <w:p>
      <w:pPr>
        <w:spacing w:after="0" w:line="170" w:lineRule="exact"/>
        <w:rPr>
          <w:sz w:val="20"/>
          <w:szCs w:val="20"/>
          <w:color w:val="auto"/>
        </w:rPr>
      </w:pPr>
    </w:p>
    <w:p>
      <w:pPr>
        <w:jc w:val="both"/>
        <w:ind w:right="20" w:firstLine="598"/>
        <w:spacing w:after="0"/>
        <w:rPr>
          <w:sz w:val="20"/>
          <w:szCs w:val="20"/>
          <w:color w:val="auto"/>
        </w:rPr>
      </w:pPr>
      <w:r>
        <w:rPr>
          <w:rFonts w:ascii="Arial" w:cs="Arial" w:eastAsia="Arial" w:hAnsi="Arial"/>
          <w:sz w:val="18"/>
          <w:szCs w:val="18"/>
          <w:color w:val="auto"/>
        </w:rPr>
        <w:t>To help reduce costs and the environmental impact of printing the proxy materials, we encourage you to take advantage of electronic delivery of proxy materials by following the instructions in the proxy statement. Stockholders who have not elected to receive proxy materials electronically or in print will receive in the mail a Notice of Internet Availability of Proxy Materials that tells you how to:</w:t>
      </w:r>
    </w:p>
    <w:p>
      <w:pPr>
        <w:spacing w:after="0" w:line="162" w:lineRule="exact"/>
        <w:rPr>
          <w:sz w:val="20"/>
          <w:szCs w:val="20"/>
          <w:color w:val="auto"/>
        </w:rPr>
      </w:pPr>
    </w:p>
    <w:p>
      <w:pPr>
        <w:ind w:left="900" w:right="20" w:hanging="298"/>
        <w:spacing w:after="0" w:line="246" w:lineRule="auto"/>
        <w:tabs>
          <w:tab w:leader="none" w:pos="900" w:val="left"/>
        </w:tabs>
        <w:numPr>
          <w:ilvl w:val="0"/>
          <w:numId w:val="6"/>
        </w:numPr>
        <w:rPr>
          <w:rFonts w:ascii="Arial" w:cs="Arial" w:eastAsia="Arial" w:hAnsi="Arial"/>
          <w:sz w:val="18"/>
          <w:szCs w:val="18"/>
          <w:color w:val="1CB6EA"/>
        </w:rPr>
      </w:pPr>
      <w:r>
        <w:rPr>
          <w:rFonts w:ascii="Arial" w:cs="Arial" w:eastAsia="Arial" w:hAnsi="Arial"/>
          <w:sz w:val="18"/>
          <w:szCs w:val="18"/>
          <w:color w:val="auto"/>
        </w:rPr>
        <w:t xml:space="preserve">Access our Notice of 2019 Annual Meeting of Stockholders and Proxy Statement, our Stockholder Letter and our Annual Report on Form 10-K for the fiscal year ended September 30, 2018 through </w:t>
      </w:r>
      <w:r>
        <w:rPr>
          <w:rFonts w:ascii="Arial" w:cs="Arial" w:eastAsia="Arial" w:hAnsi="Arial"/>
          <w:sz w:val="18"/>
          <w:szCs w:val="18"/>
          <w:u w:val="single" w:color="auto"/>
          <w:color w:val="auto"/>
        </w:rPr>
        <w:t>http://proxymaterials.viacom.com</w:t>
      </w:r>
      <w:r>
        <w:rPr>
          <w:rFonts w:ascii="Arial" w:cs="Arial" w:eastAsia="Arial" w:hAnsi="Arial"/>
          <w:sz w:val="18"/>
          <w:szCs w:val="18"/>
          <w:color w:val="auto"/>
        </w:rPr>
        <w:t>; and</w:t>
      </w:r>
    </w:p>
    <w:p>
      <w:pPr>
        <w:spacing w:after="0" w:line="156" w:lineRule="exact"/>
        <w:rPr>
          <w:rFonts w:ascii="Arial" w:cs="Arial" w:eastAsia="Arial" w:hAnsi="Arial"/>
          <w:sz w:val="18"/>
          <w:szCs w:val="18"/>
          <w:color w:val="1CB6EA"/>
        </w:rPr>
      </w:pPr>
    </w:p>
    <w:p>
      <w:pPr>
        <w:ind w:left="900" w:right="20" w:hanging="298"/>
        <w:spacing w:after="0" w:line="246" w:lineRule="auto"/>
        <w:tabs>
          <w:tab w:leader="none" w:pos="900" w:val="left"/>
        </w:tabs>
        <w:numPr>
          <w:ilvl w:val="0"/>
          <w:numId w:val="6"/>
        </w:numPr>
        <w:rPr>
          <w:rFonts w:ascii="Arial" w:cs="Arial" w:eastAsia="Arial" w:hAnsi="Arial"/>
          <w:sz w:val="18"/>
          <w:szCs w:val="18"/>
          <w:color w:val="1CB6EA"/>
        </w:rPr>
      </w:pPr>
      <w:r>
        <w:rPr>
          <w:rFonts w:ascii="Arial" w:cs="Arial" w:eastAsia="Arial" w:hAnsi="Arial"/>
          <w:sz w:val="18"/>
          <w:szCs w:val="18"/>
          <w:color w:val="auto"/>
        </w:rPr>
        <w:t>Submit your vote, if you hold shares of Class A common stock, by telephone, the Internet or in person at the Annual Meeting. Class A holders will also find instructions on how to vote their shares on their proxy card or voting instruction card.</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appreciate your continued support of Viacom and look forward to seeing you at the Annual Meeting.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9"/>
              </w:rPr>
              <w:t>THOMAS J. MAY</w:t>
            </w:r>
          </w:p>
        </w:tc>
        <w:tc>
          <w:tcPr>
            <w:tcW w:w="5880" w:type="dxa"/>
            <w:vAlign w:val="bottom"/>
          </w:tcPr>
          <w:p>
            <w:pPr>
              <w:jc w:val="center"/>
              <w:spacing w:after="0"/>
              <w:rPr>
                <w:sz w:val="20"/>
                <w:szCs w:val="20"/>
                <w:color w:val="auto"/>
              </w:rPr>
            </w:pPr>
            <w:r>
              <w:rPr>
                <w:rFonts w:ascii="Arial" w:cs="Arial" w:eastAsia="Arial" w:hAnsi="Arial"/>
                <w:sz w:val="18"/>
                <w:szCs w:val="18"/>
                <w:b w:val="1"/>
                <w:bCs w:val="1"/>
                <w:color w:val="auto"/>
              </w:rPr>
              <w:t>ROBERT M. BAKISH</w:t>
            </w:r>
          </w:p>
        </w:tc>
      </w:tr>
      <w:tr>
        <w:trPr>
          <w:trHeight w:val="235"/>
        </w:trPr>
        <w:tc>
          <w:tcPr>
            <w:tcW w:w="5560" w:type="dxa"/>
            <w:vAlign w:val="bottom"/>
          </w:tcPr>
          <w:p>
            <w:pPr>
              <w:jc w:val="center"/>
              <w:spacing w:after="0"/>
              <w:rPr>
                <w:sz w:val="20"/>
                <w:szCs w:val="20"/>
                <w:color w:val="auto"/>
              </w:rPr>
            </w:pPr>
            <w:r>
              <w:rPr>
                <w:rFonts w:ascii="Arial" w:cs="Arial" w:eastAsia="Arial" w:hAnsi="Arial"/>
                <w:sz w:val="18"/>
                <w:szCs w:val="18"/>
                <w:i w:val="1"/>
                <w:iCs w:val="1"/>
                <w:color w:val="auto"/>
                <w:w w:val="99"/>
              </w:rPr>
              <w:t>Chairman of the Board of Directors</w:t>
            </w:r>
          </w:p>
        </w:tc>
        <w:tc>
          <w:tcPr>
            <w:tcW w:w="5880" w:type="dxa"/>
            <w:vAlign w:val="bottom"/>
          </w:tcPr>
          <w:p>
            <w:pPr>
              <w:jc w:val="cente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777"/>
        </w:trPr>
        <w:tc>
          <w:tcPr>
            <w:tcW w:w="556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41478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21463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480"/>
        <w:spacing w:after="0" w:line="274" w:lineRule="auto"/>
        <w:rPr>
          <w:sz w:val="20"/>
          <w:szCs w:val="20"/>
          <w:color w:val="auto"/>
        </w:rPr>
      </w:pPr>
      <w:r>
        <w:rPr>
          <w:rFonts w:ascii="Arial" w:cs="Arial" w:eastAsia="Arial" w:hAnsi="Arial"/>
          <w:sz w:val="40"/>
          <w:szCs w:val="40"/>
          <w:b w:val="1"/>
          <w:bCs w:val="1"/>
          <w:color w:val="auto"/>
        </w:rPr>
        <w:t>NOTICE OF 2019 ANNUAL MEETING OF STOCKHOLDERS AND PROXY STATEMENT</w:t>
      </w:r>
    </w:p>
    <w:p>
      <w:pPr>
        <w:spacing w:after="0" w:line="9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Viacom Inc. 2019 Annual Meeting of Stockholders will be held on Monday, March 11, 2019 at Viacom’s corporate headquarters at 1515 Broadway, New York, New York, beginning at 9:00 a.m., Eastern Time. At the meeting, we will consider:</w:t>
      </w:r>
    </w:p>
    <w:p>
      <w:pPr>
        <w:spacing w:after="0" w:line="158"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7"/>
          <w:szCs w:val="17"/>
          <w:b w:val="1"/>
          <w:bCs w:val="1"/>
          <w:color w:val="1CB6EA"/>
        </w:rPr>
      </w:pPr>
      <w:r>
        <w:rPr>
          <w:rFonts w:ascii="Arial" w:cs="Arial" w:eastAsia="Arial" w:hAnsi="Arial"/>
          <w:sz w:val="17"/>
          <w:szCs w:val="17"/>
          <w:color w:val="auto"/>
        </w:rPr>
        <w:t>The election of the nine director nominees identified in the proxy statement;</w:t>
      </w:r>
    </w:p>
    <w:p>
      <w:pPr>
        <w:spacing w:after="0" w:line="169" w:lineRule="exact"/>
        <w:rPr>
          <w:rFonts w:ascii="Arial" w:cs="Arial" w:eastAsia="Arial" w:hAnsi="Arial"/>
          <w:sz w:val="17"/>
          <w:szCs w:val="17"/>
          <w:b w:val="1"/>
          <w:bCs w:val="1"/>
          <w:color w:val="1CB6EA"/>
        </w:rPr>
      </w:pPr>
    </w:p>
    <w:p>
      <w:pPr>
        <w:ind w:left="300" w:hanging="292"/>
        <w:spacing w:after="0"/>
        <w:tabs>
          <w:tab w:leader="none" w:pos="300" w:val="left"/>
        </w:tabs>
        <w:numPr>
          <w:ilvl w:val="0"/>
          <w:numId w:val="7"/>
        </w:numPr>
        <w:rPr>
          <w:rFonts w:ascii="Arial" w:cs="Arial" w:eastAsia="Arial" w:hAnsi="Arial"/>
          <w:sz w:val="17"/>
          <w:szCs w:val="17"/>
          <w:b w:val="1"/>
          <w:bCs w:val="1"/>
          <w:color w:val="1CB6EA"/>
        </w:rPr>
      </w:pPr>
      <w:r>
        <w:rPr>
          <w:rFonts w:ascii="Arial" w:cs="Arial" w:eastAsia="Arial" w:hAnsi="Arial"/>
          <w:sz w:val="17"/>
          <w:szCs w:val="17"/>
          <w:color w:val="auto"/>
        </w:rPr>
        <w:t>Ratification of the appointment of PricewaterhouseCoopers LLP to serve as our independent auditor for our fiscal year 2019; and</w:t>
      </w:r>
    </w:p>
    <w:p>
      <w:pPr>
        <w:spacing w:after="0" w:line="169" w:lineRule="exact"/>
        <w:rPr>
          <w:rFonts w:ascii="Arial" w:cs="Arial" w:eastAsia="Arial" w:hAnsi="Arial"/>
          <w:sz w:val="17"/>
          <w:szCs w:val="17"/>
          <w:b w:val="1"/>
          <w:bCs w:val="1"/>
          <w:color w:val="1CB6EA"/>
        </w:rPr>
      </w:pPr>
    </w:p>
    <w:p>
      <w:pPr>
        <w:ind w:left="300" w:hanging="292"/>
        <w:spacing w:after="0"/>
        <w:tabs>
          <w:tab w:leader="none" w:pos="300" w:val="left"/>
        </w:tabs>
        <w:numPr>
          <w:ilvl w:val="0"/>
          <w:numId w:val="7"/>
        </w:numPr>
        <w:rPr>
          <w:rFonts w:ascii="Arial" w:cs="Arial" w:eastAsia="Arial" w:hAnsi="Arial"/>
          <w:sz w:val="17"/>
          <w:szCs w:val="17"/>
          <w:b w:val="1"/>
          <w:bCs w:val="1"/>
          <w:color w:val="1CB6EA"/>
        </w:rPr>
      </w:pPr>
      <w:r>
        <w:rPr>
          <w:rFonts w:ascii="Arial" w:cs="Arial" w:eastAsia="Arial" w:hAnsi="Arial"/>
          <w:sz w:val="17"/>
          <w:szCs w:val="17"/>
          <w:color w:val="auto"/>
        </w:rPr>
        <w:t>Such other business as may properly come before the meeting.</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Holders of Class A common stock at the close of business on our record date of January 18, 2019 are entitled to notice of and to vote at the Annual Meeting and any postponement or adjournment of the meeting. For a period of at least ten days prior to the Annual Meeting, a complete list of stockholders entitled to vote at the Annual Meeting will be open for examination by any stockholder during ordinary business hours at our corporate headquarters located at 1515 Broadway, New York, New York.</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Holders of Class B common stock are not entitled to vote at the Annual Meeting, but are invited to attend the meeting and will receive the proxy materials for informational purposes.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National Amusements, Inc., which beneficially owned approximately 79.8% of the shares of Class A common stock as of our record date, has advised us that it intends to vote all of its shares of Class A common stock in accordance with the recommendations of the Board of Directors on each of the items of business identified above, which will be sufficient to constitute a quorum and to determine the outcome of each item under consideration.</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If you plan to attend the Annual Meeting, you will need to obtain an admission ticket and present photo identification. Instructions on how to obtain an admission ticket are on page 4 of the proxy statement (“How do I gain admission to the Annual Meeting?”).</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CHRISTA A. D’ALIMONTE</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Executive Vice President, General Counsel and Secretary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650875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Page</w:t>
            </w:r>
          </w:p>
        </w:tc>
        <w:tc>
          <w:tcPr>
            <w:tcW w:w="180" w:type="dxa"/>
            <w:vAlign w:val="bottom"/>
          </w:tcPr>
          <w:p>
            <w:pPr>
              <w:spacing w:after="0"/>
              <w:rPr>
                <w:sz w:val="16"/>
                <w:szCs w:val="16"/>
                <w:color w:val="auto"/>
              </w:rPr>
            </w:pPr>
          </w:p>
        </w:tc>
      </w:tr>
      <w:tr>
        <w:trPr>
          <w:trHeight w:val="561"/>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Questions and Answers about the 2019 Annual Meeting of Stockholders</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Company Information and Mailing Address</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Item 1—Election of Directors</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Our Board of Directors</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Corporate Governance</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Our Commitment to Culture and Corporate Responsibility</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28">
              <w:r>
                <w:rPr>
                  <w:rFonts w:ascii="Arial" w:cs="Arial" w:eastAsia="Arial" w:hAnsi="Arial"/>
                  <w:sz w:val="17"/>
                  <w:szCs w:val="17"/>
                  <w:b w:val="1"/>
                  <w:bCs w:val="1"/>
                  <w:color w:val="0000EE"/>
                </w:rPr>
                <w:t>Director Compensation</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Security Ownership of Certain Beneficial Owners and Management</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Section 16(a) Beneficial Ownership Reporting Compliance</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35">
              <w:r>
                <w:rPr>
                  <w:rFonts w:ascii="Arial" w:cs="Arial" w:eastAsia="Arial" w:hAnsi="Arial"/>
                  <w:sz w:val="17"/>
                  <w:szCs w:val="17"/>
                  <w:b w:val="1"/>
                  <w:bCs w:val="1"/>
                  <w:color w:val="0000EE"/>
                </w:rPr>
                <w:t>Related Person Transactions</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Compensation Committee Report</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33</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Executive Compensation</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tcBorders>
              <w:bottom w:val="single" w:sz="8" w:color="0000EE"/>
            </w:tcBorders>
            <w:gridSpan w:val="12"/>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Compensation Discussion and Analysis</w:t>
              </w:r>
            </w:hyperlink>
          </w:p>
        </w:tc>
        <w:tc>
          <w:tcPr>
            <w:tcW w:w="696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8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80" w:type="dxa"/>
            <w:vAlign w:val="bottom"/>
            <w:tcBorders>
              <w:bottom w:val="single" w:sz="8" w:color="0000EE"/>
            </w:tcBorders>
            <w:gridSpan w:val="16"/>
          </w:tcPr>
          <w:p>
            <w:pPr>
              <w:spacing w:after="0" w:line="169" w:lineRule="exact"/>
              <w:rPr>
                <w:rFonts w:ascii="Arial" w:cs="Arial" w:eastAsia="Arial" w:hAnsi="Arial"/>
                <w:sz w:val="17"/>
                <w:szCs w:val="17"/>
                <w:b w:val="1"/>
                <w:bCs w:val="1"/>
                <w:color w:val="0000EE"/>
                <w:w w:val="99"/>
              </w:rPr>
            </w:pPr>
            <w:hyperlink w:anchor="page54">
              <w:r>
                <w:rPr>
                  <w:rFonts w:ascii="Arial" w:cs="Arial" w:eastAsia="Arial" w:hAnsi="Arial"/>
                  <w:sz w:val="17"/>
                  <w:szCs w:val="17"/>
                  <w:b w:val="1"/>
                  <w:bCs w:val="1"/>
                  <w:color w:val="0000EE"/>
                  <w:w w:val="99"/>
                </w:rPr>
                <w:t>Fiscal Year 2018 Summary Compensation Table</w:t>
              </w:r>
            </w:hyperlink>
          </w:p>
        </w:tc>
        <w:tc>
          <w:tcPr>
            <w:tcW w:w="6340" w:type="dxa"/>
            <w:vAlign w:val="bottom"/>
            <w:gridSpan w:val="10"/>
          </w:tcPr>
          <w:p>
            <w:pPr>
              <w:spacing w:after="0"/>
              <w:rPr>
                <w:sz w:val="15"/>
                <w:szCs w:val="15"/>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50</w:t>
            </w:r>
          </w:p>
        </w:tc>
        <w:tc>
          <w:tcPr>
            <w:tcW w:w="18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80" w:type="dxa"/>
            <w:vAlign w:val="bottom"/>
            <w:tcBorders>
              <w:bottom w:val="single" w:sz="8" w:color="0000EE"/>
            </w:tcBorders>
            <w:gridSpan w:val="15"/>
          </w:tcPr>
          <w:p>
            <w:pPr>
              <w:spacing w:after="0" w:line="169" w:lineRule="exact"/>
              <w:rPr>
                <w:rFonts w:ascii="Arial" w:cs="Arial" w:eastAsia="Arial" w:hAnsi="Arial"/>
                <w:sz w:val="17"/>
                <w:szCs w:val="17"/>
                <w:b w:val="1"/>
                <w:bCs w:val="1"/>
                <w:color w:val="0000EE"/>
                <w:w w:val="99"/>
              </w:rPr>
            </w:pPr>
            <w:hyperlink w:anchor="page57">
              <w:r>
                <w:rPr>
                  <w:rFonts w:ascii="Arial" w:cs="Arial" w:eastAsia="Arial" w:hAnsi="Arial"/>
                  <w:sz w:val="17"/>
                  <w:szCs w:val="17"/>
                  <w:b w:val="1"/>
                  <w:bCs w:val="1"/>
                  <w:color w:val="0000EE"/>
                  <w:w w:val="99"/>
                </w:rPr>
                <w:t>Fiscal Year 2018 Grants of Plan-Based Awards</w:t>
              </w:r>
            </w:hyperlink>
          </w:p>
        </w:tc>
        <w:tc>
          <w:tcPr>
            <w:tcW w:w="6440" w:type="dxa"/>
            <w:vAlign w:val="bottom"/>
            <w:gridSpan w:val="11"/>
          </w:tcPr>
          <w:p>
            <w:pPr>
              <w:spacing w:after="0"/>
              <w:rPr>
                <w:sz w:val="15"/>
                <w:szCs w:val="15"/>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53</w:t>
            </w:r>
          </w:p>
        </w:tc>
        <w:tc>
          <w:tcPr>
            <w:tcW w:w="18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60" w:type="dxa"/>
            <w:vAlign w:val="bottom"/>
            <w:tcBorders>
              <w:bottom w:val="single" w:sz="8" w:color="0000EE"/>
            </w:tcBorders>
            <w:gridSpan w:val="14"/>
          </w:tcPr>
          <w:p>
            <w:pPr>
              <w:spacing w:after="0" w:line="169" w:lineRule="exact"/>
              <w:rPr>
                <w:rFonts w:ascii="Arial" w:cs="Arial" w:eastAsia="Arial" w:hAnsi="Arial"/>
                <w:sz w:val="17"/>
                <w:szCs w:val="17"/>
                <w:b w:val="1"/>
                <w:bCs w:val="1"/>
                <w:color w:val="0000EE"/>
                <w:w w:val="99"/>
              </w:rPr>
            </w:pPr>
            <w:hyperlink w:anchor="page58">
              <w:r>
                <w:rPr>
                  <w:rFonts w:ascii="Arial" w:cs="Arial" w:eastAsia="Arial" w:hAnsi="Arial"/>
                  <w:sz w:val="17"/>
                  <w:szCs w:val="17"/>
                  <w:b w:val="1"/>
                  <w:bCs w:val="1"/>
                  <w:color w:val="0000EE"/>
                  <w:w w:val="99"/>
                </w:rPr>
                <w:t>Outstanding Equity Awards at Fiscal Year End</w:t>
              </w:r>
            </w:hyperlink>
          </w:p>
        </w:tc>
        <w:tc>
          <w:tcPr>
            <w:tcW w:w="6460" w:type="dxa"/>
            <w:vAlign w:val="bottom"/>
            <w:gridSpan w:val="12"/>
          </w:tcPr>
          <w:p>
            <w:pPr>
              <w:spacing w:after="0"/>
              <w:rPr>
                <w:sz w:val="15"/>
                <w:szCs w:val="15"/>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54</w:t>
            </w:r>
          </w:p>
        </w:tc>
        <w:tc>
          <w:tcPr>
            <w:tcW w:w="18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40" w:type="dxa"/>
            <w:vAlign w:val="bottom"/>
            <w:tcBorders>
              <w:bottom w:val="single" w:sz="8" w:color="0000EE"/>
            </w:tcBorders>
            <w:gridSpan w:val="20"/>
          </w:tcPr>
          <w:p>
            <w:pPr>
              <w:spacing w:after="0" w:line="169" w:lineRule="exact"/>
              <w:rPr>
                <w:rFonts w:ascii="Arial" w:cs="Arial" w:eastAsia="Arial" w:hAnsi="Arial"/>
                <w:sz w:val="17"/>
                <w:szCs w:val="17"/>
                <w:b w:val="1"/>
                <w:bCs w:val="1"/>
                <w:color w:val="0000EE"/>
                <w:w w:val="99"/>
              </w:rPr>
            </w:pPr>
            <w:hyperlink w:anchor="page60">
              <w:r>
                <w:rPr>
                  <w:rFonts w:ascii="Arial" w:cs="Arial" w:eastAsia="Arial" w:hAnsi="Arial"/>
                  <w:sz w:val="17"/>
                  <w:szCs w:val="17"/>
                  <w:b w:val="1"/>
                  <w:bCs w:val="1"/>
                  <w:color w:val="0000EE"/>
                  <w:w w:val="99"/>
                </w:rPr>
                <w:t>Option Exercises and Stock Vested in Fiscal Year 2018</w:t>
              </w:r>
            </w:hyperlink>
          </w:p>
        </w:tc>
        <w:tc>
          <w:tcPr>
            <w:tcW w:w="5780" w:type="dxa"/>
            <w:vAlign w:val="bottom"/>
            <w:gridSpan w:val="6"/>
          </w:tcPr>
          <w:p>
            <w:pPr>
              <w:spacing w:after="0"/>
              <w:rPr>
                <w:sz w:val="15"/>
                <w:szCs w:val="15"/>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56</w:t>
            </w:r>
          </w:p>
        </w:tc>
        <w:tc>
          <w:tcPr>
            <w:tcW w:w="18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20" w:type="dxa"/>
            <w:vAlign w:val="bottom"/>
            <w:gridSpan w:val="26"/>
          </w:tcPr>
          <w:p>
            <w:pPr>
              <w:spacing w:after="0" w:line="169" w:lineRule="exact"/>
              <w:rPr>
                <w:rFonts w:ascii="Arial" w:cs="Arial" w:eastAsia="Arial" w:hAnsi="Arial"/>
                <w:sz w:val="17"/>
                <w:szCs w:val="17"/>
                <w:b w:val="1"/>
                <w:bCs w:val="1"/>
                <w:color w:val="0000EE"/>
              </w:rPr>
            </w:pPr>
            <w:hyperlink w:anchor="page61">
              <w:r>
                <w:rPr>
                  <w:rFonts w:ascii="Arial" w:cs="Arial" w:eastAsia="Arial" w:hAnsi="Arial"/>
                  <w:sz w:val="17"/>
                  <w:szCs w:val="17"/>
                  <w:b w:val="1"/>
                  <w:bCs w:val="1"/>
                  <w:color w:val="0000EE"/>
                </w:rPr>
                <w:t>Fiscal Year 2018 Pension Benefits</w:t>
              </w:r>
            </w:hyperlink>
          </w:p>
        </w:tc>
        <w:tc>
          <w:tcPr>
            <w:tcW w:w="60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57</w:t>
            </w:r>
          </w:p>
        </w:tc>
        <w:tc>
          <w:tcPr>
            <w:tcW w:w="18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0" w:type="dxa"/>
            <w:vAlign w:val="bottom"/>
            <w:tcBorders>
              <w:bottom w:val="single" w:sz="8" w:color="0000EE"/>
            </w:tcBorders>
            <w:gridSpan w:val="18"/>
          </w:tcPr>
          <w:p>
            <w:pPr>
              <w:spacing w:after="0" w:line="169" w:lineRule="exact"/>
              <w:rPr>
                <w:rFonts w:ascii="Arial" w:cs="Arial" w:eastAsia="Arial" w:hAnsi="Arial"/>
                <w:sz w:val="17"/>
                <w:szCs w:val="17"/>
                <w:b w:val="1"/>
                <w:bCs w:val="1"/>
                <w:color w:val="0000EE"/>
              </w:rPr>
            </w:pPr>
            <w:hyperlink w:anchor="page63">
              <w:r>
                <w:rPr>
                  <w:rFonts w:ascii="Arial" w:cs="Arial" w:eastAsia="Arial" w:hAnsi="Arial"/>
                  <w:sz w:val="17"/>
                  <w:szCs w:val="17"/>
                  <w:b w:val="1"/>
                  <w:bCs w:val="1"/>
                  <w:color w:val="0000EE"/>
                </w:rPr>
                <w:t>Fiscal Year 2018 Nonqualified Deferred Compensation</w:t>
              </w:r>
            </w:hyperlink>
          </w:p>
        </w:tc>
        <w:tc>
          <w:tcPr>
            <w:tcW w:w="5820" w:type="dxa"/>
            <w:vAlign w:val="bottom"/>
            <w:gridSpan w:val="8"/>
          </w:tcPr>
          <w:p>
            <w:pPr>
              <w:spacing w:after="0"/>
              <w:rPr>
                <w:sz w:val="15"/>
                <w:szCs w:val="15"/>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59</w:t>
            </w:r>
          </w:p>
        </w:tc>
        <w:tc>
          <w:tcPr>
            <w:tcW w:w="18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80" w:type="dxa"/>
            <w:vAlign w:val="bottom"/>
            <w:tcBorders>
              <w:bottom w:val="single" w:sz="8" w:color="0000EE"/>
            </w:tcBorders>
            <w:gridSpan w:val="17"/>
          </w:tcPr>
          <w:p>
            <w:pPr>
              <w:spacing w:after="0" w:line="169" w:lineRule="exact"/>
              <w:rPr>
                <w:rFonts w:ascii="Arial" w:cs="Arial" w:eastAsia="Arial" w:hAnsi="Arial"/>
                <w:sz w:val="17"/>
                <w:szCs w:val="17"/>
                <w:b w:val="1"/>
                <w:bCs w:val="1"/>
                <w:color w:val="0000EE"/>
                <w:w w:val="99"/>
              </w:rPr>
            </w:pPr>
            <w:hyperlink w:anchor="page65">
              <w:r>
                <w:rPr>
                  <w:rFonts w:ascii="Arial" w:cs="Arial" w:eastAsia="Arial" w:hAnsi="Arial"/>
                  <w:sz w:val="17"/>
                  <w:szCs w:val="17"/>
                  <w:b w:val="1"/>
                  <w:bCs w:val="1"/>
                  <w:color w:val="0000EE"/>
                  <w:w w:val="99"/>
                </w:rPr>
                <w:t>Payments Upon Termination or Change-In-Control</w:t>
              </w:r>
            </w:hyperlink>
          </w:p>
        </w:tc>
        <w:tc>
          <w:tcPr>
            <w:tcW w:w="6140" w:type="dxa"/>
            <w:vAlign w:val="bottom"/>
            <w:gridSpan w:val="9"/>
          </w:tcPr>
          <w:p>
            <w:pPr>
              <w:spacing w:after="0"/>
              <w:rPr>
                <w:sz w:val="15"/>
                <w:szCs w:val="15"/>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61</w:t>
            </w:r>
          </w:p>
        </w:tc>
        <w:tc>
          <w:tcPr>
            <w:tcW w:w="18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20" w:type="dxa"/>
            <w:vAlign w:val="bottom"/>
            <w:tcBorders>
              <w:bottom w:val="single" w:sz="8" w:color="0000EE"/>
            </w:tcBorders>
            <w:gridSpan w:val="13"/>
          </w:tcPr>
          <w:p>
            <w:pPr>
              <w:spacing w:after="0" w:line="169" w:lineRule="exact"/>
              <w:rPr>
                <w:rFonts w:ascii="Arial" w:cs="Arial" w:eastAsia="Arial" w:hAnsi="Arial"/>
                <w:sz w:val="17"/>
                <w:szCs w:val="17"/>
                <w:b w:val="1"/>
                <w:bCs w:val="1"/>
                <w:color w:val="0000EE"/>
              </w:rPr>
            </w:pPr>
            <w:hyperlink w:anchor="page68">
              <w:r>
                <w:rPr>
                  <w:rFonts w:ascii="Arial" w:cs="Arial" w:eastAsia="Arial" w:hAnsi="Arial"/>
                  <w:sz w:val="17"/>
                  <w:szCs w:val="17"/>
                  <w:b w:val="1"/>
                  <w:bCs w:val="1"/>
                  <w:color w:val="0000EE"/>
                </w:rPr>
                <w:t>Risk Assessment of Compensation Programs</w:t>
              </w:r>
            </w:hyperlink>
          </w:p>
        </w:tc>
        <w:tc>
          <w:tcPr>
            <w:tcW w:w="6500" w:type="dxa"/>
            <w:vAlign w:val="bottom"/>
            <w:gridSpan w:val="13"/>
          </w:tcPr>
          <w:p>
            <w:pPr>
              <w:spacing w:after="0"/>
              <w:rPr>
                <w:sz w:val="15"/>
                <w:szCs w:val="15"/>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7"/>
                <w:szCs w:val="17"/>
                <w:b w:val="1"/>
                <w:bCs w:val="1"/>
                <w:color w:val="auto"/>
              </w:rPr>
              <w:t>64</w:t>
            </w:r>
          </w:p>
        </w:tc>
        <w:tc>
          <w:tcPr>
            <w:tcW w:w="180" w:type="dxa"/>
            <w:vAlign w:val="bottom"/>
          </w:tcPr>
          <w:p>
            <w:pPr>
              <w:spacing w:after="0"/>
              <w:rPr>
                <w:sz w:val="15"/>
                <w:szCs w:val="15"/>
                <w:color w:val="auto"/>
              </w:rPr>
            </w:pPr>
          </w:p>
        </w:tc>
      </w:tr>
      <w:tr>
        <w:trPr>
          <w:trHeight w:val="38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69">
              <w:r>
                <w:rPr>
                  <w:rFonts w:ascii="Arial" w:cs="Arial" w:eastAsia="Arial" w:hAnsi="Arial"/>
                  <w:sz w:val="17"/>
                  <w:szCs w:val="17"/>
                  <w:b w:val="1"/>
                  <w:bCs w:val="1"/>
                  <w:color w:val="0000EE"/>
                </w:rPr>
                <w:t>Equity Compensation Plan Information</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65</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70">
              <w:r>
                <w:rPr>
                  <w:rFonts w:ascii="Arial" w:cs="Arial" w:eastAsia="Arial" w:hAnsi="Arial"/>
                  <w:sz w:val="17"/>
                  <w:szCs w:val="17"/>
                  <w:b w:val="1"/>
                  <w:bCs w:val="1"/>
                  <w:color w:val="0000EE"/>
                </w:rPr>
                <w:t>CEO Pay Ratio</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66</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71">
              <w:r>
                <w:rPr>
                  <w:rFonts w:ascii="Arial" w:cs="Arial" w:eastAsia="Arial" w:hAnsi="Arial"/>
                  <w:sz w:val="17"/>
                  <w:szCs w:val="17"/>
                  <w:b w:val="1"/>
                  <w:bCs w:val="1"/>
                  <w:color w:val="0000EE"/>
                </w:rPr>
                <w:t>Report of the Audit Committee</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67</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73">
              <w:r>
                <w:rPr>
                  <w:rFonts w:ascii="Arial" w:cs="Arial" w:eastAsia="Arial" w:hAnsi="Arial"/>
                  <w:sz w:val="17"/>
                  <w:szCs w:val="17"/>
                  <w:b w:val="1"/>
                  <w:bCs w:val="1"/>
                  <w:color w:val="0000EE"/>
                </w:rPr>
                <w:t>Services Provided by the Independent Auditor and Fees Paid</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69</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74">
              <w:r>
                <w:rPr>
                  <w:rFonts w:ascii="Arial" w:cs="Arial" w:eastAsia="Arial" w:hAnsi="Arial"/>
                  <w:sz w:val="17"/>
                  <w:szCs w:val="17"/>
                  <w:b w:val="1"/>
                  <w:bCs w:val="1"/>
                  <w:color w:val="0000EE"/>
                </w:rPr>
                <w:t>Item 2—Ratification of the Appointment of the Independent Auditor</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70</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7"/>
                <w:szCs w:val="17"/>
                <w:b w:val="1"/>
                <w:bCs w:val="1"/>
                <w:color w:val="0000EE"/>
              </w:rPr>
            </w:pPr>
            <w:hyperlink w:anchor="page75">
              <w:r>
                <w:rPr>
                  <w:rFonts w:ascii="Arial" w:cs="Arial" w:eastAsia="Arial" w:hAnsi="Arial"/>
                  <w:sz w:val="17"/>
                  <w:szCs w:val="17"/>
                  <w:b w:val="1"/>
                  <w:bCs w:val="1"/>
                  <w:color w:val="0000EE"/>
                </w:rPr>
                <w:t>Other Matters</w:t>
              </w:r>
            </w:hyperlink>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71</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60"/>
        </w:trPr>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shd w:val="clear" w:color="auto" w:fill="1CB6EA"/>
        </w:rPr>
        <w:t>QUESTIONS AND ANSWERS ABOUT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1478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2019 PROXY STATEMENT</w:t>
      </w:r>
    </w:p>
    <w:p>
      <w:pPr>
        <w:spacing w:after="0" w:line="188" w:lineRule="exact"/>
        <w:rPr>
          <w:sz w:val="20"/>
          <w:szCs w:val="20"/>
          <w:color w:val="auto"/>
        </w:rPr>
      </w:pPr>
    </w:p>
    <w:p>
      <w:pPr>
        <w:ind w:right="800"/>
        <w:spacing w:after="0" w:line="274" w:lineRule="auto"/>
        <w:rPr>
          <w:sz w:val="20"/>
          <w:szCs w:val="20"/>
          <w:color w:val="auto"/>
        </w:rPr>
      </w:pPr>
      <w:r>
        <w:rPr>
          <w:rFonts w:ascii="Arial" w:cs="Arial" w:eastAsia="Arial" w:hAnsi="Arial"/>
          <w:sz w:val="40"/>
          <w:szCs w:val="40"/>
          <w:b w:val="1"/>
          <w:bCs w:val="1"/>
          <w:color w:val="1CB6EA"/>
        </w:rPr>
        <w:t>QUESTIONS AND ANSWERS ABOUT THE 2019 ANNUAL MEETING OF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the purpose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Viacom Board of Directors (the “Board of Directors” or “Board”) is soliciting a proxy from each stockholder of our Class A common stock to vote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items to be considered at our 2019 Annual Meeting of Stockholders (the “Annual Meeting”), which will be held on Monday, March 11, 2019.</w:t>
      </w:r>
    </w:p>
    <w:p>
      <w:pPr>
        <w:spacing w:after="0" w:line="38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the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The Notice of Internet Availability of Proxy Materials is a document that:</w:t>
      </w:r>
    </w:p>
    <w:p>
      <w:pPr>
        <w:spacing w:after="0" w:line="61" w:lineRule="exact"/>
        <w:rPr>
          <w:sz w:val="20"/>
          <w:szCs w:val="20"/>
          <w:color w:val="auto"/>
        </w:rPr>
      </w:pPr>
    </w:p>
    <w:p>
      <w:pPr>
        <w:jc w:val="both"/>
        <w:ind w:left="180" w:hanging="172"/>
        <w:spacing w:after="0" w:line="236" w:lineRule="auto"/>
        <w:tabs>
          <w:tab w:leader="none" w:pos="180" w:val="left"/>
        </w:tabs>
        <w:numPr>
          <w:ilvl w:val="0"/>
          <w:numId w:val="8"/>
        </w:numPr>
        <w:rPr>
          <w:rFonts w:ascii="Arial" w:cs="Arial" w:eastAsia="Arial" w:hAnsi="Arial"/>
          <w:sz w:val="17"/>
          <w:szCs w:val="17"/>
          <w:color w:val="1CB6EA"/>
        </w:rPr>
      </w:pPr>
      <w:r>
        <w:rPr>
          <w:rFonts w:ascii="Arial" w:cs="Arial" w:eastAsia="Arial" w:hAnsi="Arial"/>
          <w:sz w:val="17"/>
          <w:szCs w:val="17"/>
          <w:color w:val="auto"/>
        </w:rPr>
        <w:t>Indicates that our Stockholder Letter, Notice of 2019 Annual Meeting of Stockholders and Proxy Statement, and Annual Report on Form 10-K for the fiscal year ended September 30, 2018 are available at http://proxymaterials.viacom.com;</w:t>
      </w:r>
    </w:p>
    <w:p>
      <w:pPr>
        <w:spacing w:after="0" w:line="54" w:lineRule="exact"/>
        <w:rPr>
          <w:rFonts w:ascii="Arial" w:cs="Arial" w:eastAsia="Arial" w:hAnsi="Arial"/>
          <w:sz w:val="17"/>
          <w:szCs w:val="17"/>
          <w:color w:val="1CB6EA"/>
        </w:rPr>
      </w:pPr>
    </w:p>
    <w:p>
      <w:pPr>
        <w:ind w:left="180" w:right="20" w:hanging="172"/>
        <w:spacing w:after="0" w:line="243" w:lineRule="auto"/>
        <w:tabs>
          <w:tab w:leader="none" w:pos="180" w:val="left"/>
        </w:tabs>
        <w:numPr>
          <w:ilvl w:val="0"/>
          <w:numId w:val="8"/>
        </w:numPr>
        <w:rPr>
          <w:rFonts w:ascii="Arial" w:cs="Arial" w:eastAsia="Arial" w:hAnsi="Arial"/>
          <w:sz w:val="17"/>
          <w:szCs w:val="17"/>
          <w:color w:val="1CB6EA"/>
        </w:rPr>
      </w:pPr>
      <w:r>
        <w:rPr>
          <w:rFonts w:ascii="Arial" w:cs="Arial" w:eastAsia="Arial" w:hAnsi="Arial"/>
          <w:sz w:val="17"/>
          <w:szCs w:val="17"/>
          <w:color w:val="auto"/>
        </w:rPr>
        <w:t>Provides instructions on how Class A stockholders may vote their shares;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jc w:val="both"/>
        <w:ind w:left="160" w:right="40" w:hanging="158"/>
        <w:spacing w:after="0" w:line="238" w:lineRule="auto"/>
        <w:tabs>
          <w:tab w:leader="none" w:pos="160" w:val="left"/>
        </w:tabs>
        <w:numPr>
          <w:ilvl w:val="0"/>
          <w:numId w:val="9"/>
        </w:numPr>
        <w:rPr>
          <w:rFonts w:ascii="Arial" w:cs="Arial" w:eastAsia="Arial" w:hAnsi="Arial"/>
          <w:sz w:val="17"/>
          <w:szCs w:val="17"/>
          <w:color w:val="1CB6EA"/>
        </w:rPr>
      </w:pPr>
      <w:r>
        <w:rPr>
          <w:rFonts w:ascii="Arial" w:cs="Arial" w:eastAsia="Arial" w:hAnsi="Arial"/>
          <w:sz w:val="17"/>
          <w:szCs w:val="17"/>
          <w:color w:val="auto"/>
        </w:rPr>
        <w:t>Indicates how you may request printed copies of these materials, including, for holders of Class A common stock, the proxy card or voting instruction card.</w:t>
      </w:r>
    </w:p>
    <w:p>
      <w:pPr>
        <w:spacing w:after="0" w:line="5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will begin distributing the Notice of Internet Availability of Proxy Materials on or about January 28, 2019.</w:t>
      </w:r>
    </w:p>
    <w:p>
      <w:pPr>
        <w:spacing w:after="0" w:line="64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can I receive future proxy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We highly recommend that you receive Viacom proxy statements, annual reports and other stockholder communications electronically. This reduces the use of paper and lowers our printing, postage and other costs. If you have not previously enrolled in electronic delivery, you can do so when you vote on the Internet, or at </w:t>
      </w:r>
      <w:r>
        <w:rPr>
          <w:rFonts w:ascii="Arial" w:cs="Arial" w:eastAsia="Arial" w:hAnsi="Arial"/>
          <w:sz w:val="17"/>
          <w:szCs w:val="17"/>
          <w:u w:val="single" w:color="auto"/>
          <w:color w:val="auto"/>
        </w:rPr>
        <w:t>www.icsdelivery.com/viacom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Stockholders who have not enrolled in electronic delivery will receive printed copies of the Notice of Internet Availability of Proxy Materials (or a full set of proxy materials if you have previously requested them) by mail.</w:t>
      </w:r>
    </w:p>
    <w:p>
      <w:pPr>
        <w:spacing w:after="0" w:line="579"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02" w:lineRule="exact"/>
        <w:rPr>
          <w:sz w:val="20"/>
          <w:szCs w:val="20"/>
          <w:color w:val="auto"/>
        </w:rPr>
      </w:pPr>
    </w:p>
    <w:p>
      <w:pPr>
        <w:ind w:right="320"/>
        <w:spacing w:after="0" w:line="288" w:lineRule="auto"/>
        <w:rPr>
          <w:sz w:val="20"/>
          <w:szCs w:val="20"/>
          <w:color w:val="auto"/>
        </w:rPr>
      </w:pPr>
      <w:r>
        <w:rPr>
          <w:rFonts w:ascii="Arial" w:cs="Arial" w:eastAsia="Arial" w:hAnsi="Arial"/>
          <w:sz w:val="25"/>
          <w:szCs w:val="25"/>
          <w:b w:val="1"/>
          <w:bCs w:val="1"/>
          <w:color w:val="auto"/>
        </w:rPr>
        <w:t>What items of business will be voted on at the Annual Meeting and what vote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At the meeting, we will consider:</w:t>
      </w:r>
    </w:p>
    <w:p>
      <w:pPr>
        <w:spacing w:after="0" w:line="61" w:lineRule="exact"/>
        <w:rPr>
          <w:sz w:val="20"/>
          <w:szCs w:val="20"/>
          <w:color w:val="auto"/>
        </w:rPr>
      </w:pPr>
    </w:p>
    <w:p>
      <w:pPr>
        <w:jc w:val="both"/>
        <w:ind w:left="420" w:hanging="209"/>
        <w:spacing w:after="0" w:line="23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election of the nine director nominees identified in this proxy statement, and the Board of Directors recommends a vote “FOR” each of those nominees; and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both"/>
        <w:ind w:left="195" w:right="20" w:hanging="195"/>
        <w:spacing w:after="0" w:line="238" w:lineRule="auto"/>
        <w:tabs>
          <w:tab w:leader="none" w:pos="1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to serve as our independent auditor for our fiscal year 2019, and the Board recommends a vote “FOR” ratification.</w:t>
      </w:r>
    </w:p>
    <w:p>
      <w:pPr>
        <w:spacing w:after="0" w:line="456" w:lineRule="exact"/>
        <w:rPr>
          <w:sz w:val="20"/>
          <w:szCs w:val="20"/>
          <w:color w:val="auto"/>
        </w:rPr>
      </w:pPr>
    </w:p>
    <w:p>
      <w:pPr>
        <w:sectPr>
          <w:pgSz w:w="11900" w:h="16838" w:orient="portrait"/>
          <w:cols w:equalWidth="0" w:num="2">
            <w:col w:w="5480" w:space="665"/>
            <w:col w:w="5295"/>
          </w:cols>
          <w:pgMar w:left="240" w:top="12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10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1</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QUESTIONS AND ANSWERS ABOUT THE 2019 ANNUAL MEETING OF STOCKHOLDERS</w:t>
      </w: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Holders of our Class A common stock as of the record date of January 18, 2019 are entitled to notice of and to vote at the Annual Meeting (and any postponement or adjournment of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Holders of our non-voting Class B common stock are not entitled to vote at the Annual Meeting, or any postponement or adjournment of the meeting, and will receive this proxy statement and related materials for informational purposes.</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many shares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At the close of business on the record date of January 18, 2019, we had 49,430,901 shares of Class A common stock outstanding, and each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those shares is entitled to one vote. Shares of Class B common stock are not entitled to vote.</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many shares must be present or represented at the Annual Meeting to conduct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Under our Amended and Restated Bylaws, the holders of a majority of the aggregate voting power of the Class A common stock outstanding on the record date must be present in person or by proxy at the Annual Meeting to constitute a quorum to conduct business at the Annual Meeting. National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Amusements, Inc. (“NAI”) has advised us that all of the shares of Class A common stock held by it and its wholly-owned subsidiaries will be present at the Annual Meeting. Such shares will be sufficient to constitute a quorum.</w:t>
      </w:r>
    </w:p>
    <w:p>
      <w:pPr>
        <w:spacing w:after="0" w:line="388"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vote is required to approve each of the 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Under our Amended and Restated Bylaws, the affirmative vote of the holders of a majority of the aggregate voting power of the Class A common stock present (whether in person or by proxy) and entitled to vote at the Annual Meeting is required to approve each of the items of business.</w:t>
      </w:r>
    </w:p>
    <w:p>
      <w:pPr>
        <w:spacing w:after="0" w:line="5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At the close of business on our record date, NAI beneficially owned, directly and through wholly-owned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subsidiaries, approximately 79.8% of our outstanding Class A common stock. NAI has advised us that it intends to vote all of the shares of Class A common stock held by it and its wholly-owned subsidiaries in accordance with the recommendations of the Board of Directors on each of the items of business. This vote will be sufficient to approve each item under consideration.</w:t>
      </w:r>
    </w:p>
    <w:p>
      <w:pPr>
        <w:spacing w:after="0" w:line="46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effect do abstentions and broker non-votes have on quorum and the 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If you select the option to “abstain” from voting on either or both of the items of business, your shares will nevertheless be treated as present for the purpose of determining whether a quorum is present, but will have the effect of a vote against that item.</w:t>
      </w:r>
    </w:p>
    <w:p>
      <w:pPr>
        <w:spacing w:after="0" w:line="5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 “broker non-vote” will occur if (i) you hold shares of our Class A common stock beneficially in “street name,” (ii) you do not provide your broker or other nominee specific voting instructions on a matter and (iii) your broker is not permitted, under applicable stock exchange rules, to vote on that matter without instructions from the beneficial owner. If a broker non-vote occurs, the underlying shares of Class A common stock will be treated as present for the purpose of determining whether a quorum is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Because brokers are not permitted to vote on item 1 (the election of directors) without receiving specific voting instructions from the beneficial holder of the shares, shares underlying a broker non-vote on item 1 are not considered to be entitled to vote, and therefore broker non-votes will have no effect on the voting results for item 1. Because brokers are permitted to vote on item 2 (the ratification of the appointment of our independent auditor) in their discretion without receiving specific voting instructions from the beneficial holder of the shares, there will not be any broker non-votes on item 2. If you do not provide your broker or other nominee specific voting instructions on Item 2, and your broker or nominee does not vote on Item 2, that will have the effect of a vote against Item 2.</w:t>
      </w:r>
    </w:p>
    <w:p>
      <w:pPr>
        <w:spacing w:after="0" w:line="271"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2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FFFFFF"/>
          <w:shd w:val="clear" w:color="auto" w:fill="1CB6EA"/>
        </w:rPr>
        <w:t>QUESTIONS AND ANSWERS ABOUT THE 2019 ANNUAL MEETING OF STOCKHOLDERS</w:t>
      </w: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can I vote my shares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Voting by Proxy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Holders of Class A common stock may submit a proxy by:</w:t>
      </w:r>
    </w:p>
    <w:p>
      <w:pPr>
        <w:spacing w:after="0" w:line="61" w:lineRule="exact"/>
        <w:rPr>
          <w:sz w:val="20"/>
          <w:szCs w:val="20"/>
          <w:color w:val="auto"/>
        </w:rPr>
      </w:pPr>
    </w:p>
    <w:p>
      <w:pPr>
        <w:jc w:val="both"/>
        <w:ind w:left="140" w:hanging="132"/>
        <w:spacing w:after="0" w:line="235" w:lineRule="auto"/>
        <w:tabs>
          <w:tab w:leader="none" w:pos="140" w:val="left"/>
        </w:tabs>
        <w:numPr>
          <w:ilvl w:val="0"/>
          <w:numId w:val="12"/>
        </w:numPr>
        <w:rPr>
          <w:rFonts w:ascii="Arial" w:cs="Arial" w:eastAsia="Arial" w:hAnsi="Arial"/>
          <w:sz w:val="17"/>
          <w:szCs w:val="17"/>
          <w:color w:val="1CB6EA"/>
        </w:rPr>
      </w:pPr>
      <w:r>
        <w:rPr>
          <w:rFonts w:ascii="Arial" w:cs="Arial" w:eastAsia="Arial" w:hAnsi="Arial"/>
          <w:sz w:val="17"/>
          <w:szCs w:val="17"/>
          <w:color w:val="auto"/>
        </w:rPr>
        <w:t xml:space="preserve">following the instructions on your Notice of Internet Availability of Proxy Materials, proxy card or voting instruction card to vote by telephone or the Internet. These instructions can also be found at </w:t>
      </w:r>
      <w:r>
        <w:rPr>
          <w:rFonts w:ascii="Arial" w:cs="Arial" w:eastAsia="Arial" w:hAnsi="Arial"/>
          <w:sz w:val="17"/>
          <w:szCs w:val="17"/>
          <w:u w:val="single" w:color="auto"/>
          <w:color w:val="auto"/>
        </w:rPr>
        <w:t>http://proxymaterials.viacom.com</w:t>
      </w:r>
      <w:r>
        <w:rPr>
          <w:rFonts w:ascii="Arial" w:cs="Arial" w:eastAsia="Arial" w:hAnsi="Arial"/>
          <w:sz w:val="17"/>
          <w:szCs w:val="17"/>
          <w:color w:val="auto"/>
        </w:rPr>
        <w:t xml:space="preserve">. Your telephone or Internet proxy must be received by </w:t>
      </w:r>
      <w:r>
        <w:rPr>
          <w:rFonts w:ascii="Arial" w:cs="Arial" w:eastAsia="Arial" w:hAnsi="Arial"/>
          <w:sz w:val="17"/>
          <w:szCs w:val="17"/>
          <w:u w:val="single" w:color="auto"/>
          <w:color w:val="auto"/>
        </w:rPr>
        <w:t>11:59 p.m., Eastern Time, on March 10, 2019</w:t>
      </w:r>
      <w:r>
        <w:rPr>
          <w:rFonts w:ascii="Arial" w:cs="Arial" w:eastAsia="Arial" w:hAnsi="Arial"/>
          <w:sz w:val="17"/>
          <w:szCs w:val="17"/>
          <w:color w:val="auto"/>
        </w:rPr>
        <w:t>; or</w:t>
      </w:r>
    </w:p>
    <w:p>
      <w:pPr>
        <w:spacing w:after="0" w:line="55" w:lineRule="exact"/>
        <w:rPr>
          <w:rFonts w:ascii="Arial" w:cs="Arial" w:eastAsia="Arial" w:hAnsi="Arial"/>
          <w:sz w:val="17"/>
          <w:szCs w:val="17"/>
          <w:color w:val="1CB6EA"/>
        </w:rPr>
      </w:pPr>
    </w:p>
    <w:p>
      <w:pPr>
        <w:jc w:val="both"/>
        <w:ind w:left="140" w:hanging="132"/>
        <w:spacing w:after="0" w:line="238" w:lineRule="auto"/>
        <w:tabs>
          <w:tab w:leader="none" w:pos="140" w:val="left"/>
        </w:tabs>
        <w:numPr>
          <w:ilvl w:val="0"/>
          <w:numId w:val="12"/>
        </w:numPr>
        <w:rPr>
          <w:rFonts w:ascii="Arial" w:cs="Arial" w:eastAsia="Arial" w:hAnsi="Arial"/>
          <w:sz w:val="17"/>
          <w:szCs w:val="17"/>
          <w:color w:val="1CB6EA"/>
        </w:rPr>
      </w:pPr>
      <w:r>
        <w:rPr>
          <w:rFonts w:ascii="Arial" w:cs="Arial" w:eastAsia="Arial" w:hAnsi="Arial"/>
          <w:sz w:val="17"/>
          <w:szCs w:val="17"/>
          <w:color w:val="auto"/>
        </w:rPr>
        <w:t xml:space="preserve">completing, signing, dating and returning the proxy card or voting instruction card in accordance with the instructions set forth therein so that it is received </w:t>
      </w:r>
      <w:r>
        <w:rPr>
          <w:rFonts w:ascii="Arial" w:cs="Arial" w:eastAsia="Arial" w:hAnsi="Arial"/>
          <w:sz w:val="17"/>
          <w:szCs w:val="17"/>
          <w:u w:val="single" w:color="auto"/>
          <w:color w:val="auto"/>
        </w:rPr>
        <w:t>by 11:59 p.m., Eastern Time, on March 7, 2019</w:t>
      </w:r>
      <w:r>
        <w:rPr>
          <w:rFonts w:ascii="Arial" w:cs="Arial" w:eastAsia="Arial" w:hAnsi="Arial"/>
          <w:sz w:val="17"/>
          <w:szCs w:val="17"/>
          <w:color w:val="auto"/>
        </w:rPr>
        <w:t>.</w:t>
      </w:r>
    </w:p>
    <w:p>
      <w:pPr>
        <w:spacing w:after="0" w:line="5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Robert M. Bakish and Christa A. D’Alimonte (the “proxy holders”) have been designated by our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of Directors to vote the shares represented by proxy at the Annual Meeting. Mr. Bakish and Ms. D’Alimonte are executive officers of Viacom, and Mr. Bakish is also a director and director nominee.</w:t>
      </w:r>
    </w:p>
    <w:p>
      <w:pPr>
        <w:spacing w:after="0" w:line="53" w:lineRule="exact"/>
        <w:rPr>
          <w:sz w:val="20"/>
          <w:szCs w:val="20"/>
          <w:color w:val="auto"/>
        </w:rPr>
      </w:pPr>
    </w:p>
    <w:p>
      <w:pPr>
        <w:ind w:left="140" w:right="20" w:hanging="138"/>
        <w:spacing w:after="0" w:line="243" w:lineRule="auto"/>
        <w:tabs>
          <w:tab w:leader="none" w:pos="140" w:val="left"/>
        </w:tabs>
        <w:numPr>
          <w:ilvl w:val="0"/>
          <w:numId w:val="13"/>
        </w:numPr>
        <w:rPr>
          <w:rFonts w:ascii="Arial" w:cs="Arial" w:eastAsia="Arial" w:hAnsi="Arial"/>
          <w:sz w:val="17"/>
          <w:szCs w:val="17"/>
          <w:color w:val="1CB6EA"/>
        </w:rPr>
      </w:pPr>
      <w:r>
        <w:rPr>
          <w:rFonts w:ascii="Arial" w:cs="Arial" w:eastAsia="Arial" w:hAnsi="Arial"/>
          <w:sz w:val="17"/>
          <w:szCs w:val="17"/>
          <w:color w:val="auto"/>
        </w:rPr>
        <w:t>The proxy holders will vote the shares represented by your valid and timely received proxy in accordance with your instructions.</w:t>
      </w:r>
    </w:p>
    <w:p>
      <w:pPr>
        <w:spacing w:after="0" w:line="49" w:lineRule="exact"/>
        <w:rPr>
          <w:rFonts w:ascii="Arial" w:cs="Arial" w:eastAsia="Arial" w:hAnsi="Arial"/>
          <w:sz w:val="17"/>
          <w:szCs w:val="17"/>
          <w:color w:val="1CB6EA"/>
        </w:rPr>
      </w:pPr>
    </w:p>
    <w:p>
      <w:pPr>
        <w:jc w:val="both"/>
        <w:ind w:left="140" w:hanging="138"/>
        <w:spacing w:after="0" w:line="236" w:lineRule="auto"/>
        <w:tabs>
          <w:tab w:leader="none" w:pos="140" w:val="left"/>
        </w:tabs>
        <w:numPr>
          <w:ilvl w:val="0"/>
          <w:numId w:val="13"/>
        </w:numPr>
        <w:rPr>
          <w:rFonts w:ascii="Arial" w:cs="Arial" w:eastAsia="Arial" w:hAnsi="Arial"/>
          <w:sz w:val="17"/>
          <w:szCs w:val="17"/>
          <w:color w:val="1CB6EA"/>
        </w:rPr>
      </w:pPr>
      <w:r>
        <w:rPr>
          <w:rFonts w:ascii="Arial" w:cs="Arial" w:eastAsia="Arial" w:hAnsi="Arial"/>
          <w:sz w:val="17"/>
          <w:szCs w:val="17"/>
          <w:color w:val="auto"/>
        </w:rPr>
        <w:t>If you do not specify instructions on your proxy when you submit it, the proxy holders will vote the shares represented by the proxy in accordance with the recommendations of the Board of Directors on each of the items of business.</w:t>
      </w:r>
    </w:p>
    <w:p>
      <w:pPr>
        <w:spacing w:after="0" w:line="54" w:lineRule="exact"/>
        <w:rPr>
          <w:rFonts w:ascii="Arial" w:cs="Arial" w:eastAsia="Arial" w:hAnsi="Arial"/>
          <w:sz w:val="17"/>
          <w:szCs w:val="17"/>
          <w:color w:val="1CB6EA"/>
        </w:rPr>
      </w:pPr>
    </w:p>
    <w:p>
      <w:pPr>
        <w:jc w:val="both"/>
        <w:ind w:left="140" w:right="20" w:hanging="138"/>
        <w:spacing w:after="0" w:line="238" w:lineRule="auto"/>
        <w:tabs>
          <w:tab w:leader="none" w:pos="140" w:val="left"/>
        </w:tabs>
        <w:numPr>
          <w:ilvl w:val="0"/>
          <w:numId w:val="13"/>
        </w:numPr>
        <w:rPr>
          <w:rFonts w:ascii="Arial" w:cs="Arial" w:eastAsia="Arial" w:hAnsi="Arial"/>
          <w:sz w:val="17"/>
          <w:szCs w:val="17"/>
          <w:color w:val="1CB6EA"/>
        </w:rPr>
      </w:pPr>
      <w:r>
        <w:rPr>
          <w:rFonts w:ascii="Arial" w:cs="Arial" w:eastAsia="Arial" w:hAnsi="Arial"/>
          <w:sz w:val="17"/>
          <w:szCs w:val="17"/>
          <w:color w:val="auto"/>
        </w:rPr>
        <w:t>If any other matter properly comes before the Annual Meeting, the proxy holders will vote the shares represented by proxy on that matter in their discretion.</w:t>
      </w:r>
    </w:p>
    <w:p>
      <w:pPr>
        <w:spacing w:after="0" w:line="200"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Voting Shares Held in the Viacom 401(k) Plan</w:t>
      </w:r>
    </w:p>
    <w:p>
      <w:pPr>
        <w:spacing w:after="0" w:line="3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Voting instructions for shares of Class A common stock held in the Viacom 401(k) plan may be submitted using the same methods described above but must be received in all cases </w:t>
      </w:r>
      <w:r>
        <w:rPr>
          <w:rFonts w:ascii="Arial" w:cs="Arial" w:eastAsia="Arial" w:hAnsi="Arial"/>
          <w:sz w:val="16"/>
          <w:szCs w:val="16"/>
          <w:u w:val="single" w:color="auto"/>
          <w:color w:val="auto"/>
        </w:rPr>
        <w:t>by 11:59 p.m., Eastern Time, on March 7,</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2019</w:t>
      </w:r>
      <w:r>
        <w:rPr>
          <w:rFonts w:ascii="Arial" w:cs="Arial" w:eastAsia="Arial" w:hAnsi="Arial"/>
          <w:sz w:val="16"/>
          <w:szCs w:val="16"/>
          <w:color w:val="auto"/>
        </w:rPr>
        <w:t>, so that the trustee of the plan (who votes the shares on behalf of plan participants) has adequate time to tabulate the voting instructions.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Shares held in the Viacom 401(k) plan for which the trustee does not receive timely voting instructions will be voted by the trustee in the same proportion as the shares held in the plan for which the trustee does receive timely voting instructions, except as otherwise required by law.</w:t>
      </w:r>
    </w:p>
    <w:p>
      <w:pPr>
        <w:spacing w:after="0" w:line="400"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Voting other than by Proxy</w:t>
      </w:r>
    </w:p>
    <w:p>
      <w:pPr>
        <w:spacing w:after="0" w:line="39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While we encourage voting in advance by proxy, holders of Class A common stock (other than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held in the Viacom 401(k) plan) also have the option of voting their shares in person at the Annual Meeting.</w:t>
      </w:r>
    </w:p>
    <w:p>
      <w:pPr>
        <w:spacing w:after="0" w:line="200"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Can I change my vote or revoke my proxy after I return my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Shares Held other than in the Viacom 401(k) Plan</w:t>
      </w:r>
    </w:p>
    <w:p>
      <w:pPr>
        <w:spacing w:after="0" w:line="200" w:lineRule="exact"/>
        <w:rPr>
          <w:sz w:val="20"/>
          <w:szCs w:val="20"/>
          <w:color w:val="auto"/>
        </w:rPr>
      </w:pPr>
    </w:p>
    <w:p>
      <w:pPr>
        <w:spacing w:after="0" w:line="20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You may change your vote or revoke your proxy at any time before your proxy is voted at the Annual Meeting by:</w:t>
      </w:r>
    </w:p>
    <w:p>
      <w:pPr>
        <w:spacing w:after="0" w:line="50" w:lineRule="exact"/>
        <w:rPr>
          <w:sz w:val="20"/>
          <w:szCs w:val="20"/>
          <w:color w:val="auto"/>
        </w:rPr>
      </w:pPr>
    </w:p>
    <w:p>
      <w:pPr>
        <w:ind w:left="140" w:right="20" w:hanging="132"/>
        <w:spacing w:after="0" w:line="243" w:lineRule="auto"/>
        <w:tabs>
          <w:tab w:leader="none" w:pos="140" w:val="left"/>
        </w:tabs>
        <w:numPr>
          <w:ilvl w:val="0"/>
          <w:numId w:val="14"/>
        </w:numPr>
        <w:rPr>
          <w:rFonts w:ascii="Arial" w:cs="Arial" w:eastAsia="Arial" w:hAnsi="Arial"/>
          <w:sz w:val="17"/>
          <w:szCs w:val="17"/>
          <w:color w:val="1CB6EA"/>
        </w:rPr>
      </w:pPr>
      <w:r>
        <w:rPr>
          <w:rFonts w:ascii="Arial" w:cs="Arial" w:eastAsia="Arial" w:hAnsi="Arial"/>
          <w:sz w:val="17"/>
          <w:szCs w:val="17"/>
          <w:color w:val="auto"/>
        </w:rPr>
        <w:t xml:space="preserve">voting again by telephone or the Internet </w:t>
      </w:r>
      <w:r>
        <w:rPr>
          <w:rFonts w:ascii="Arial" w:cs="Arial" w:eastAsia="Arial" w:hAnsi="Arial"/>
          <w:sz w:val="17"/>
          <w:szCs w:val="17"/>
          <w:u w:val="single" w:color="auto"/>
          <w:color w:val="auto"/>
        </w:rPr>
        <w:t>by 11:59 p.m., Eastern Time,</w:t>
      </w:r>
      <w:r>
        <w:rPr>
          <w:rFonts w:ascii="Arial" w:cs="Arial" w:eastAsia="Arial" w:hAnsi="Arial"/>
          <w:sz w:val="17"/>
          <w:szCs w:val="17"/>
          <w:color w:val="auto"/>
        </w:rPr>
        <w:t xml:space="preserve"> </w:t>
      </w:r>
      <w:r>
        <w:rPr>
          <w:rFonts w:ascii="Arial" w:cs="Arial" w:eastAsia="Arial" w:hAnsi="Arial"/>
          <w:sz w:val="17"/>
          <w:szCs w:val="17"/>
          <w:u w:val="single" w:color="auto"/>
          <w:color w:val="auto"/>
        </w:rPr>
        <w:t>on March 10, 2019</w:t>
      </w:r>
      <w:r>
        <w:rPr>
          <w:rFonts w:ascii="Arial" w:cs="Arial" w:eastAsia="Arial" w:hAnsi="Arial"/>
          <w:sz w:val="17"/>
          <w:szCs w:val="17"/>
          <w:color w:val="auto"/>
        </w:rPr>
        <w:t>;</w:t>
      </w:r>
    </w:p>
    <w:p>
      <w:pPr>
        <w:spacing w:after="0" w:line="49" w:lineRule="exact"/>
        <w:rPr>
          <w:rFonts w:ascii="Arial" w:cs="Arial" w:eastAsia="Arial" w:hAnsi="Arial"/>
          <w:sz w:val="17"/>
          <w:szCs w:val="17"/>
          <w:color w:val="1CB6EA"/>
        </w:rPr>
      </w:pPr>
    </w:p>
    <w:p>
      <w:pPr>
        <w:ind w:left="140" w:right="20" w:hanging="132"/>
        <w:spacing w:after="0" w:line="243" w:lineRule="auto"/>
        <w:tabs>
          <w:tab w:leader="none" w:pos="140" w:val="left"/>
        </w:tabs>
        <w:numPr>
          <w:ilvl w:val="0"/>
          <w:numId w:val="14"/>
        </w:numPr>
        <w:rPr>
          <w:rFonts w:ascii="Arial" w:cs="Arial" w:eastAsia="Arial" w:hAnsi="Arial"/>
          <w:sz w:val="17"/>
          <w:szCs w:val="17"/>
          <w:color w:val="1CB6EA"/>
        </w:rPr>
      </w:pPr>
      <w:r>
        <w:rPr>
          <w:rFonts w:ascii="Arial" w:cs="Arial" w:eastAsia="Arial" w:hAnsi="Arial"/>
          <w:sz w:val="17"/>
          <w:szCs w:val="17"/>
          <w:color w:val="auto"/>
        </w:rPr>
        <w:t>submitting a proxy bearing a later date than the proxy being revoked to Broadridge, P.O.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8"/>
        <w:spacing w:after="0" w:line="243" w:lineRule="auto"/>
        <w:rPr>
          <w:sz w:val="20"/>
          <w:szCs w:val="20"/>
          <w:color w:val="auto"/>
        </w:rPr>
      </w:pPr>
      <w:r>
        <w:rPr>
          <w:rFonts w:ascii="Arial" w:cs="Arial" w:eastAsia="Arial" w:hAnsi="Arial"/>
          <w:sz w:val="17"/>
          <w:szCs w:val="17"/>
          <w:color w:val="auto"/>
        </w:rPr>
        <w:t xml:space="preserve">9111, Farmingdale, NY 11735, so long as it is received </w:t>
      </w:r>
      <w:r>
        <w:rPr>
          <w:rFonts w:ascii="Arial" w:cs="Arial" w:eastAsia="Arial" w:hAnsi="Arial"/>
          <w:sz w:val="17"/>
          <w:szCs w:val="17"/>
          <w:u w:val="single" w:color="auto"/>
          <w:color w:val="auto"/>
        </w:rPr>
        <w:t>by 11:59 p.m.,</w:t>
      </w:r>
      <w:r>
        <w:rPr>
          <w:rFonts w:ascii="Arial" w:cs="Arial" w:eastAsia="Arial" w:hAnsi="Arial"/>
          <w:sz w:val="17"/>
          <w:szCs w:val="17"/>
          <w:color w:val="auto"/>
        </w:rPr>
        <w:t xml:space="preserve"> </w:t>
      </w:r>
      <w:r>
        <w:rPr>
          <w:rFonts w:ascii="Arial" w:cs="Arial" w:eastAsia="Arial" w:hAnsi="Arial"/>
          <w:sz w:val="17"/>
          <w:szCs w:val="17"/>
          <w:u w:val="single" w:color="auto"/>
          <w:color w:val="auto"/>
        </w:rPr>
        <w:t>Eastern Time, on March 7, 2019</w:t>
      </w:r>
      <w:r>
        <w:rPr>
          <w:rFonts w:ascii="Arial" w:cs="Arial" w:eastAsia="Arial" w:hAnsi="Arial"/>
          <w:sz w:val="17"/>
          <w:szCs w:val="17"/>
          <w:color w:val="auto"/>
        </w:rPr>
        <w:t>; or</w:t>
      </w:r>
    </w:p>
    <w:p>
      <w:pPr>
        <w:spacing w:after="0" w:line="50" w:lineRule="exact"/>
        <w:rPr>
          <w:sz w:val="20"/>
          <w:szCs w:val="20"/>
          <w:color w:val="auto"/>
        </w:rPr>
      </w:pPr>
    </w:p>
    <w:p>
      <w:pPr>
        <w:ind w:left="138" w:hanging="138"/>
        <w:spacing w:after="0"/>
        <w:tabs>
          <w:tab w:leader="none" w:pos="138" w:val="left"/>
        </w:tabs>
        <w:numPr>
          <w:ilvl w:val="0"/>
          <w:numId w:val="15"/>
        </w:numPr>
        <w:rPr>
          <w:rFonts w:ascii="Arial" w:cs="Arial" w:eastAsia="Arial" w:hAnsi="Arial"/>
          <w:sz w:val="17"/>
          <w:szCs w:val="17"/>
          <w:color w:val="1CB6EA"/>
        </w:rPr>
      </w:pPr>
      <w:r>
        <w:rPr>
          <w:rFonts w:ascii="Arial" w:cs="Arial" w:eastAsia="Arial" w:hAnsi="Arial"/>
          <w:sz w:val="17"/>
          <w:szCs w:val="17"/>
          <w:color w:val="auto"/>
        </w:rPr>
        <w:t>attending the Annual Meeting and voting in person.</w:t>
      </w:r>
    </w:p>
    <w:p>
      <w:pPr>
        <w:spacing w:after="0" w:line="846" w:lineRule="exact"/>
        <w:rPr>
          <w:sz w:val="20"/>
          <w:szCs w:val="20"/>
          <w:color w:val="auto"/>
        </w:rPr>
      </w:pPr>
    </w:p>
    <w:p>
      <w:pPr>
        <w:sectPr>
          <w:pgSz w:w="11900" w:h="16838" w:orient="portrait"/>
          <w:cols w:equalWidth="0" w:num="2">
            <w:col w:w="5480" w:space="462"/>
            <w:col w:w="5478"/>
          </w:cols>
          <w:pgMar w:left="240" w:top="125" w:right="239" w:bottom="1440" w:gutter="0" w:footer="0" w:header="0"/>
          <w:type w:val="continuous"/>
        </w:sect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Shares Held in the Viacom 401(k) Plan</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You may change or revoke your voting instructions relating to shares of</w:t>
      </w:r>
    </w:p>
    <w:p>
      <w:pPr>
        <w:spacing w:after="0"/>
        <w:rPr>
          <w:sz w:val="20"/>
          <w:szCs w:val="20"/>
          <w:color w:val="auto"/>
        </w:rPr>
      </w:pPr>
      <w:r>
        <w:rPr>
          <w:rFonts w:ascii="Arial" w:cs="Arial" w:eastAsia="Arial" w:hAnsi="Arial"/>
          <w:sz w:val="17"/>
          <w:szCs w:val="17"/>
          <w:color w:val="auto"/>
        </w:rPr>
        <w:t>Class A common stock held in the 401(k) plan by:</w:t>
      </w:r>
    </w:p>
    <w:p>
      <w:pPr>
        <w:spacing w:after="0" w:line="75" w:lineRule="exact"/>
        <w:rPr>
          <w:sz w:val="20"/>
          <w:szCs w:val="20"/>
          <w:color w:val="auto"/>
        </w:rPr>
      </w:pPr>
    </w:p>
    <w:p>
      <w:pPr>
        <w:ind w:left="140" w:right="20" w:hanging="132"/>
        <w:spacing w:after="0" w:line="243" w:lineRule="auto"/>
        <w:tabs>
          <w:tab w:leader="none" w:pos="140" w:val="left"/>
        </w:tabs>
        <w:numPr>
          <w:ilvl w:val="0"/>
          <w:numId w:val="16"/>
        </w:numPr>
        <w:rPr>
          <w:rFonts w:ascii="Arial" w:cs="Arial" w:eastAsia="Arial" w:hAnsi="Arial"/>
          <w:sz w:val="17"/>
          <w:szCs w:val="17"/>
          <w:color w:val="1CB6EA"/>
        </w:rPr>
      </w:pPr>
      <w:r>
        <w:rPr>
          <w:rFonts w:ascii="Arial" w:cs="Arial" w:eastAsia="Arial" w:hAnsi="Arial"/>
          <w:sz w:val="17"/>
          <w:szCs w:val="17"/>
          <w:color w:val="auto"/>
        </w:rPr>
        <w:t xml:space="preserve">voting again by telephone or the Internet </w:t>
      </w:r>
      <w:r>
        <w:rPr>
          <w:rFonts w:ascii="Arial" w:cs="Arial" w:eastAsia="Arial" w:hAnsi="Arial"/>
          <w:sz w:val="17"/>
          <w:szCs w:val="17"/>
          <w:u w:val="single" w:color="auto"/>
          <w:color w:val="auto"/>
        </w:rPr>
        <w:t>by 11:59 p.m., Eastern Time,</w:t>
      </w:r>
      <w:r>
        <w:rPr>
          <w:rFonts w:ascii="Arial" w:cs="Arial" w:eastAsia="Arial" w:hAnsi="Arial"/>
          <w:sz w:val="17"/>
          <w:szCs w:val="17"/>
          <w:color w:val="auto"/>
        </w:rPr>
        <w:t xml:space="preserve"> </w:t>
      </w:r>
      <w:r>
        <w:rPr>
          <w:rFonts w:ascii="Arial" w:cs="Arial" w:eastAsia="Arial" w:hAnsi="Arial"/>
          <w:sz w:val="17"/>
          <w:szCs w:val="17"/>
          <w:u w:val="single" w:color="auto"/>
          <w:color w:val="auto"/>
        </w:rPr>
        <w:t>on March 7, 2019</w:t>
      </w:r>
      <w:r>
        <w:rPr>
          <w:rFonts w:ascii="Arial" w:cs="Arial" w:eastAsia="Arial" w:hAnsi="Arial"/>
          <w:sz w:val="17"/>
          <w:szCs w:val="17"/>
          <w:color w:val="auto"/>
        </w:rPr>
        <w:t>;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38" w:right="20" w:hanging="138"/>
        <w:spacing w:after="0" w:line="238" w:lineRule="auto"/>
        <w:tabs>
          <w:tab w:leader="none" w:pos="138" w:val="left"/>
        </w:tabs>
        <w:numPr>
          <w:ilvl w:val="0"/>
          <w:numId w:val="17"/>
        </w:numPr>
        <w:rPr>
          <w:rFonts w:ascii="Arial" w:cs="Arial" w:eastAsia="Arial" w:hAnsi="Arial"/>
          <w:sz w:val="17"/>
          <w:szCs w:val="17"/>
          <w:color w:val="1CB6EA"/>
        </w:rPr>
      </w:pPr>
      <w:r>
        <w:rPr>
          <w:rFonts w:ascii="Arial" w:cs="Arial" w:eastAsia="Arial" w:hAnsi="Arial"/>
          <w:sz w:val="17"/>
          <w:szCs w:val="17"/>
          <w:color w:val="auto"/>
        </w:rPr>
        <w:t xml:space="preserve">submitting a proxy bearing a later date than the proxy being revoked to Broadridge, P.O. Box 9111, Farmingdale, NY 11735, so long as it is received </w:t>
      </w:r>
      <w:r>
        <w:rPr>
          <w:rFonts w:ascii="Arial" w:cs="Arial" w:eastAsia="Arial" w:hAnsi="Arial"/>
          <w:sz w:val="17"/>
          <w:szCs w:val="17"/>
          <w:u w:val="single" w:color="auto"/>
          <w:color w:val="auto"/>
        </w:rPr>
        <w:t>by 11:59 p.m., Eastern Time, on March 7, 2019</w:t>
      </w:r>
      <w:r>
        <w:rPr>
          <w:rFonts w:ascii="Arial" w:cs="Arial" w:eastAsia="Arial" w:hAnsi="Arial"/>
          <w:sz w:val="17"/>
          <w:szCs w:val="17"/>
          <w:color w:val="auto"/>
        </w:rPr>
        <w:t>.</w:t>
      </w:r>
    </w:p>
    <w:p>
      <w:pPr>
        <w:spacing w:after="0" w:line="59" w:lineRule="exact"/>
        <w:rPr>
          <w:sz w:val="20"/>
          <w:szCs w:val="20"/>
          <w:color w:val="auto"/>
        </w:rPr>
      </w:pPr>
    </w:p>
    <w:tbl>
      <w:tblPr>
        <w:tblLayout w:type="fixed"/>
        <w:tblInd w:w="978" w:type="dxa"/>
        <w:tblCellMar>
          <w:top w:w="0" w:type="dxa"/>
          <w:left w:w="0" w:type="dxa"/>
          <w:bottom w:w="0" w:type="dxa"/>
          <w:right w:w="0" w:type="dxa"/>
        </w:tblCellMar>
      </w:tblPr>
      <w:tr>
        <w:trPr>
          <w:trHeight w:val="419"/>
        </w:trPr>
        <w:tc>
          <w:tcPr>
            <w:tcW w:w="130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1CB6EA"/>
              </w:rPr>
              <w:t>VIACOM INC.</w:t>
            </w:r>
          </w:p>
        </w:tc>
        <w:tc>
          <w:tcPr>
            <w:tcW w:w="3200" w:type="dxa"/>
            <w:vAlign w:val="bottom"/>
          </w:tcPr>
          <w:p>
            <w:pPr>
              <w:ind w:left="10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64770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2"/>
            <w:col w:w="5478"/>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401320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13200" cy="171450"/>
                    </a:xfrm>
                    <a:prstGeom prst="rect">
                      <a:avLst/>
                    </a:prstGeom>
                    <a:noFill/>
                  </pic:spPr>
                </pic:pic>
              </a:graphicData>
            </a:graphic>
          </wp:anchor>
        </w:drawing>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QUESTIONS AND ANSWERS ABOUT THE 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gain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1CB6EA"/>
        </w:rPr>
        <w:t>If you are a registered holder of Class A common stock:</w:t>
      </w:r>
    </w:p>
    <w:p>
      <w:pPr>
        <w:spacing w:after="0" w:line="339"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Please indicate that you plan to attend the meeting when you vote by telephone or the Internet, or mark the appropriate box on the proxy or voting instruction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card, and an admission ticket will be sent to you. Please bring photo identification with you for admittance to the meeting.</w:t>
      </w:r>
    </w:p>
    <w:p>
      <w:pPr>
        <w:spacing w:after="0" w:line="385" w:lineRule="exact"/>
        <w:rPr>
          <w:sz w:val="20"/>
          <w:szCs w:val="20"/>
          <w:color w:val="auto"/>
        </w:rPr>
      </w:pPr>
    </w:p>
    <w:p>
      <w:pPr>
        <w:sectPr>
          <w:pgSz w:w="11900" w:h="16838" w:orient="portrait"/>
          <w:cols w:equalWidth="0" w:num="2">
            <w:col w:w="5740" w:space="200"/>
            <w:col w:w="5500"/>
          </w:cols>
          <w:pgMar w:left="240" w:top="125" w:right="219" w:bottom="1440" w:gutter="0" w:footer="0" w:header="0"/>
          <w:type w:val="continuous"/>
        </w:sectPr>
      </w:pP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22"/>
          <w:szCs w:val="22"/>
          <w:b w:val="1"/>
          <w:bCs w:val="1"/>
          <w:color w:val="1CB6EA"/>
        </w:rPr>
        <w:t>If you are a registered holder of Class B common stock or hold Class A or Class B common stock beneficially in a brokerage account or otherwise:</w:t>
      </w:r>
    </w:p>
    <w:p>
      <w:pPr>
        <w:sectPr>
          <w:pgSz w:w="11900" w:h="16838" w:orient="portrait"/>
          <w:cols w:equalWidth="0" w:num="1">
            <w:col w:w="11440"/>
          </w:cols>
          <w:pgMar w:left="240" w:top="125" w:right="219" w:bottom="1440" w:gutter="0" w:footer="0" w:header="0"/>
          <w:type w:val="continuous"/>
        </w:sectPr>
      </w:pPr>
    </w:p>
    <w:p>
      <w:pPr>
        <w:spacing w:after="0" w:line="27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You must obtain an admission ticket in advance by sending a written request along with proof of ownership (such as your brokerage firm account statement or statement of holdings from our transfer</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both"/>
        <w:ind w:right="40"/>
        <w:spacing w:after="0" w:line="209" w:lineRule="auto"/>
        <w:rPr>
          <w:sz w:val="20"/>
          <w:szCs w:val="20"/>
          <w:color w:val="auto"/>
        </w:rPr>
      </w:pPr>
      <w:r>
        <w:rPr>
          <w:rFonts w:ascii="Arial" w:cs="Arial" w:eastAsia="Arial" w:hAnsi="Arial"/>
          <w:sz w:val="17"/>
          <w:szCs w:val="17"/>
          <w:color w:val="auto"/>
        </w:rPr>
        <w:t>agent) to Director, Shareholder Relations, Viacom Inc., 1515 Broadway, 52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Floor, New York, New York 10036-5794. Please bring photo identification with you for admittance to the meeting.</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pays the cost of soliciting votes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will pay the cost of the solicitation of proxies, including the preparation, website posting, printing and delivery of the proxy materials. We will furnish copies of these materials to banks, brokers,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fiduciaries, custodians and other nominees that hold shares on behalf of beneficial owners so that they may forward the materials to beneficial owners.</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We have retained American Election Services, LLC to tabulate the votes</w:t>
      </w:r>
    </w:p>
    <w:p>
      <w:pPr>
        <w:spacing w:after="0" w:line="232" w:lineRule="auto"/>
        <w:rPr>
          <w:sz w:val="20"/>
          <w:szCs w:val="20"/>
          <w:color w:val="auto"/>
        </w:rPr>
      </w:pPr>
      <w:r>
        <w:rPr>
          <w:rFonts w:ascii="Arial" w:cs="Arial" w:eastAsia="Arial" w:hAnsi="Arial"/>
          <w:sz w:val="17"/>
          <w:szCs w:val="17"/>
          <w:color w:val="auto"/>
        </w:rPr>
        <w:t>and serve as the independent inspector of election for the Annual</w:t>
      </w:r>
    </w:p>
    <w:p>
      <w:pPr>
        <w:spacing w:after="0"/>
        <w:rPr>
          <w:sz w:val="20"/>
          <w:szCs w:val="20"/>
          <w:color w:val="auto"/>
        </w:rPr>
      </w:pPr>
      <w:r>
        <w:rPr>
          <w:rFonts w:ascii="Arial" w:cs="Arial" w:eastAsia="Arial" w:hAnsi="Arial"/>
          <w:sz w:val="17"/>
          <w:szCs w:val="17"/>
          <w:color w:val="auto"/>
        </w:rPr>
        <w:t>Meeting.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We will publish the final results of the voting in a Current Report on</w:t>
      </w:r>
    </w:p>
    <w:p>
      <w:pPr>
        <w:spacing w:after="0"/>
        <w:rPr>
          <w:sz w:val="20"/>
          <w:szCs w:val="20"/>
          <w:color w:val="auto"/>
        </w:rPr>
      </w:pPr>
      <w:r>
        <w:rPr>
          <w:rFonts w:ascii="Arial" w:cs="Arial" w:eastAsia="Arial" w:hAnsi="Arial"/>
          <w:sz w:val="17"/>
          <w:szCs w:val="17"/>
          <w:color w:val="auto"/>
        </w:rPr>
        <w:t>Form 8-K within four business days following the Annual Meeting.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4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FFFFFF"/>
          <w:shd w:val="clear" w:color="auto" w:fill="1CB6EA"/>
        </w:rPr>
        <w:t>COMPANY INFORMATION AND MAILING ADDRESS</w:t>
      </w:r>
    </w:p>
    <w:p>
      <w:pPr>
        <w:spacing w:after="0" w:line="133" w:lineRule="exact"/>
        <w:rPr>
          <w:sz w:val="20"/>
          <w:szCs w:val="20"/>
          <w:color w:val="auto"/>
        </w:rPr>
      </w:pPr>
    </w:p>
    <w:p>
      <w:pPr>
        <w:spacing w:after="0"/>
        <w:rPr>
          <w:sz w:val="20"/>
          <w:szCs w:val="20"/>
          <w:color w:val="auto"/>
        </w:rPr>
      </w:pPr>
      <w:r>
        <w:rPr>
          <w:rFonts w:ascii="Arial" w:cs="Arial" w:eastAsia="Arial" w:hAnsi="Arial"/>
          <w:sz w:val="40"/>
          <w:szCs w:val="40"/>
          <w:b w:val="1"/>
          <w:bCs w:val="1"/>
          <w:color w:val="1CB6EA"/>
        </w:rPr>
        <w:t>COMPANY INFORMATION AND 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were organized as a Delaware corporation in 2005 in connection with our separation from former Viacom Inc. (“Former Viacom”), now known as CBS Corporation, which was effective January 1, 2006. Our mailing address is Viacom Inc., 1515 Broadway, New York, NY 10036-5794, and our telephone number is (212) 846-6000. Our website address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u w:val="single" w:color="auto"/>
          <w:color w:val="auto"/>
        </w:rPr>
        <w:t>www.viacom.com</w:t>
      </w:r>
      <w:r>
        <w:rPr>
          <w:rFonts w:ascii="Arial" w:cs="Arial" w:eastAsia="Arial" w:hAnsi="Arial"/>
          <w:sz w:val="17"/>
          <w:szCs w:val="17"/>
          <w:color w:val="auto"/>
        </w:rPr>
        <w:t>. References in this proxy statement to “Viacom,” “company,” “we,” “us” and “our” refer to Viacom Inc. and our consolidated subsidiaries, unless the context requires otherwise. Information on our website is not intended to be incorporated into this proxy statement.</w:t>
      </w:r>
    </w:p>
    <w:p>
      <w:pPr>
        <w:spacing w:after="0" w:line="388" w:lineRule="exact"/>
        <w:rPr>
          <w:sz w:val="20"/>
          <w:szCs w:val="20"/>
          <w:color w:val="auto"/>
        </w:rPr>
      </w:pPr>
    </w:p>
    <w:p>
      <w:pPr>
        <w:sectPr>
          <w:pgSz w:w="11900" w:h="16838" w:orient="portrait"/>
          <w:cols w:equalWidth="0" w:num="2">
            <w:col w:w="5600" w:space="220"/>
            <w:col w:w="5620"/>
          </w:cols>
          <w:pgMar w:left="240" w:top="125" w:right="21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10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5</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b w:val="1"/>
          <w:bCs w:val="1"/>
          <w:color w:val="FFFFFF"/>
          <w:shd w:val="clear" w:color="auto" w:fill="1CB6EA"/>
        </w:rPr>
        <w:t xml:space="preserve">ITEM 1 </w:t>
      </w:r>
      <w:r>
        <w:rPr>
          <w:rFonts w:ascii="MS PGothic" w:cs="MS PGothic" w:eastAsia="MS PGothic" w:hAnsi="MS PGothic"/>
          <w:sz w:val="14"/>
          <w:szCs w:val="14"/>
          <w:b w:val="1"/>
          <w:bCs w:val="1"/>
          <w:color w:val="FFFFFF"/>
          <w:shd w:val="clear" w:color="auto" w:fill="1CB6EA"/>
        </w:rPr>
        <w:t>‑</w:t>
      </w:r>
      <w:r>
        <w:rPr>
          <w:rFonts w:ascii="Arial" w:cs="Arial" w:eastAsia="Arial" w:hAnsi="Arial"/>
          <w:sz w:val="14"/>
          <w:szCs w:val="14"/>
          <w:b w:val="1"/>
          <w:bCs w:val="1"/>
          <w:color w:val="FFFFFF"/>
          <w:shd w:val="clear" w:color="auto" w:fill="1CB6EA"/>
        </w:rPr>
        <w:t xml:space="preserve"> ELECTION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39"/>
          <w:szCs w:val="39"/>
          <w:b w:val="1"/>
          <w:bCs w:val="1"/>
          <w:color w:val="1CB6EA"/>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election of nine directors is proposed by the Board of Directors. In accordance with our Amended and Restated Certificate of Incorporation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Amended and Restated Bylaws, each director will hold office for a term of one year and until his or her successor is duly elected and qualified.</w:t>
      </w:r>
    </w:p>
    <w:p>
      <w:pPr>
        <w:spacing w:after="0" w:line="38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7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Governance and Nominating Committee is responsible for reviewing the composition of our Board annually after considering the Board’s anticipated needs for the upcoming year. In recommending director nominees to our Board, the members of the Governance and Nominating Committee consider information on the experience and qualifications of each director nominee, including each nominee’s independence, each incumbent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director’s performance as a Viacom Board member, and an overall assessment of the Board’s functioning.</w:t>
      </w:r>
    </w:p>
    <w:p>
      <w:pPr>
        <w:spacing w:after="0" w:line="50"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All of our director nominees are current members of our Board of Directors. The Governance and Nominating Committee unanimously recommended to the Board that the director nominees be invited to stand for re-election at the Annual Meeting.</w:t>
      </w:r>
    </w:p>
    <w:p>
      <w:pPr>
        <w:spacing w:after="0" w:line="319"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Director Qualifications and Biographies</w:t>
      </w:r>
    </w:p>
    <w:p>
      <w:pPr>
        <w:spacing w:after="0" w:line="327"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Governance and Nominating Committee, consistent with the desires of the full Board and our controlling stockholder, seeks to achieve a Board that represents a diverse mix of skills, perspectives, talents, backgrounds and education that will enhance our decision-making process, oversee management’s execution of strategic objectives and represent the interests of all of our stockholders. Independence is a key factor when considering the director nominees, as are critical thinking skills, practical wisdom and mature judgment in the decision-making process. Our Board composition reflects our commitment to include individuals from diverse backgrounds and with diverse experience, and the members of our Governance and Nominating Committee are mindful of that objective when they nominate directors for election. Our Board composition also reflects the Governance and Nominating Committee’s determination as to the appropriate size of the Board to facilitate effective communication and cooperation.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that follows includes each director nominee’s:</w:t>
      </w:r>
    </w:p>
    <w:p>
      <w:pPr>
        <w:spacing w:after="0" w:line="61" w:lineRule="exact"/>
        <w:rPr>
          <w:sz w:val="20"/>
          <w:szCs w:val="20"/>
          <w:color w:val="auto"/>
        </w:rPr>
      </w:pPr>
    </w:p>
    <w:p>
      <w:pPr>
        <w:ind w:left="140" w:right="20" w:hanging="132"/>
        <w:spacing w:after="0" w:line="243" w:lineRule="auto"/>
        <w:tabs>
          <w:tab w:leader="none" w:pos="140" w:val="left"/>
        </w:tabs>
        <w:numPr>
          <w:ilvl w:val="0"/>
          <w:numId w:val="18"/>
        </w:numPr>
        <w:rPr>
          <w:rFonts w:ascii="Arial" w:cs="Arial" w:eastAsia="Arial" w:hAnsi="Arial"/>
          <w:sz w:val="17"/>
          <w:szCs w:val="17"/>
          <w:color w:val="1CB6EA"/>
        </w:rPr>
      </w:pPr>
      <w:r>
        <w:rPr>
          <w:rFonts w:ascii="Arial" w:cs="Arial" w:eastAsia="Arial" w:hAnsi="Arial"/>
          <w:sz w:val="17"/>
          <w:szCs w:val="17"/>
          <w:color w:val="auto"/>
        </w:rPr>
        <w:t>independence status as determined by the Board of Directors in accordance with the standards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140" w:right="20"/>
        <w:spacing w:after="0" w:line="238" w:lineRule="auto"/>
        <w:rPr>
          <w:sz w:val="20"/>
          <w:szCs w:val="20"/>
          <w:color w:val="auto"/>
        </w:rPr>
      </w:pPr>
      <w:r>
        <w:rPr>
          <w:rFonts w:ascii="Arial" w:cs="Arial" w:eastAsia="Arial" w:hAnsi="Arial"/>
          <w:sz w:val="17"/>
          <w:szCs w:val="17"/>
          <w:color w:val="auto"/>
        </w:rPr>
        <w:t>forth in the listing standards of the NASDAQ Global Select Market (“NASDAQ”) and our Corporate Governance Guidelines, as discussed under “Our Board of Directors”;</w:t>
      </w:r>
    </w:p>
    <w:p>
      <w:pPr>
        <w:spacing w:after="0" w:line="53" w:lineRule="exact"/>
        <w:rPr>
          <w:sz w:val="20"/>
          <w:szCs w:val="20"/>
          <w:color w:val="auto"/>
        </w:rPr>
      </w:pPr>
    </w:p>
    <w:p>
      <w:pPr>
        <w:ind w:left="140" w:hanging="138"/>
        <w:spacing w:after="0"/>
        <w:tabs>
          <w:tab w:leader="none" w:pos="140" w:val="left"/>
        </w:tabs>
        <w:numPr>
          <w:ilvl w:val="0"/>
          <w:numId w:val="19"/>
        </w:numPr>
        <w:rPr>
          <w:rFonts w:ascii="Arial" w:cs="Arial" w:eastAsia="Arial" w:hAnsi="Arial"/>
          <w:sz w:val="17"/>
          <w:szCs w:val="17"/>
          <w:color w:val="1CB6EA"/>
        </w:rPr>
      </w:pPr>
      <w:r>
        <w:rPr>
          <w:rFonts w:ascii="Arial" w:cs="Arial" w:eastAsia="Arial" w:hAnsi="Arial"/>
          <w:sz w:val="17"/>
          <w:szCs w:val="17"/>
          <w:color w:val="auto"/>
        </w:rPr>
        <w:t>tenure on our Board and the Board of Former Viacom, as applicable;</w:t>
      </w:r>
    </w:p>
    <w:p>
      <w:pPr>
        <w:spacing w:after="0" w:line="61" w:lineRule="exact"/>
        <w:rPr>
          <w:rFonts w:ascii="Arial" w:cs="Arial" w:eastAsia="Arial" w:hAnsi="Arial"/>
          <w:sz w:val="17"/>
          <w:szCs w:val="17"/>
          <w:color w:val="1CB6EA"/>
        </w:rPr>
      </w:pPr>
    </w:p>
    <w:p>
      <w:pPr>
        <w:jc w:val="both"/>
        <w:ind w:left="140" w:right="20" w:hanging="138"/>
        <w:spacing w:after="0" w:line="238" w:lineRule="auto"/>
        <w:tabs>
          <w:tab w:leader="none" w:pos="140" w:val="left"/>
        </w:tabs>
        <w:numPr>
          <w:ilvl w:val="0"/>
          <w:numId w:val="19"/>
        </w:numPr>
        <w:rPr>
          <w:rFonts w:ascii="Arial" w:cs="Arial" w:eastAsia="Arial" w:hAnsi="Arial"/>
          <w:sz w:val="17"/>
          <w:szCs w:val="17"/>
          <w:color w:val="1CB6EA"/>
        </w:rPr>
      </w:pPr>
      <w:r>
        <w:rPr>
          <w:rFonts w:ascii="Arial" w:cs="Arial" w:eastAsia="Arial" w:hAnsi="Arial"/>
          <w:sz w:val="17"/>
          <w:szCs w:val="17"/>
          <w:color w:val="auto"/>
        </w:rPr>
        <w:t>experience, skills, qualifications and attributes that the Governance and Nominating Committee and the Board considered in concluding that each director nominee should serve on Viacom’s Board; and</w:t>
      </w:r>
    </w:p>
    <w:p>
      <w:pPr>
        <w:spacing w:after="0" w:line="53" w:lineRule="exact"/>
        <w:rPr>
          <w:rFonts w:ascii="Arial" w:cs="Arial" w:eastAsia="Arial" w:hAnsi="Arial"/>
          <w:sz w:val="17"/>
          <w:szCs w:val="17"/>
          <w:color w:val="1CB6EA"/>
        </w:rPr>
      </w:pPr>
    </w:p>
    <w:p>
      <w:pPr>
        <w:ind w:left="140" w:right="40" w:hanging="138"/>
        <w:spacing w:after="0" w:line="243" w:lineRule="auto"/>
        <w:tabs>
          <w:tab w:leader="none" w:pos="140" w:val="left"/>
        </w:tabs>
        <w:numPr>
          <w:ilvl w:val="0"/>
          <w:numId w:val="19"/>
        </w:numPr>
        <w:rPr>
          <w:rFonts w:ascii="Arial" w:cs="Arial" w:eastAsia="Arial" w:hAnsi="Arial"/>
          <w:sz w:val="17"/>
          <w:szCs w:val="17"/>
          <w:color w:val="1CB6EA"/>
        </w:rPr>
      </w:pPr>
      <w:r>
        <w:rPr>
          <w:rFonts w:ascii="Arial" w:cs="Arial" w:eastAsia="Arial" w:hAnsi="Arial"/>
          <w:sz w:val="17"/>
          <w:szCs w:val="17"/>
          <w:color w:val="auto"/>
        </w:rPr>
        <w:t>service on the boards of directors of other public companies and investment companies during the past five years.</w:t>
      </w:r>
    </w:p>
    <w:p>
      <w:pPr>
        <w:spacing w:after="0" w:line="5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Important information about Viacom’s corporate governance practices, the responsibilities and functioning of the Board and its committees, director compensation and related person transactions is found elsewhere in this proxy statement. We encourage you to review this information in connection with your decisions on the election of the director nominees.</w:t>
      </w:r>
    </w:p>
    <w:p>
      <w:pPr>
        <w:spacing w:after="0" w:line="824"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6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42"/>
        </w:trPr>
        <w:tc>
          <w:tcPr>
            <w:tcW w:w="2220" w:type="dxa"/>
            <w:vAlign w:val="bottom"/>
            <w:tcBorders>
              <w:bottom w:val="single" w:sz="8" w:color="9A9A9A"/>
            </w:tcBorders>
          </w:tcPr>
          <w:p>
            <w:pPr>
              <w:spacing w:after="0"/>
              <w:rPr>
                <w:sz w:val="12"/>
                <w:szCs w:val="12"/>
                <w:color w:val="auto"/>
              </w:rPr>
            </w:pPr>
          </w:p>
        </w:tc>
        <w:tc>
          <w:tcPr>
            <w:tcW w:w="92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560" w:type="dxa"/>
            <w:vAlign w:val="bottom"/>
            <w:tcBorders>
              <w:bottom w:val="single" w:sz="8" w:color="1CB6EA"/>
            </w:tcBorders>
            <w:shd w:val="clear" w:color="auto" w:fill="1CB6EA"/>
          </w:tcPr>
          <w:p>
            <w:pPr>
              <w:ind w:left="80"/>
              <w:spacing w:after="0" w:line="161" w:lineRule="exact"/>
              <w:rPr>
                <w:sz w:val="20"/>
                <w:szCs w:val="20"/>
                <w:color w:val="auto"/>
              </w:rPr>
            </w:pPr>
            <w:r>
              <w:rPr>
                <w:rFonts w:ascii="Arial" w:cs="Arial" w:eastAsia="Arial" w:hAnsi="Arial"/>
                <w:sz w:val="14"/>
                <w:szCs w:val="14"/>
                <w:b w:val="1"/>
                <w:bCs w:val="1"/>
                <w:color w:val="FFFFFF"/>
                <w:shd w:val="clear" w:color="auto" w:fill="1CB6EA"/>
              </w:rPr>
              <w:t xml:space="preserve">ITEM 1 </w:t>
            </w:r>
            <w:r>
              <w:rPr>
                <w:rFonts w:ascii="MS PGothic" w:cs="MS PGothic" w:eastAsia="MS PGothic" w:hAnsi="MS PGothic"/>
                <w:sz w:val="14"/>
                <w:szCs w:val="14"/>
                <w:b w:val="1"/>
                <w:bCs w:val="1"/>
                <w:color w:val="FFFFFF"/>
                <w:shd w:val="clear" w:color="auto" w:fill="1CB6EA"/>
              </w:rPr>
              <w:t>‑</w:t>
            </w:r>
            <w:r>
              <w:rPr>
                <w:rFonts w:ascii="Arial" w:cs="Arial" w:eastAsia="Arial" w:hAnsi="Arial"/>
                <w:sz w:val="14"/>
                <w:szCs w:val="14"/>
                <w:b w:val="1"/>
                <w:bCs w:val="1"/>
                <w:color w:val="FFFFFF"/>
                <w:shd w:val="clear" w:color="auto" w:fill="1CB6EA"/>
              </w:rPr>
              <w:t xml:space="preserve"> ELECTION OF DIRECTORS</w:t>
            </w:r>
          </w:p>
        </w:tc>
        <w:tc>
          <w:tcPr>
            <w:tcW w:w="0" w:type="dxa"/>
            <w:vAlign w:val="bottom"/>
          </w:tcPr>
          <w:p>
            <w:pPr>
              <w:spacing w:after="0"/>
              <w:rPr>
                <w:sz w:val="1"/>
                <w:szCs w:val="1"/>
                <w:color w:val="auto"/>
              </w:rPr>
            </w:pPr>
          </w:p>
        </w:tc>
      </w:tr>
      <w:tr>
        <w:trPr>
          <w:trHeight w:val="355"/>
        </w:trPr>
        <w:tc>
          <w:tcPr>
            <w:tcW w:w="6240" w:type="dxa"/>
            <w:vAlign w:val="bottom"/>
          </w:tcPr>
          <w:p>
            <w:pPr>
              <w:spacing w:after="0"/>
              <w:rPr>
                <w:sz w:val="20"/>
                <w:szCs w:val="20"/>
                <w:color w:val="auto"/>
              </w:rPr>
            </w:pPr>
            <w:r>
              <w:rPr>
                <w:rFonts w:ascii="Arial" w:cs="Arial" w:eastAsia="Arial" w:hAnsi="Arial"/>
                <w:sz w:val="20"/>
                <w:szCs w:val="20"/>
                <w:b w:val="1"/>
                <w:bCs w:val="1"/>
                <w:color w:val="00B0F0"/>
              </w:rPr>
              <w:t>Robert M. Bakish</w:t>
            </w: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380"/>
              <w:spacing w:after="0"/>
              <w:rPr>
                <w:sz w:val="20"/>
                <w:szCs w:val="20"/>
                <w:color w:val="auto"/>
              </w:rPr>
            </w:pPr>
            <w:r>
              <w:rPr>
                <w:rFonts w:ascii="Arial" w:cs="Arial" w:eastAsia="Arial" w:hAnsi="Arial"/>
                <w:sz w:val="20"/>
                <w:szCs w:val="20"/>
                <w:b w:val="1"/>
                <w:bCs w:val="1"/>
                <w:color w:val="auto"/>
                <w:w w:val="98"/>
              </w:rPr>
              <w:t>Not Independent (CEO)</w:t>
            </w:r>
          </w:p>
        </w:tc>
        <w:tc>
          <w:tcPr>
            <w:tcW w:w="0" w:type="dxa"/>
            <w:vAlign w:val="bottom"/>
          </w:tcPr>
          <w:p>
            <w:pPr>
              <w:spacing w:after="0"/>
              <w:rPr>
                <w:sz w:val="1"/>
                <w:szCs w:val="1"/>
                <w:color w:val="auto"/>
              </w:rPr>
            </w:pPr>
          </w:p>
        </w:tc>
      </w:tr>
      <w:tr>
        <w:trPr>
          <w:trHeight w:val="37"/>
        </w:trPr>
        <w:tc>
          <w:tcPr>
            <w:tcW w:w="6240" w:type="dxa"/>
            <w:vAlign w:val="bottom"/>
            <w:tcBorders>
              <w:bottom w:val="single" w:sz="8" w:color="auto"/>
            </w:tcBorders>
          </w:tcPr>
          <w:p>
            <w:pPr>
              <w:spacing w:after="0"/>
              <w:rPr>
                <w:sz w:val="3"/>
                <w:szCs w:val="3"/>
                <w:color w:val="auto"/>
              </w:rPr>
            </w:pPr>
          </w:p>
        </w:tc>
        <w:tc>
          <w:tcPr>
            <w:tcW w:w="518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406"/>
        </w:trPr>
        <w:tc>
          <w:tcPr>
            <w:tcW w:w="6240" w:type="dxa"/>
            <w:vAlign w:val="bottom"/>
          </w:tcPr>
          <w:p>
            <w:pPr>
              <w:ind w:left="288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55</w:t>
            </w:r>
          </w:p>
        </w:tc>
        <w:tc>
          <w:tcPr>
            <w:tcW w:w="5180" w:type="dxa"/>
            <w:vAlign w:val="bottom"/>
            <w:gridSpan w:val="3"/>
          </w:tcPr>
          <w:p>
            <w:pPr>
              <w:ind w:left="180"/>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6240" w:type="dxa"/>
            <w:vAlign w:val="bottom"/>
          </w:tcPr>
          <w:p>
            <w:pPr>
              <w:ind w:left="2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December 2016</w:t>
            </w:r>
          </w:p>
        </w:tc>
        <w:tc>
          <w:tcPr>
            <w:tcW w:w="500" w:type="dxa"/>
            <w:vAlign w:val="bottom"/>
          </w:tcPr>
          <w:p>
            <w:pPr>
              <w:ind w:left="360"/>
              <w:spacing w:after="0"/>
              <w:rPr>
                <w:sz w:val="20"/>
                <w:szCs w:val="20"/>
                <w:color w:val="auto"/>
              </w:rPr>
            </w:pPr>
            <w:r>
              <w:rPr>
                <w:rFonts w:ascii="Arial" w:cs="Arial" w:eastAsia="Arial" w:hAnsi="Arial"/>
                <w:sz w:val="16"/>
                <w:szCs w:val="16"/>
                <w:color w:val="auto"/>
              </w:rPr>
              <w:t>•</w:t>
            </w:r>
          </w:p>
        </w:tc>
        <w:tc>
          <w:tcPr>
            <w:tcW w:w="4680" w:type="dxa"/>
            <w:vAlign w:val="bottom"/>
            <w:gridSpan w:val="2"/>
          </w:tcPr>
          <w:p>
            <w:pPr>
              <w:ind w:left="10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92"/>
        </w:trPr>
        <w:tc>
          <w:tcPr>
            <w:tcW w:w="6240" w:type="dxa"/>
            <w:vAlign w:val="bottom"/>
          </w:tcPr>
          <w:p>
            <w:pPr>
              <w:ind w:left="2880"/>
              <w:spacing w:after="0"/>
              <w:rPr>
                <w:sz w:val="20"/>
                <w:szCs w:val="20"/>
                <w:color w:val="auto"/>
              </w:rPr>
            </w:pPr>
            <w:r>
              <w:rPr>
                <w:rFonts w:ascii="Arial" w:cs="Arial" w:eastAsia="Arial" w:hAnsi="Arial"/>
                <w:sz w:val="16"/>
                <w:szCs w:val="16"/>
                <w:b w:val="1"/>
                <w:bCs w:val="1"/>
                <w:color w:val="auto"/>
              </w:rPr>
              <w:t xml:space="preserve">Occupation: </w:t>
            </w:r>
            <w:r>
              <w:rPr>
                <w:rFonts w:ascii="Arial" w:cs="Arial" w:eastAsia="Arial" w:hAnsi="Arial"/>
                <w:sz w:val="16"/>
                <w:szCs w:val="16"/>
                <w:color w:val="auto"/>
              </w:rPr>
              <w:t>President and Chief Executive</w:t>
            </w:r>
          </w:p>
        </w:tc>
        <w:tc>
          <w:tcPr>
            <w:tcW w:w="5180" w:type="dxa"/>
            <w:vAlign w:val="bottom"/>
            <w:gridSpan w:val="3"/>
          </w:tcPr>
          <w:p>
            <w:pPr>
              <w:ind w:left="180"/>
              <w:spacing w:after="0"/>
              <w:rPr>
                <w:sz w:val="20"/>
                <w:szCs w:val="20"/>
                <w:color w:val="auto"/>
              </w:rPr>
            </w:pPr>
            <w:r>
              <w:rPr>
                <w:rFonts w:ascii="Arial" w:cs="Arial" w:eastAsia="Arial" w:hAnsi="Arial"/>
                <w:sz w:val="16"/>
                <w:szCs w:val="16"/>
                <w:b w:val="1"/>
                <w:bCs w:val="1"/>
                <w:color w:val="auto"/>
              </w:rPr>
              <w:t>Other Current Public Company Directorship(s):</w:t>
            </w:r>
          </w:p>
        </w:tc>
        <w:tc>
          <w:tcPr>
            <w:tcW w:w="0" w:type="dxa"/>
            <w:vAlign w:val="bottom"/>
          </w:tcPr>
          <w:p>
            <w:pPr>
              <w:spacing w:after="0"/>
              <w:rPr>
                <w:sz w:val="1"/>
                <w:szCs w:val="1"/>
                <w:color w:val="auto"/>
              </w:rPr>
            </w:pPr>
          </w:p>
        </w:tc>
      </w:tr>
      <w:tr>
        <w:trPr>
          <w:trHeight w:val="195"/>
        </w:trPr>
        <w:tc>
          <w:tcPr>
            <w:tcW w:w="6240" w:type="dxa"/>
            <w:vAlign w:val="bottom"/>
          </w:tcPr>
          <w:p>
            <w:pPr>
              <w:ind w:left="2880"/>
              <w:spacing w:after="0"/>
              <w:rPr>
                <w:sz w:val="20"/>
                <w:szCs w:val="20"/>
                <w:color w:val="auto"/>
              </w:rPr>
            </w:pPr>
            <w:r>
              <w:rPr>
                <w:rFonts w:ascii="Arial" w:cs="Arial" w:eastAsia="Arial" w:hAnsi="Arial"/>
                <w:sz w:val="16"/>
                <w:szCs w:val="16"/>
                <w:color w:val="auto"/>
              </w:rPr>
              <w:t>Officer, Viacom Inc.</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4680" w:type="dxa"/>
            <w:vAlign w:val="bottom"/>
            <w:gridSpan w:val="2"/>
            <w:vMerge w:val="restart"/>
          </w:tcPr>
          <w:p>
            <w:pPr>
              <w:ind w:left="80"/>
              <w:spacing w:after="0"/>
              <w:rPr>
                <w:sz w:val="20"/>
                <w:szCs w:val="20"/>
                <w:color w:val="auto"/>
              </w:rPr>
            </w:pPr>
            <w:r>
              <w:rPr>
                <w:rFonts w:ascii="Arial" w:cs="Arial" w:eastAsia="Arial" w:hAnsi="Arial"/>
                <w:sz w:val="16"/>
                <w:szCs w:val="16"/>
                <w:color w:val="auto"/>
              </w:rPr>
              <w:t>Avid Technology, Inc.</w:t>
            </w:r>
          </w:p>
        </w:tc>
        <w:tc>
          <w:tcPr>
            <w:tcW w:w="0" w:type="dxa"/>
            <w:vAlign w:val="bottom"/>
          </w:tcPr>
          <w:p>
            <w:pPr>
              <w:spacing w:after="0"/>
              <w:rPr>
                <w:sz w:val="1"/>
                <w:szCs w:val="1"/>
                <w:color w:val="auto"/>
              </w:rPr>
            </w:pPr>
          </w:p>
        </w:tc>
      </w:tr>
      <w:tr>
        <w:trPr>
          <w:trHeight w:val="122"/>
        </w:trPr>
        <w:tc>
          <w:tcPr>
            <w:tcW w:w="6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4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-707390</wp:posOffset>
            </wp:positionV>
            <wp:extent cx="1115060" cy="1586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5060" cy="1586230"/>
                    </a:xfrm>
                    <a:prstGeom prst="rect">
                      <a:avLst/>
                    </a:prstGeom>
                    <a:noFill/>
                  </pic:spPr>
                </pic:pic>
              </a:graphicData>
            </a:graphic>
          </wp:anchor>
        </w:drawing>
      </w:r>
    </w:p>
    <w:p>
      <w:pPr>
        <w:spacing w:after="0" w:line="328" w:lineRule="exact"/>
        <w:rPr>
          <w:sz w:val="20"/>
          <w:szCs w:val="20"/>
          <w:color w:val="auto"/>
        </w:rPr>
      </w:pPr>
    </w:p>
    <w:p>
      <w:pPr>
        <w:ind w:left="2920"/>
        <w:spacing w:after="0"/>
        <w:rPr>
          <w:sz w:val="20"/>
          <w:szCs w:val="20"/>
          <w:color w:val="auto"/>
        </w:rPr>
      </w:pPr>
      <w:r>
        <w:rPr>
          <w:rFonts w:ascii="Arial" w:cs="Arial" w:eastAsia="Arial" w:hAnsi="Arial"/>
          <w:sz w:val="18"/>
          <w:szCs w:val="18"/>
          <w:b w:val="1"/>
          <w:bCs w:val="1"/>
          <w:i w:val="1"/>
          <w:iCs w:val="1"/>
          <w:color w:val="00B0F0"/>
        </w:rPr>
        <w:t>Skills and Qualifications</w:t>
      </w:r>
    </w:p>
    <w:p>
      <w:pPr>
        <w:spacing w:after="0" w:line="215" w:lineRule="exact"/>
        <w:rPr>
          <w:sz w:val="20"/>
          <w:szCs w:val="20"/>
          <w:color w:val="auto"/>
        </w:rPr>
      </w:pPr>
    </w:p>
    <w:p>
      <w:pPr>
        <w:jc w:val="both"/>
        <w:ind w:left="2880" w:right="20"/>
        <w:spacing w:after="0" w:line="238" w:lineRule="auto"/>
        <w:rPr>
          <w:sz w:val="20"/>
          <w:szCs w:val="20"/>
          <w:color w:val="auto"/>
        </w:rPr>
      </w:pPr>
      <w:r>
        <w:rPr>
          <w:rFonts w:ascii="Arial" w:cs="Arial" w:eastAsia="Arial" w:hAnsi="Arial"/>
          <w:sz w:val="17"/>
          <w:szCs w:val="17"/>
          <w:color w:val="auto"/>
        </w:rPr>
        <w:t>Mr. Bakish brings to our Board his extensive knowledge of Viacom through various leadership positions in the company spanning approximately 20 years and culminating with President and CEO, a deep understanding of our industry and broad expertise overseeing global operations.</w:t>
      </w:r>
    </w:p>
    <w:p>
      <w:pPr>
        <w:spacing w:after="0" w:line="134"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Mr. Bakish has been our President and Chief Executive Officer since December 2016, having served as Acting President and Chief Executive Officer beginning November 2016. Mr. Bakish joined Former Viacom in 1997 and has held positions throughout the organization, including as President and Chief Executive Officer of Viacom International Media Networks and its predecessor company, MTV Networks International (“MTVNI”), from 2007 to 2016; President of MTVNI; Executive Vice President, Operations and Viacom Enterprises; Executive Vice President and Chief Operating Officer, MTV Networks Advertising Sales; and Senior Vice President, Planning, Development and Technology. Before joining Former Viacom, Mr. Bakish was a partner with Booz Allen Hamilton in its Media and Entertainment practice. Mr. Bakish has served as a director of Avid Technology, Inc. since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680" w:type="dxa"/>
            <w:vAlign w:val="bottom"/>
          </w:tcPr>
          <w:p>
            <w:pPr>
              <w:spacing w:after="0"/>
              <w:rPr>
                <w:sz w:val="20"/>
                <w:szCs w:val="20"/>
                <w:color w:val="auto"/>
              </w:rPr>
            </w:pPr>
            <w:r>
              <w:rPr>
                <w:rFonts w:ascii="Arial" w:cs="Arial" w:eastAsia="Arial" w:hAnsi="Arial"/>
                <w:sz w:val="20"/>
                <w:szCs w:val="20"/>
                <w:b w:val="1"/>
                <w:bCs w:val="1"/>
                <w:color w:val="00B0F0"/>
              </w:rPr>
              <w:t>Cristiana Falcone Sorrell</w:t>
            </w:r>
          </w:p>
        </w:tc>
        <w:tc>
          <w:tcPr>
            <w:tcW w:w="5740" w:type="dxa"/>
            <w:vAlign w:val="bottom"/>
          </w:tcPr>
          <w:p>
            <w:pPr>
              <w:ind w:left="4560"/>
              <w:spacing w:after="0"/>
              <w:rPr>
                <w:sz w:val="20"/>
                <w:szCs w:val="20"/>
                <w:color w:val="auto"/>
              </w:rPr>
            </w:pPr>
            <w:r>
              <w:rPr>
                <w:rFonts w:ascii="Arial" w:cs="Arial" w:eastAsia="Arial" w:hAnsi="Arial"/>
                <w:sz w:val="20"/>
                <w:szCs w:val="20"/>
                <w:b w:val="1"/>
                <w:bCs w:val="1"/>
                <w:color w:val="auto"/>
                <w:w w:val="97"/>
              </w:rPr>
              <w:t>Independent</w:t>
            </w:r>
          </w:p>
        </w:tc>
      </w:tr>
      <w:tr>
        <w:trPr>
          <w:trHeight w:val="37"/>
        </w:trPr>
        <w:tc>
          <w:tcPr>
            <w:tcW w:w="56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r>
      <w:tr>
        <w:trPr>
          <w:trHeight w:val="406"/>
        </w:trPr>
        <w:tc>
          <w:tcPr>
            <w:tcW w:w="5680" w:type="dxa"/>
            <w:vAlign w:val="bottom"/>
          </w:tcPr>
          <w:p>
            <w:pPr>
              <w:ind w:left="288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45</w:t>
            </w:r>
          </w:p>
        </w:tc>
        <w:tc>
          <w:tcPr>
            <w:tcW w:w="5740" w:type="dxa"/>
            <w:vAlign w:val="bottom"/>
          </w:tcPr>
          <w:p>
            <w:pPr>
              <w:ind w:left="740"/>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tc>
      </w:tr>
      <w:tr>
        <w:trPr>
          <w:trHeight w:val="297"/>
        </w:trPr>
        <w:tc>
          <w:tcPr>
            <w:tcW w:w="5680" w:type="dxa"/>
            <w:vAlign w:val="bottom"/>
          </w:tcPr>
          <w:p>
            <w:pPr>
              <w:ind w:left="2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March 2013</w:t>
            </w:r>
          </w:p>
        </w:tc>
        <w:tc>
          <w:tcPr>
            <w:tcW w:w="5740" w:type="dxa"/>
            <w:vAlign w:val="bottom"/>
          </w:tcPr>
          <w:p>
            <w:pPr>
              <w:ind w:left="920"/>
              <w:spacing w:after="0"/>
              <w:rPr>
                <w:sz w:val="20"/>
                <w:szCs w:val="20"/>
                <w:color w:val="auto"/>
              </w:rPr>
            </w:pPr>
            <w:r>
              <w:rPr>
                <w:rFonts w:ascii="Arial" w:cs="Arial" w:eastAsia="Arial" w:hAnsi="Arial"/>
                <w:sz w:val="16"/>
                <w:szCs w:val="16"/>
                <w:color w:val="auto"/>
              </w:rPr>
              <w:t>•   Governance and Nominating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-321310</wp:posOffset>
            </wp:positionV>
            <wp:extent cx="1115060" cy="1577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5060" cy="1577975"/>
                    </a:xfrm>
                    <a:prstGeom prst="rect">
                      <a:avLst/>
                    </a:prstGeom>
                    <a:noFill/>
                  </pic:spPr>
                </pic:pic>
              </a:graphicData>
            </a:graphic>
          </wp:anchor>
        </w:drawing>
      </w:r>
    </w:p>
    <w:p>
      <w:pPr>
        <w:spacing w:after="0" w:line="62" w:lineRule="exact"/>
        <w:rPr>
          <w:sz w:val="20"/>
          <w:szCs w:val="20"/>
          <w:color w:val="auto"/>
        </w:rPr>
      </w:pPr>
    </w:p>
    <w:p>
      <w:pPr>
        <w:ind w:left="2880"/>
        <w:spacing w:after="0"/>
        <w:tabs>
          <w:tab w:leader="none" w:pos="6400" w:val="left"/>
        </w:tabs>
        <w:rPr>
          <w:sz w:val="20"/>
          <w:szCs w:val="20"/>
          <w:color w:val="auto"/>
        </w:rPr>
      </w:pPr>
      <w:r>
        <w:rPr>
          <w:rFonts w:ascii="Arial" w:cs="Arial" w:eastAsia="Arial" w:hAnsi="Arial"/>
          <w:sz w:val="16"/>
          <w:szCs w:val="16"/>
          <w:b w:val="1"/>
          <w:bCs w:val="1"/>
          <w:color w:val="auto"/>
        </w:rPr>
        <w:t xml:space="preserve">Occupation: </w:t>
      </w:r>
      <w:r>
        <w:rPr>
          <w:rFonts w:ascii="Arial" w:cs="Arial" w:eastAsia="Arial" w:hAnsi="Arial"/>
          <w:sz w:val="16"/>
          <w:szCs w:val="16"/>
          <w:color w:val="auto"/>
        </w:rPr>
        <w:t>Principal Adviser, Media Affairs,</w:t>
      </w:r>
      <w:r>
        <w:rPr>
          <w:rFonts w:ascii="Arial" w:cs="Arial" w:eastAsia="Arial" w:hAnsi="Arial"/>
          <w:sz w:val="16"/>
          <w:szCs w:val="16"/>
          <w:b w:val="1"/>
          <w:bCs w:val="1"/>
          <w:color w:val="auto"/>
        </w:rPr>
        <w:tab/>
        <w:t>Other Current Public Company Directorship(s):</w:t>
      </w:r>
    </w:p>
    <w:p>
      <w:pPr>
        <w:ind w:left="2880"/>
        <w:spacing w:after="0" w:line="191" w:lineRule="auto"/>
        <w:rPr>
          <w:sz w:val="20"/>
          <w:szCs w:val="20"/>
          <w:color w:val="auto"/>
        </w:rPr>
      </w:pPr>
      <w:r>
        <w:rPr>
          <w:rFonts w:ascii="Arial" w:cs="Arial" w:eastAsia="Arial" w:hAnsi="Arial"/>
          <w:sz w:val="16"/>
          <w:szCs w:val="16"/>
          <w:color w:val="auto"/>
        </w:rPr>
        <w:t>World Economic Forum</w:t>
      </w:r>
    </w:p>
    <w:p>
      <w:pPr>
        <w:ind w:left="6600"/>
        <w:spacing w:after="0"/>
        <w:tabs>
          <w:tab w:leader="none" w:pos="6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Revlon, Inc.</w:t>
      </w:r>
    </w:p>
    <w:p>
      <w:pPr>
        <w:spacing w:after="0" w:line="318" w:lineRule="exact"/>
        <w:rPr>
          <w:sz w:val="20"/>
          <w:szCs w:val="20"/>
          <w:color w:val="auto"/>
        </w:rPr>
      </w:pPr>
    </w:p>
    <w:p>
      <w:pPr>
        <w:ind w:left="2920"/>
        <w:spacing w:after="0"/>
        <w:rPr>
          <w:sz w:val="20"/>
          <w:szCs w:val="20"/>
          <w:color w:val="auto"/>
        </w:rPr>
      </w:pPr>
      <w:r>
        <w:rPr>
          <w:rFonts w:ascii="Arial" w:cs="Arial" w:eastAsia="Arial" w:hAnsi="Arial"/>
          <w:sz w:val="18"/>
          <w:szCs w:val="18"/>
          <w:b w:val="1"/>
          <w:bCs w:val="1"/>
          <w:i w:val="1"/>
          <w:iCs w:val="1"/>
          <w:color w:val="00B0F0"/>
        </w:rPr>
        <w:t>Skills and Qualifications</w:t>
      </w:r>
    </w:p>
    <w:p>
      <w:pPr>
        <w:spacing w:after="0" w:line="215" w:lineRule="exact"/>
        <w:rPr>
          <w:sz w:val="20"/>
          <w:szCs w:val="20"/>
          <w:color w:val="auto"/>
        </w:rPr>
      </w:pPr>
    </w:p>
    <w:p>
      <w:pPr>
        <w:jc w:val="both"/>
        <w:ind w:left="2880" w:right="20"/>
        <w:spacing w:after="0" w:line="236" w:lineRule="auto"/>
        <w:rPr>
          <w:sz w:val="20"/>
          <w:szCs w:val="20"/>
          <w:color w:val="auto"/>
        </w:rPr>
      </w:pPr>
      <w:r>
        <w:rPr>
          <w:rFonts w:ascii="Arial" w:cs="Arial" w:eastAsia="Arial" w:hAnsi="Arial"/>
          <w:sz w:val="17"/>
          <w:szCs w:val="17"/>
          <w:color w:val="auto"/>
        </w:rPr>
        <w:t>In addition to her independence, Ms. Falcone Sorrell brings to our Board extensive senior executive and marketing expertise, international experience with an extensive global network, media industry experience, public company and corporate governance experience, experience and talent as a consultant, and a knowledge of Viacom.</w:t>
      </w:r>
    </w:p>
    <w:p>
      <w:pPr>
        <w:spacing w:after="0" w:line="95"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Ms. Falcone Sorrell has served as Principal Adviser, Media Affairs at the World Economic Forum, since 2018, having previously served as Senior Adviser to the Chairman. She served as Principal Consultant, Office of Outreach and Partnerships, for the Inter-American Development Bank from 2011 to 2015. Prior to joining the World Economic Forum in 2004, Ms. Falcone Sorrell held positions at the International Labour Organization and Shell. Ms. Falcone Sorrell is Chief Executive Officer of JMCMRJ Sorrell Foundation, a member of the Italian National Press Guild, a board member of Internews and a member of the board of trustees of The Paley Center for Media. Ms. Falcone Sorrell has served as a director of Revlon, Inc. since 2014.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10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7</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80" w:type="dxa"/>
            <w:vAlign w:val="bottom"/>
            <w:tcBorders>
              <w:bottom w:val="single" w:sz="8" w:color="1CB6EA"/>
            </w:tcBorders>
            <w:shd w:val="clear" w:color="auto" w:fill="1CB6EA"/>
          </w:tcPr>
          <w:p>
            <w:pPr>
              <w:ind w:left="40"/>
              <w:spacing w:after="0" w:line="161" w:lineRule="exact"/>
              <w:rPr>
                <w:sz w:val="20"/>
                <w:szCs w:val="20"/>
                <w:color w:val="auto"/>
              </w:rPr>
            </w:pPr>
            <w:r>
              <w:rPr>
                <w:rFonts w:ascii="Arial" w:cs="Arial" w:eastAsia="Arial" w:hAnsi="Arial"/>
                <w:sz w:val="14"/>
                <w:szCs w:val="14"/>
                <w:b w:val="1"/>
                <w:bCs w:val="1"/>
                <w:color w:val="FFFFFF"/>
                <w:shd w:val="clear" w:color="auto" w:fill="1CB6EA"/>
              </w:rPr>
              <w:t xml:space="preserve">ITEM 1 </w:t>
            </w:r>
            <w:r>
              <w:rPr>
                <w:rFonts w:ascii="MS PGothic" w:cs="MS PGothic" w:eastAsia="MS PGothic" w:hAnsi="MS PGothic"/>
                <w:sz w:val="14"/>
                <w:szCs w:val="14"/>
                <w:b w:val="1"/>
                <w:bCs w:val="1"/>
                <w:color w:val="FFFFFF"/>
                <w:shd w:val="clear" w:color="auto" w:fill="1CB6EA"/>
              </w:rPr>
              <w:t>‑</w:t>
            </w:r>
            <w:r>
              <w:rPr>
                <w:rFonts w:ascii="Arial" w:cs="Arial" w:eastAsia="Arial" w:hAnsi="Arial"/>
                <w:sz w:val="14"/>
                <w:szCs w:val="14"/>
                <w:b w:val="1"/>
                <w:bCs w:val="1"/>
                <w:color w:val="FFFFFF"/>
                <w:shd w:val="clear" w:color="auto" w:fill="1CB6EA"/>
              </w:rPr>
              <w:t xml:space="preserve"> ELECTION OF DIRECTORS</w:t>
            </w:r>
          </w:p>
        </w:tc>
        <w:tc>
          <w:tcPr>
            <w:tcW w:w="3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6300" w:type="dxa"/>
            <w:vAlign w:val="bottom"/>
            <w:gridSpan w:val="2"/>
          </w:tcPr>
          <w:p>
            <w:pPr>
              <w:spacing w:after="0"/>
              <w:rPr>
                <w:sz w:val="20"/>
                <w:szCs w:val="20"/>
                <w:color w:val="auto"/>
              </w:rPr>
            </w:pPr>
            <w:r>
              <w:rPr>
                <w:rFonts w:ascii="Arial" w:cs="Arial" w:eastAsia="Arial" w:hAnsi="Arial"/>
                <w:sz w:val="20"/>
                <w:szCs w:val="20"/>
                <w:b w:val="1"/>
                <w:bCs w:val="1"/>
                <w:color w:val="00B0F0"/>
              </w:rPr>
              <w:t>Thomas J. May</w:t>
            </w:r>
          </w:p>
        </w:tc>
        <w:tc>
          <w:tcPr>
            <w:tcW w:w="440" w:type="dxa"/>
            <w:vAlign w:val="bottom"/>
          </w:tcPr>
          <w:p>
            <w:pPr>
              <w:spacing w:after="0"/>
              <w:rPr>
                <w:sz w:val="24"/>
                <w:szCs w:val="24"/>
                <w:color w:val="auto"/>
              </w:rPr>
            </w:pPr>
          </w:p>
        </w:tc>
        <w:tc>
          <w:tcPr>
            <w:tcW w:w="4680" w:type="dxa"/>
            <w:vAlign w:val="bottom"/>
          </w:tcPr>
          <w:p>
            <w:pPr>
              <w:ind w:left="1040"/>
              <w:spacing w:after="0"/>
              <w:rPr>
                <w:sz w:val="20"/>
                <w:szCs w:val="20"/>
                <w:color w:val="auto"/>
              </w:rPr>
            </w:pPr>
            <w:r>
              <w:rPr>
                <w:rFonts w:ascii="Arial" w:cs="Arial" w:eastAsia="Arial" w:hAnsi="Arial"/>
                <w:sz w:val="20"/>
                <w:szCs w:val="20"/>
                <w:b w:val="1"/>
                <w:bCs w:val="1"/>
                <w:color w:val="auto"/>
                <w:w w:val="98"/>
              </w:rPr>
              <w:t>Independent; Non-Executive Chairman</w:t>
            </w:r>
          </w:p>
        </w:tc>
        <w:tc>
          <w:tcPr>
            <w:tcW w:w="0" w:type="dxa"/>
            <w:vAlign w:val="bottom"/>
          </w:tcPr>
          <w:p>
            <w:pPr>
              <w:spacing w:after="0"/>
              <w:rPr>
                <w:sz w:val="1"/>
                <w:szCs w:val="1"/>
                <w:color w:val="auto"/>
              </w:rPr>
            </w:pPr>
          </w:p>
        </w:tc>
      </w:tr>
      <w:tr>
        <w:trPr>
          <w:trHeight w:val="37"/>
        </w:trPr>
        <w:tc>
          <w:tcPr>
            <w:tcW w:w="258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51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406"/>
        </w:trPr>
        <w:tc>
          <w:tcPr>
            <w:tcW w:w="2580" w:type="dxa"/>
            <w:vAlign w:val="bottom"/>
          </w:tcPr>
          <w:p>
            <w:pPr>
              <w:spacing w:after="0"/>
              <w:rPr>
                <w:sz w:val="24"/>
                <w:szCs w:val="24"/>
                <w:color w:val="auto"/>
              </w:rPr>
            </w:pPr>
          </w:p>
        </w:tc>
        <w:tc>
          <w:tcPr>
            <w:tcW w:w="3720" w:type="dxa"/>
            <w:vAlign w:val="bottom"/>
          </w:tcPr>
          <w:p>
            <w:pPr>
              <w:ind w:left="26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71</w:t>
            </w:r>
          </w:p>
        </w:tc>
        <w:tc>
          <w:tcPr>
            <w:tcW w:w="5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2580" w:type="dxa"/>
            <w:vAlign w:val="bottom"/>
          </w:tcPr>
          <w:p>
            <w:pPr>
              <w:spacing w:after="0"/>
              <w:rPr>
                <w:sz w:val="24"/>
                <w:szCs w:val="24"/>
                <w:color w:val="auto"/>
              </w:rPr>
            </w:pPr>
          </w:p>
        </w:tc>
        <w:tc>
          <w:tcPr>
            <w:tcW w:w="3720" w:type="dxa"/>
            <w:vAlign w:val="bottom"/>
          </w:tcPr>
          <w:p>
            <w:pPr>
              <w:ind w:left="2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August 2016</w:t>
            </w:r>
          </w:p>
        </w:tc>
        <w:tc>
          <w:tcPr>
            <w:tcW w:w="440" w:type="dxa"/>
            <w:vAlign w:val="bottom"/>
          </w:tcPr>
          <w:p>
            <w:pPr>
              <w:ind w:left="300"/>
              <w:spacing w:after="0"/>
              <w:rPr>
                <w:sz w:val="20"/>
                <w:szCs w:val="20"/>
                <w:color w:val="auto"/>
              </w:rPr>
            </w:pPr>
            <w:r>
              <w:rPr>
                <w:rFonts w:ascii="Arial" w:cs="Arial" w:eastAsia="Arial" w:hAnsi="Arial"/>
                <w:sz w:val="16"/>
                <w:szCs w:val="16"/>
                <w:color w:val="auto"/>
              </w:rPr>
              <w:t>•</w:t>
            </w:r>
          </w:p>
        </w:tc>
        <w:tc>
          <w:tcPr>
            <w:tcW w:w="4680" w:type="dxa"/>
            <w:vAlign w:val="bottom"/>
          </w:tcPr>
          <w:p>
            <w:pPr>
              <w:ind w:left="80"/>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292"/>
        </w:trPr>
        <w:tc>
          <w:tcPr>
            <w:tcW w:w="2580" w:type="dxa"/>
            <w:vAlign w:val="bottom"/>
          </w:tcPr>
          <w:p>
            <w:pPr>
              <w:spacing w:after="0"/>
              <w:rPr>
                <w:sz w:val="24"/>
                <w:szCs w:val="24"/>
                <w:color w:val="auto"/>
              </w:rPr>
            </w:pPr>
          </w:p>
        </w:tc>
        <w:tc>
          <w:tcPr>
            <w:tcW w:w="3720" w:type="dxa"/>
            <w:vAlign w:val="bottom"/>
          </w:tcPr>
          <w:p>
            <w:pPr>
              <w:ind w:left="260"/>
              <w:spacing w:after="0"/>
              <w:rPr>
                <w:sz w:val="20"/>
                <w:szCs w:val="20"/>
                <w:color w:val="auto"/>
              </w:rPr>
            </w:pPr>
            <w:r>
              <w:rPr>
                <w:rFonts w:ascii="Arial" w:cs="Arial" w:eastAsia="Arial" w:hAnsi="Arial"/>
                <w:sz w:val="16"/>
                <w:szCs w:val="16"/>
                <w:b w:val="1"/>
                <w:bCs w:val="1"/>
                <w:color w:val="auto"/>
              </w:rPr>
              <w:t xml:space="preserve">Occupation: </w:t>
            </w:r>
            <w:r>
              <w:rPr>
                <w:rFonts w:ascii="Arial" w:cs="Arial" w:eastAsia="Arial" w:hAnsi="Arial"/>
                <w:sz w:val="16"/>
                <w:szCs w:val="16"/>
                <w:color w:val="auto"/>
              </w:rPr>
              <w:t>Former Chairman, President and</w:t>
            </w:r>
          </w:p>
        </w:tc>
        <w:tc>
          <w:tcPr>
            <w:tcW w:w="440" w:type="dxa"/>
            <w:vAlign w:val="bottom"/>
          </w:tcPr>
          <w:p>
            <w:pPr>
              <w:ind w:left="300"/>
              <w:spacing w:after="0"/>
              <w:rPr>
                <w:sz w:val="20"/>
                <w:szCs w:val="20"/>
                <w:color w:val="auto"/>
              </w:rPr>
            </w:pPr>
            <w:r>
              <w:rPr>
                <w:rFonts w:ascii="Arial" w:cs="Arial" w:eastAsia="Arial" w:hAnsi="Arial"/>
                <w:sz w:val="16"/>
                <w:szCs w:val="16"/>
                <w:color w:val="auto"/>
              </w:rPr>
              <w:t>•</w:t>
            </w:r>
          </w:p>
        </w:tc>
        <w:tc>
          <w:tcPr>
            <w:tcW w:w="4680" w:type="dxa"/>
            <w:vAlign w:val="bottom"/>
          </w:tcPr>
          <w:p>
            <w:pPr>
              <w:ind w:left="100"/>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3720" w:type="dxa"/>
            <w:vAlign w:val="bottom"/>
          </w:tcPr>
          <w:p>
            <w:pPr>
              <w:ind w:left="260"/>
              <w:spacing w:after="0"/>
              <w:rPr>
                <w:sz w:val="20"/>
                <w:szCs w:val="20"/>
                <w:color w:val="auto"/>
              </w:rPr>
            </w:pPr>
            <w:r>
              <w:rPr>
                <w:rFonts w:ascii="Arial" w:cs="Arial" w:eastAsia="Arial" w:hAnsi="Arial"/>
                <w:sz w:val="16"/>
                <w:szCs w:val="16"/>
                <w:color w:val="auto"/>
              </w:rPr>
              <w:t>Chief Executive Officer, Eversource Energy</w:t>
            </w:r>
          </w:p>
        </w:tc>
        <w:tc>
          <w:tcPr>
            <w:tcW w:w="51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Other Current Public Company Directorship(s):</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-715645</wp:posOffset>
            </wp:positionV>
            <wp:extent cx="1115060" cy="1577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5060" cy="1577975"/>
                    </a:xfrm>
                    <a:prstGeom prst="rect">
                      <a:avLst/>
                    </a:prstGeom>
                    <a:noFill/>
                  </pic:spPr>
                </pic:pic>
              </a:graphicData>
            </a:graphic>
          </wp:anchor>
        </w:drawing>
      </w:r>
    </w:p>
    <w:p>
      <w:pPr>
        <w:spacing w:after="0" w:line="71" w:lineRule="exact"/>
        <w:rPr>
          <w:sz w:val="20"/>
          <w:szCs w:val="20"/>
          <w:color w:val="auto"/>
        </w:rPr>
      </w:pPr>
    </w:p>
    <w:p>
      <w:pPr>
        <w:ind w:left="6600"/>
        <w:spacing w:after="0"/>
        <w:tabs>
          <w:tab w:leader="none" w:pos="6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Bank of America Corp.</w:t>
      </w:r>
    </w:p>
    <w:p>
      <w:pPr>
        <w:spacing w:after="0" w:line="114" w:lineRule="exact"/>
        <w:rPr>
          <w:sz w:val="20"/>
          <w:szCs w:val="20"/>
          <w:color w:val="auto"/>
        </w:rPr>
      </w:pPr>
    </w:p>
    <w:p>
      <w:pPr>
        <w:ind w:left="2840"/>
        <w:spacing w:after="0"/>
        <w:rPr>
          <w:sz w:val="20"/>
          <w:szCs w:val="20"/>
          <w:color w:val="auto"/>
        </w:rPr>
      </w:pPr>
      <w:r>
        <w:rPr>
          <w:rFonts w:ascii="Arial" w:cs="Arial" w:eastAsia="Arial" w:hAnsi="Arial"/>
          <w:sz w:val="18"/>
          <w:szCs w:val="18"/>
          <w:b w:val="1"/>
          <w:bCs w:val="1"/>
          <w:i w:val="1"/>
          <w:iCs w:val="1"/>
          <w:color w:val="00B0F0"/>
        </w:rPr>
        <w:t>Skills and Qualifications</w:t>
      </w:r>
    </w:p>
    <w:p>
      <w:pPr>
        <w:spacing w:after="0" w:line="215" w:lineRule="exact"/>
        <w:rPr>
          <w:sz w:val="20"/>
          <w:szCs w:val="20"/>
          <w:color w:val="auto"/>
        </w:rPr>
      </w:pPr>
    </w:p>
    <w:p>
      <w:pPr>
        <w:jc w:val="both"/>
        <w:ind w:left="2840" w:right="20"/>
        <w:spacing w:after="0" w:line="235" w:lineRule="auto"/>
        <w:rPr>
          <w:sz w:val="20"/>
          <w:szCs w:val="20"/>
          <w:color w:val="auto"/>
        </w:rPr>
      </w:pPr>
      <w:r>
        <w:rPr>
          <w:rFonts w:ascii="Arial" w:cs="Arial" w:eastAsia="Arial" w:hAnsi="Arial"/>
          <w:sz w:val="17"/>
          <w:szCs w:val="17"/>
          <w:color w:val="auto"/>
        </w:rPr>
        <w:t>In addition to his independence, Mr. May brings to our Board extensive experience as a chief executive officer of regulated businesses, overseeing operations, risk management, business development, strategic planning, board leadership and corporate governance. Having experience as a Certified Public Accountant, he brings extensive accounting and financial skills, and an expert perspective on financial reporting and enterprise and operational risk management. He also brings a knowledge of Viacom.</w:t>
      </w:r>
    </w:p>
    <w:p>
      <w:pPr>
        <w:spacing w:after="0" w:line="96"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Mr. May served as the Chairman of Eversource Energy from 2013 to 2017 and as its President and Chief Executive Officer and as a Trustee from 2012 to 2016. He has served as a director of Bank of America Corporation since 2004 and as a director of Liberty Mutual Holding Company Inc., which is privately held, since 2002. He served as a director and the Chairman of each of The Connecticut Light and Power Company, NSTAR Electric Company (and as its President and Chief Executive Officer and Trustee from 1994 to 2012), NSTAR Gas Company, Public Service Company of New Hampshire, Western Massachusetts Electric Company and Yankee Gas Services Company, which are also privately held, from 2012 to 2016. He is Chairman of the Stonehill College Board of Trustees, a trustee of the Dana-Farber Cancer Institute and a member of the Board of Advisors of the John F. Kennedy Library Foundation.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180" w:type="dxa"/>
            <w:vAlign w:val="bottom"/>
          </w:tcPr>
          <w:p>
            <w:pPr>
              <w:spacing w:after="0"/>
              <w:rPr>
                <w:sz w:val="20"/>
                <w:szCs w:val="20"/>
                <w:color w:val="auto"/>
              </w:rPr>
            </w:pPr>
            <w:r>
              <w:rPr>
                <w:rFonts w:ascii="Arial" w:cs="Arial" w:eastAsia="Arial" w:hAnsi="Arial"/>
                <w:sz w:val="20"/>
                <w:szCs w:val="20"/>
                <w:b w:val="1"/>
                <w:bCs w:val="1"/>
                <w:color w:val="00B0F0"/>
              </w:rPr>
              <w:t>Judith A. McHale</w:t>
            </w:r>
          </w:p>
        </w:tc>
        <w:tc>
          <w:tcPr>
            <w:tcW w:w="540" w:type="dxa"/>
            <w:vAlign w:val="bottom"/>
          </w:tcPr>
          <w:p>
            <w:pPr>
              <w:spacing w:after="0"/>
              <w:rPr>
                <w:sz w:val="22"/>
                <w:szCs w:val="22"/>
                <w:color w:val="auto"/>
              </w:rPr>
            </w:pPr>
          </w:p>
        </w:tc>
        <w:tc>
          <w:tcPr>
            <w:tcW w:w="4700" w:type="dxa"/>
            <w:vAlign w:val="bottom"/>
          </w:tcPr>
          <w:p>
            <w:pPr>
              <w:ind w:left="3520"/>
              <w:spacing w:after="0"/>
              <w:rPr>
                <w:sz w:val="20"/>
                <w:szCs w:val="20"/>
                <w:color w:val="auto"/>
              </w:rPr>
            </w:pPr>
            <w:r>
              <w:rPr>
                <w:rFonts w:ascii="Arial" w:cs="Arial" w:eastAsia="Arial" w:hAnsi="Arial"/>
                <w:sz w:val="20"/>
                <w:szCs w:val="20"/>
                <w:b w:val="1"/>
                <w:bCs w:val="1"/>
                <w:color w:val="auto"/>
                <w:w w:val="97"/>
              </w:rPr>
              <w:t>Independent</w:t>
            </w:r>
          </w:p>
        </w:tc>
        <w:tc>
          <w:tcPr>
            <w:tcW w:w="0" w:type="dxa"/>
            <w:vAlign w:val="bottom"/>
          </w:tcPr>
          <w:p>
            <w:pPr>
              <w:spacing w:after="0"/>
              <w:rPr>
                <w:sz w:val="1"/>
                <w:szCs w:val="1"/>
                <w:color w:val="auto"/>
              </w:rPr>
            </w:pPr>
          </w:p>
        </w:tc>
      </w:tr>
      <w:tr>
        <w:trPr>
          <w:trHeight w:val="37"/>
        </w:trPr>
        <w:tc>
          <w:tcPr>
            <w:tcW w:w="6180" w:type="dxa"/>
            <w:vAlign w:val="bottom"/>
            <w:tcBorders>
              <w:bottom w:val="single" w:sz="8" w:color="auto"/>
            </w:tcBorders>
          </w:tcPr>
          <w:p>
            <w:pPr>
              <w:spacing w:after="0"/>
              <w:rPr>
                <w:sz w:val="3"/>
                <w:szCs w:val="3"/>
                <w:color w:val="auto"/>
              </w:rPr>
            </w:pPr>
          </w:p>
        </w:tc>
        <w:tc>
          <w:tcPr>
            <w:tcW w:w="52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406"/>
        </w:trPr>
        <w:tc>
          <w:tcPr>
            <w:tcW w:w="6180" w:type="dxa"/>
            <w:vAlign w:val="bottom"/>
          </w:tcPr>
          <w:p>
            <w:pPr>
              <w:ind w:left="28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72</w:t>
            </w:r>
          </w:p>
        </w:tc>
        <w:tc>
          <w:tcPr>
            <w:tcW w:w="524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6180" w:type="dxa"/>
            <w:vAlign w:val="bottom"/>
          </w:tcPr>
          <w:p>
            <w:pPr>
              <w:ind w:left="28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August 2016</w:t>
            </w:r>
          </w:p>
        </w:tc>
        <w:tc>
          <w:tcPr>
            <w:tcW w:w="540" w:type="dxa"/>
            <w:vAlign w:val="bottom"/>
          </w:tcPr>
          <w:p>
            <w:pPr>
              <w:ind w:left="400"/>
              <w:spacing w:after="0"/>
              <w:rPr>
                <w:sz w:val="20"/>
                <w:szCs w:val="20"/>
                <w:color w:val="auto"/>
              </w:rPr>
            </w:pPr>
            <w:r>
              <w:rPr>
                <w:rFonts w:ascii="Arial" w:cs="Arial" w:eastAsia="Arial" w:hAnsi="Arial"/>
                <w:sz w:val="16"/>
                <w:szCs w:val="16"/>
                <w:color w:val="auto"/>
              </w:rPr>
              <w:t>•</w:t>
            </w:r>
          </w:p>
        </w:tc>
        <w:tc>
          <w:tcPr>
            <w:tcW w:w="4700" w:type="dxa"/>
            <w:vAlign w:val="bottom"/>
          </w:tcPr>
          <w:p>
            <w:pPr>
              <w:ind w:left="80"/>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292"/>
        </w:trPr>
        <w:tc>
          <w:tcPr>
            <w:tcW w:w="6180" w:type="dxa"/>
            <w:vAlign w:val="bottom"/>
          </w:tcPr>
          <w:p>
            <w:pPr>
              <w:ind w:left="2840"/>
              <w:spacing w:after="0"/>
              <w:rPr>
                <w:sz w:val="20"/>
                <w:szCs w:val="20"/>
                <w:color w:val="auto"/>
              </w:rPr>
            </w:pPr>
            <w:r>
              <w:rPr>
                <w:rFonts w:ascii="Arial" w:cs="Arial" w:eastAsia="Arial" w:hAnsi="Arial"/>
                <w:sz w:val="16"/>
                <w:szCs w:val="16"/>
                <w:b w:val="1"/>
                <w:bCs w:val="1"/>
                <w:color w:val="auto"/>
              </w:rPr>
              <w:t xml:space="preserve">Occupation: </w:t>
            </w:r>
            <w:r>
              <w:rPr>
                <w:rFonts w:ascii="Arial" w:cs="Arial" w:eastAsia="Arial" w:hAnsi="Arial"/>
                <w:sz w:val="16"/>
                <w:szCs w:val="16"/>
                <w:color w:val="auto"/>
              </w:rPr>
              <w:t>President and Chief Executive</w:t>
            </w:r>
          </w:p>
        </w:tc>
        <w:tc>
          <w:tcPr>
            <w:tcW w:w="540" w:type="dxa"/>
            <w:vAlign w:val="bottom"/>
          </w:tcPr>
          <w:p>
            <w:pPr>
              <w:ind w:left="400"/>
              <w:spacing w:after="0"/>
              <w:rPr>
                <w:sz w:val="20"/>
                <w:szCs w:val="20"/>
                <w:color w:val="auto"/>
              </w:rPr>
            </w:pPr>
            <w:r>
              <w:rPr>
                <w:rFonts w:ascii="Arial" w:cs="Arial" w:eastAsia="Arial" w:hAnsi="Arial"/>
                <w:sz w:val="16"/>
                <w:szCs w:val="16"/>
                <w:color w:val="auto"/>
              </w:rPr>
              <w:t>•</w:t>
            </w:r>
          </w:p>
        </w:tc>
        <w:tc>
          <w:tcPr>
            <w:tcW w:w="4700" w:type="dxa"/>
            <w:vAlign w:val="bottom"/>
          </w:tcPr>
          <w:p>
            <w:pPr>
              <w:ind w:left="80"/>
              <w:spacing w:after="0"/>
              <w:rPr>
                <w:sz w:val="20"/>
                <w:szCs w:val="20"/>
                <w:color w:val="auto"/>
              </w:rPr>
            </w:pPr>
            <w:r>
              <w:rPr>
                <w:rFonts w:ascii="Arial" w:cs="Arial" w:eastAsia="Arial" w:hAnsi="Arial"/>
                <w:sz w:val="16"/>
                <w:szCs w:val="16"/>
                <w:color w:val="auto"/>
              </w:rPr>
              <w:t>Compensation Committee (Chair)</w:t>
            </w:r>
          </w:p>
        </w:tc>
        <w:tc>
          <w:tcPr>
            <w:tcW w:w="0" w:type="dxa"/>
            <w:vAlign w:val="bottom"/>
          </w:tcPr>
          <w:p>
            <w:pPr>
              <w:spacing w:after="0"/>
              <w:rPr>
                <w:sz w:val="1"/>
                <w:szCs w:val="1"/>
                <w:color w:val="auto"/>
              </w:rPr>
            </w:pPr>
          </w:p>
        </w:tc>
      </w:tr>
      <w:tr>
        <w:trPr>
          <w:trHeight w:val="195"/>
        </w:trPr>
        <w:tc>
          <w:tcPr>
            <w:tcW w:w="6180" w:type="dxa"/>
            <w:vAlign w:val="bottom"/>
          </w:tcPr>
          <w:p>
            <w:pPr>
              <w:ind w:left="2840"/>
              <w:spacing w:after="0"/>
              <w:rPr>
                <w:sz w:val="20"/>
                <w:szCs w:val="20"/>
                <w:color w:val="auto"/>
              </w:rPr>
            </w:pPr>
            <w:r>
              <w:rPr>
                <w:rFonts w:ascii="Arial" w:cs="Arial" w:eastAsia="Arial" w:hAnsi="Arial"/>
                <w:sz w:val="16"/>
                <w:szCs w:val="16"/>
                <w:color w:val="auto"/>
              </w:rPr>
              <w:t>Officer, Cane Investments, LLC</w:t>
            </w:r>
          </w:p>
        </w:tc>
        <w:tc>
          <w:tcPr>
            <w:tcW w:w="52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Other Current Public Company Directorship(s):</w:t>
            </w:r>
          </w:p>
        </w:tc>
        <w:tc>
          <w:tcPr>
            <w:tcW w:w="0" w:type="dxa"/>
            <w:vAlign w:val="bottom"/>
          </w:tcPr>
          <w:p>
            <w:pPr>
              <w:spacing w:after="0"/>
              <w:rPr>
                <w:sz w:val="1"/>
                <w:szCs w:val="1"/>
                <w:color w:val="auto"/>
              </w:rPr>
            </w:pPr>
          </w:p>
        </w:tc>
      </w:tr>
      <w:tr>
        <w:trPr>
          <w:trHeight w:val="135"/>
        </w:trPr>
        <w:tc>
          <w:tcPr>
            <w:tcW w:w="6180" w:type="dxa"/>
            <w:vAlign w:val="bottom"/>
          </w:tcPr>
          <w:p>
            <w:pPr>
              <w:spacing w:after="0"/>
              <w:rPr>
                <w:sz w:val="11"/>
                <w:szCs w:val="11"/>
                <w:color w:val="auto"/>
              </w:rPr>
            </w:pPr>
          </w:p>
        </w:tc>
        <w:tc>
          <w:tcPr>
            <w:tcW w:w="5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6180" w:type="dxa"/>
            <w:vAlign w:val="bottom"/>
          </w:tcPr>
          <w:p>
            <w:pPr>
              <w:spacing w:after="0"/>
              <w:rPr>
                <w:sz w:val="24"/>
                <w:szCs w:val="24"/>
                <w:color w:val="auto"/>
              </w:rPr>
            </w:pPr>
          </w:p>
        </w:tc>
        <w:tc>
          <w:tcPr>
            <w:tcW w:w="540" w:type="dxa"/>
            <w:vAlign w:val="bottom"/>
          </w:tcPr>
          <w:p>
            <w:pPr>
              <w:ind w:left="400"/>
              <w:spacing w:after="0"/>
              <w:rPr>
                <w:sz w:val="20"/>
                <w:szCs w:val="20"/>
                <w:color w:val="auto"/>
              </w:rPr>
            </w:pPr>
            <w:r>
              <w:rPr>
                <w:rFonts w:ascii="Arial" w:cs="Arial" w:eastAsia="Arial" w:hAnsi="Arial"/>
                <w:sz w:val="16"/>
                <w:szCs w:val="16"/>
                <w:color w:val="auto"/>
              </w:rPr>
              <w:t>•</w:t>
            </w:r>
          </w:p>
        </w:tc>
        <w:tc>
          <w:tcPr>
            <w:tcW w:w="4700" w:type="dxa"/>
            <w:vAlign w:val="bottom"/>
          </w:tcPr>
          <w:p>
            <w:pPr>
              <w:ind w:left="80"/>
              <w:spacing w:after="0"/>
              <w:rPr>
                <w:sz w:val="20"/>
                <w:szCs w:val="20"/>
                <w:color w:val="auto"/>
              </w:rPr>
            </w:pPr>
            <w:r>
              <w:rPr>
                <w:rFonts w:ascii="Arial" w:cs="Arial" w:eastAsia="Arial" w:hAnsi="Arial"/>
                <w:sz w:val="16"/>
                <w:szCs w:val="16"/>
                <w:color w:val="auto"/>
              </w:rPr>
              <w:t>Ralph Lauren Corp.</w:t>
            </w:r>
          </w:p>
        </w:tc>
        <w:tc>
          <w:tcPr>
            <w:tcW w:w="0" w:type="dxa"/>
            <w:vAlign w:val="bottom"/>
          </w:tcPr>
          <w:p>
            <w:pPr>
              <w:spacing w:after="0"/>
              <w:rPr>
                <w:sz w:val="1"/>
                <w:szCs w:val="1"/>
                <w:color w:val="auto"/>
              </w:rPr>
            </w:pPr>
          </w:p>
        </w:tc>
      </w:tr>
      <w:tr>
        <w:trPr>
          <w:trHeight w:val="311"/>
        </w:trPr>
        <w:tc>
          <w:tcPr>
            <w:tcW w:w="6180" w:type="dxa"/>
            <w:vAlign w:val="bottom"/>
          </w:tcPr>
          <w:p>
            <w:pPr>
              <w:spacing w:after="0"/>
              <w:rPr>
                <w:sz w:val="24"/>
                <w:szCs w:val="24"/>
                <w:color w:val="auto"/>
              </w:rPr>
            </w:pPr>
          </w:p>
        </w:tc>
        <w:tc>
          <w:tcPr>
            <w:tcW w:w="5240" w:type="dxa"/>
            <w:vAlign w:val="bottom"/>
            <w:gridSpan w:val="2"/>
          </w:tcPr>
          <w:p>
            <w:pPr>
              <w:ind w:left="400"/>
              <w:spacing w:after="0"/>
              <w:rPr>
                <w:sz w:val="20"/>
                <w:szCs w:val="20"/>
                <w:color w:val="auto"/>
              </w:rPr>
            </w:pPr>
            <w:r>
              <w:rPr>
                <w:rFonts w:ascii="Arial" w:cs="Arial" w:eastAsia="Arial" w:hAnsi="Arial"/>
                <w:sz w:val="16"/>
                <w:szCs w:val="16"/>
                <w:color w:val="auto"/>
              </w:rPr>
              <w:t>•   Hilton Worldwide Holdings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-1101725</wp:posOffset>
            </wp:positionV>
            <wp:extent cx="1115060" cy="1586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5060" cy="1586230"/>
                    </a:xfrm>
                    <a:prstGeom prst="rect">
                      <a:avLst/>
                    </a:prstGeom>
                    <a:noFill/>
                  </pic:spPr>
                </pic:pic>
              </a:graphicData>
            </a:graphic>
          </wp:anchor>
        </w:drawing>
      </w:r>
    </w:p>
    <w:p>
      <w:pPr>
        <w:spacing w:after="0" w:line="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i w:val="1"/>
          <w:iCs w:val="1"/>
          <w:color w:val="00B0F0"/>
        </w:rPr>
        <w:t>Skills and Qualifications</w:t>
      </w:r>
    </w:p>
    <w:p>
      <w:pPr>
        <w:spacing w:after="0" w:line="215" w:lineRule="exact"/>
        <w:rPr>
          <w:sz w:val="20"/>
          <w:szCs w:val="20"/>
          <w:color w:val="auto"/>
        </w:rPr>
      </w:pPr>
    </w:p>
    <w:p>
      <w:pPr>
        <w:jc w:val="both"/>
        <w:ind w:left="2840" w:right="20"/>
        <w:spacing w:after="0" w:line="238" w:lineRule="auto"/>
        <w:rPr>
          <w:sz w:val="20"/>
          <w:szCs w:val="20"/>
          <w:color w:val="auto"/>
        </w:rPr>
      </w:pPr>
      <w:r>
        <w:rPr>
          <w:rFonts w:ascii="Arial" w:cs="Arial" w:eastAsia="Arial" w:hAnsi="Arial"/>
          <w:sz w:val="17"/>
          <w:szCs w:val="17"/>
          <w:color w:val="auto"/>
        </w:rPr>
        <w:t>In addition to her independence, Ms. McHale brings to our Board extensive experience leading a major media conglomerate with a background in operations and financial management, expertise in global affairs, experience in government affairs and extensive public company and corporate governance experience.</w:t>
      </w:r>
    </w:p>
    <w:p>
      <w:pPr>
        <w:spacing w:after="0" w:line="94"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Prior to joining Cane Investments, LLC, a private investment company, in 2011, Ms. McHale served as the Under Secretary of State for Public Diplomacy and Public Affairs for the U.S. Department of State from 2009 to 2011. From 2004 to 2006, Ms. McHale served as the President and Chief Executive Officer of Discovery Communications, Inc., the parent company of Discovery Channel, and served as its President and Chief Operating Officer from 1995 to 2004. In 2006, Ms. McHale worked with private equity firm Global Environment Fund to launch the GEF/Africa Growth Fund, an investment vehicle focused on supplying expansion capital to small and medium-sized enterprises that provide consumer goods and services in emerging African markets. She has served on the board of Ralph Lauren Corporation since 2011 and the board of Hilton Worldwide Holdings Inc. since 2013. She previously served on the boards of SeaWorld Entertainment, Inc., Host Hotel &amp; Resorts, Inc., DigitalGlobe Inc., John Hancock Financial Services, Inc. and Potomac Electric Power Company.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8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560" w:type="dxa"/>
            <w:vAlign w:val="bottom"/>
            <w:tcBorders>
              <w:bottom w:val="single" w:sz="8" w:color="1CB6EA"/>
            </w:tcBorders>
            <w:shd w:val="clear" w:color="auto" w:fill="1CB6EA"/>
          </w:tcPr>
          <w:p>
            <w:pPr>
              <w:ind w:left="80"/>
              <w:spacing w:after="0" w:line="161" w:lineRule="exact"/>
              <w:rPr>
                <w:sz w:val="20"/>
                <w:szCs w:val="20"/>
                <w:color w:val="auto"/>
              </w:rPr>
            </w:pPr>
            <w:r>
              <w:rPr>
                <w:rFonts w:ascii="Arial" w:cs="Arial" w:eastAsia="Arial" w:hAnsi="Arial"/>
                <w:sz w:val="14"/>
                <w:szCs w:val="14"/>
                <w:b w:val="1"/>
                <w:bCs w:val="1"/>
                <w:color w:val="FFFFFF"/>
                <w:shd w:val="clear" w:color="auto" w:fill="1CB6EA"/>
              </w:rPr>
              <w:t xml:space="preserve">ITEM 1 </w:t>
            </w:r>
            <w:r>
              <w:rPr>
                <w:rFonts w:ascii="MS PGothic" w:cs="MS PGothic" w:eastAsia="MS PGothic" w:hAnsi="MS PGothic"/>
                <w:sz w:val="14"/>
                <w:szCs w:val="14"/>
                <w:b w:val="1"/>
                <w:bCs w:val="1"/>
                <w:color w:val="FFFFFF"/>
                <w:shd w:val="clear" w:color="auto" w:fill="1CB6EA"/>
              </w:rPr>
              <w:t>‑</w:t>
            </w:r>
            <w:r>
              <w:rPr>
                <w:rFonts w:ascii="Arial" w:cs="Arial" w:eastAsia="Arial" w:hAnsi="Arial"/>
                <w:sz w:val="14"/>
                <w:szCs w:val="14"/>
                <w:b w:val="1"/>
                <w:bCs w:val="1"/>
                <w:color w:val="FFFFFF"/>
                <w:shd w:val="clear" w:color="auto" w:fill="1CB6EA"/>
              </w:rPr>
              <w:t xml:space="preserve"> ELECTION OF DIRECTORS</w:t>
            </w:r>
          </w:p>
        </w:tc>
        <w:tc>
          <w:tcPr>
            <w:tcW w:w="0" w:type="dxa"/>
            <w:vAlign w:val="bottom"/>
          </w:tcPr>
          <w:p>
            <w:pPr>
              <w:spacing w:after="0"/>
              <w:rPr>
                <w:sz w:val="1"/>
                <w:szCs w:val="1"/>
                <w:color w:val="auto"/>
              </w:rPr>
            </w:pPr>
          </w:p>
        </w:tc>
      </w:tr>
      <w:tr>
        <w:trPr>
          <w:trHeight w:val="355"/>
        </w:trPr>
        <w:tc>
          <w:tcPr>
            <w:tcW w:w="6260" w:type="dxa"/>
            <w:vAlign w:val="bottom"/>
          </w:tcPr>
          <w:p>
            <w:pPr>
              <w:spacing w:after="0"/>
              <w:rPr>
                <w:sz w:val="20"/>
                <w:szCs w:val="20"/>
                <w:color w:val="auto"/>
              </w:rPr>
            </w:pPr>
            <w:r>
              <w:rPr>
                <w:rFonts w:ascii="Arial" w:cs="Arial" w:eastAsia="Arial" w:hAnsi="Arial"/>
                <w:sz w:val="20"/>
                <w:szCs w:val="20"/>
                <w:b w:val="1"/>
                <w:bCs w:val="1"/>
                <w:color w:val="00B0F0"/>
              </w:rPr>
              <w:t>Ronald L. Nelson</w:t>
            </w:r>
          </w:p>
        </w:tc>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380"/>
              <w:spacing w:after="0"/>
              <w:rPr>
                <w:sz w:val="20"/>
                <w:szCs w:val="20"/>
                <w:color w:val="auto"/>
              </w:rPr>
            </w:pPr>
            <w:r>
              <w:rPr>
                <w:rFonts w:ascii="Arial" w:cs="Arial" w:eastAsia="Arial" w:hAnsi="Arial"/>
                <w:sz w:val="20"/>
                <w:szCs w:val="20"/>
                <w:b w:val="1"/>
                <w:bCs w:val="1"/>
                <w:color w:val="auto"/>
                <w:w w:val="97"/>
              </w:rPr>
              <w:t>Independent</w:t>
            </w: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406"/>
        </w:trPr>
        <w:tc>
          <w:tcPr>
            <w:tcW w:w="6260" w:type="dxa"/>
            <w:vAlign w:val="bottom"/>
          </w:tcPr>
          <w:p>
            <w:pPr>
              <w:ind w:left="28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66</w:t>
            </w:r>
          </w:p>
        </w:tc>
        <w:tc>
          <w:tcPr>
            <w:tcW w:w="5160" w:type="dxa"/>
            <w:vAlign w:val="bottom"/>
            <w:gridSpan w:val="3"/>
          </w:tcPr>
          <w:p>
            <w:pPr>
              <w:ind w:left="160"/>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6260" w:type="dxa"/>
            <w:vAlign w:val="bottom"/>
          </w:tcPr>
          <w:p>
            <w:pPr>
              <w:ind w:left="28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August 2016</w:t>
            </w:r>
          </w:p>
        </w:tc>
        <w:tc>
          <w:tcPr>
            <w:tcW w:w="480" w:type="dxa"/>
            <w:vAlign w:val="bottom"/>
          </w:tcPr>
          <w:p>
            <w:pPr>
              <w:ind w:left="340"/>
              <w:spacing w:after="0"/>
              <w:rPr>
                <w:sz w:val="20"/>
                <w:szCs w:val="20"/>
                <w:color w:val="auto"/>
              </w:rPr>
            </w:pPr>
            <w:r>
              <w:rPr>
                <w:rFonts w:ascii="Arial" w:cs="Arial" w:eastAsia="Arial" w:hAnsi="Arial"/>
                <w:sz w:val="16"/>
                <w:szCs w:val="16"/>
                <w:color w:val="auto"/>
              </w:rPr>
              <w:t>•</w:t>
            </w:r>
          </w:p>
        </w:tc>
        <w:tc>
          <w:tcPr>
            <w:tcW w:w="4680" w:type="dxa"/>
            <w:vAlign w:val="bottom"/>
            <w:gridSpan w:val="2"/>
          </w:tcPr>
          <w:p>
            <w:pPr>
              <w:ind w:left="80"/>
              <w:spacing w:after="0"/>
              <w:rPr>
                <w:sz w:val="20"/>
                <w:szCs w:val="20"/>
                <w:color w:val="auto"/>
              </w:rPr>
            </w:pPr>
            <w:r>
              <w:rPr>
                <w:rFonts w:ascii="Arial" w:cs="Arial" w:eastAsia="Arial" w:hAnsi="Arial"/>
                <w:sz w:val="16"/>
                <w:szCs w:val="16"/>
                <w:color w:val="auto"/>
              </w:rPr>
              <w:t>Audit Committee (Chair)</w:t>
            </w:r>
          </w:p>
        </w:tc>
        <w:tc>
          <w:tcPr>
            <w:tcW w:w="0" w:type="dxa"/>
            <w:vAlign w:val="bottom"/>
          </w:tcPr>
          <w:p>
            <w:pPr>
              <w:spacing w:after="0"/>
              <w:rPr>
                <w:sz w:val="1"/>
                <w:szCs w:val="1"/>
                <w:color w:val="auto"/>
              </w:rPr>
            </w:pPr>
          </w:p>
        </w:tc>
      </w:tr>
      <w:tr>
        <w:trPr>
          <w:trHeight w:val="292"/>
        </w:trPr>
        <w:tc>
          <w:tcPr>
            <w:tcW w:w="6260" w:type="dxa"/>
            <w:vAlign w:val="bottom"/>
          </w:tcPr>
          <w:p>
            <w:pPr>
              <w:ind w:left="2840"/>
              <w:spacing w:after="0"/>
              <w:rPr>
                <w:sz w:val="20"/>
                <w:szCs w:val="20"/>
                <w:color w:val="auto"/>
              </w:rPr>
            </w:pPr>
            <w:r>
              <w:rPr>
                <w:rFonts w:ascii="Arial" w:cs="Arial" w:eastAsia="Arial" w:hAnsi="Arial"/>
                <w:sz w:val="16"/>
                <w:szCs w:val="16"/>
                <w:b w:val="1"/>
                <w:bCs w:val="1"/>
                <w:color w:val="auto"/>
              </w:rPr>
              <w:t xml:space="preserve">Occupation: </w:t>
            </w:r>
            <w:r>
              <w:rPr>
                <w:rFonts w:ascii="Arial" w:cs="Arial" w:eastAsia="Arial" w:hAnsi="Arial"/>
                <w:sz w:val="16"/>
                <w:szCs w:val="16"/>
                <w:color w:val="auto"/>
              </w:rPr>
              <w:t>Consultant, Avis Budget Group,</w:t>
            </w:r>
          </w:p>
        </w:tc>
        <w:tc>
          <w:tcPr>
            <w:tcW w:w="5160" w:type="dxa"/>
            <w:vAlign w:val="bottom"/>
            <w:gridSpan w:val="3"/>
          </w:tcPr>
          <w:p>
            <w:pPr>
              <w:ind w:left="340"/>
              <w:spacing w:after="0"/>
              <w:rPr>
                <w:sz w:val="20"/>
                <w:szCs w:val="20"/>
                <w:color w:val="auto"/>
              </w:rPr>
            </w:pPr>
            <w:r>
              <w:rPr>
                <w:rFonts w:ascii="Arial" w:cs="Arial" w:eastAsia="Arial" w:hAnsi="Arial"/>
                <w:sz w:val="16"/>
                <w:szCs w:val="16"/>
                <w:color w:val="auto"/>
              </w:rPr>
              <w:t>•   Governance and Nominating Committee</w:t>
            </w:r>
          </w:p>
        </w:tc>
        <w:tc>
          <w:tcPr>
            <w:tcW w:w="0" w:type="dxa"/>
            <w:vAlign w:val="bottom"/>
          </w:tcPr>
          <w:p>
            <w:pPr>
              <w:spacing w:after="0"/>
              <w:rPr>
                <w:sz w:val="1"/>
                <w:szCs w:val="1"/>
                <w:color w:val="auto"/>
              </w:rPr>
            </w:pPr>
          </w:p>
        </w:tc>
      </w:tr>
      <w:tr>
        <w:trPr>
          <w:trHeight w:val="195"/>
        </w:trPr>
        <w:tc>
          <w:tcPr>
            <w:tcW w:w="6260" w:type="dxa"/>
            <w:vAlign w:val="bottom"/>
          </w:tcPr>
          <w:p>
            <w:pPr>
              <w:ind w:left="2840"/>
              <w:spacing w:after="0"/>
              <w:rPr>
                <w:sz w:val="20"/>
                <w:szCs w:val="20"/>
                <w:color w:val="auto"/>
              </w:rPr>
            </w:pPr>
            <w:r>
              <w:rPr>
                <w:rFonts w:ascii="Arial" w:cs="Arial" w:eastAsia="Arial" w:hAnsi="Arial"/>
                <w:sz w:val="16"/>
                <w:szCs w:val="16"/>
                <w:color w:val="auto"/>
              </w:rPr>
              <w:t>Inc.</w:t>
            </w:r>
          </w:p>
        </w:tc>
        <w:tc>
          <w:tcPr>
            <w:tcW w:w="51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Other Current Public Company Directorship(s):</w:t>
            </w:r>
          </w:p>
        </w:tc>
        <w:tc>
          <w:tcPr>
            <w:tcW w:w="0" w:type="dxa"/>
            <w:vAlign w:val="bottom"/>
          </w:tcPr>
          <w:p>
            <w:pPr>
              <w:spacing w:after="0"/>
              <w:rPr>
                <w:sz w:val="1"/>
                <w:szCs w:val="1"/>
                <w:color w:val="auto"/>
              </w:rPr>
            </w:pPr>
          </w:p>
        </w:tc>
      </w:tr>
      <w:tr>
        <w:trPr>
          <w:trHeight w:val="135"/>
        </w:trPr>
        <w:tc>
          <w:tcPr>
            <w:tcW w:w="6260" w:type="dxa"/>
            <w:vAlign w:val="bottom"/>
          </w:tcPr>
          <w:p>
            <w:pPr>
              <w:spacing w:after="0"/>
              <w:rPr>
                <w:sz w:val="11"/>
                <w:szCs w:val="11"/>
                <w:color w:val="auto"/>
              </w:rPr>
            </w:pPr>
          </w:p>
        </w:tc>
        <w:tc>
          <w:tcPr>
            <w:tcW w:w="51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6260" w:type="dxa"/>
            <w:vAlign w:val="bottom"/>
          </w:tcPr>
          <w:p>
            <w:pPr>
              <w:spacing w:after="0"/>
              <w:rPr>
                <w:sz w:val="24"/>
                <w:szCs w:val="24"/>
                <w:color w:val="auto"/>
              </w:rPr>
            </w:pPr>
          </w:p>
        </w:tc>
        <w:tc>
          <w:tcPr>
            <w:tcW w:w="480" w:type="dxa"/>
            <w:vAlign w:val="bottom"/>
          </w:tcPr>
          <w:p>
            <w:pPr>
              <w:ind w:left="340"/>
              <w:spacing w:after="0"/>
              <w:rPr>
                <w:sz w:val="20"/>
                <w:szCs w:val="20"/>
                <w:color w:val="auto"/>
              </w:rPr>
            </w:pPr>
            <w:r>
              <w:rPr>
                <w:rFonts w:ascii="Arial" w:cs="Arial" w:eastAsia="Arial" w:hAnsi="Arial"/>
                <w:sz w:val="16"/>
                <w:szCs w:val="16"/>
                <w:color w:val="auto"/>
              </w:rPr>
              <w:t>•</w:t>
            </w:r>
          </w:p>
        </w:tc>
        <w:tc>
          <w:tcPr>
            <w:tcW w:w="4680" w:type="dxa"/>
            <w:vAlign w:val="bottom"/>
            <w:gridSpan w:val="2"/>
          </w:tcPr>
          <w:p>
            <w:pPr>
              <w:ind w:left="100"/>
              <w:spacing w:after="0"/>
              <w:rPr>
                <w:sz w:val="20"/>
                <w:szCs w:val="20"/>
                <w:color w:val="auto"/>
              </w:rPr>
            </w:pPr>
            <w:r>
              <w:rPr>
                <w:rFonts w:ascii="Arial" w:cs="Arial" w:eastAsia="Arial" w:hAnsi="Arial"/>
                <w:sz w:val="16"/>
                <w:szCs w:val="16"/>
                <w:color w:val="auto"/>
              </w:rPr>
              <w:t>Hanesbrands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-904875</wp:posOffset>
            </wp:positionV>
            <wp:extent cx="1115060" cy="1577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5060" cy="1577975"/>
                    </a:xfrm>
                    <a:prstGeom prst="rect">
                      <a:avLst/>
                    </a:prstGeom>
                    <a:noFill/>
                  </pic:spPr>
                </pic:pic>
              </a:graphicData>
            </a:graphic>
          </wp:anchor>
        </w:drawing>
      </w:r>
    </w:p>
    <w:p>
      <w:pPr>
        <w:spacing w:after="0" w:line="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i w:val="1"/>
          <w:iCs w:val="1"/>
          <w:color w:val="00B0F0"/>
        </w:rPr>
        <w:t>Skills and Qualifications</w:t>
      </w:r>
    </w:p>
    <w:p>
      <w:pPr>
        <w:spacing w:after="0" w:line="215" w:lineRule="exact"/>
        <w:rPr>
          <w:sz w:val="20"/>
          <w:szCs w:val="20"/>
          <w:color w:val="auto"/>
        </w:rPr>
      </w:pPr>
    </w:p>
    <w:p>
      <w:pPr>
        <w:jc w:val="both"/>
        <w:ind w:left="2840" w:right="20"/>
        <w:spacing w:after="0" w:line="236" w:lineRule="auto"/>
        <w:rPr>
          <w:sz w:val="20"/>
          <w:szCs w:val="20"/>
          <w:color w:val="auto"/>
        </w:rPr>
      </w:pPr>
      <w:r>
        <w:rPr>
          <w:rFonts w:ascii="Arial" w:cs="Arial" w:eastAsia="Arial" w:hAnsi="Arial"/>
          <w:sz w:val="17"/>
          <w:szCs w:val="17"/>
          <w:color w:val="auto"/>
        </w:rPr>
        <w:t>In addition to his independence, Mr. Nelson brings to our Board extensive experience as a chief executive officer, chief financial officer and chief operating officer of major global companies, significant financial expertise, international business experience, public company and corporate governance experience and a long-standing background in the media industry.</w:t>
      </w:r>
    </w:p>
    <w:p>
      <w:pPr>
        <w:spacing w:after="0" w:line="95"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Mr. Nelson has served as a consultant to Avis Budget Group, Inc. since 2018. Prior to that, he served as Executive Chairman of the Board of Avis Budget Group from 2015 to 2018 and as its Chairman and Chief Executive Officer from 2006 to 2015, and also served as Chief Operating Officer from 2010 to 2015. Prior to that, Mr. Nelson held several executive finance and operating roles, beginning in 2003 with Cendant Corporation, including as its Chief Financial Officer and President and a member of its board from 2003 to 2006. From 1994 to 2003, Mr. Nelson served as Co-Chief Operating Officer of DreamWorks SKG. Prior to that, he was Executive Vice President, Chief Financial Officer and a director at Paramount Communications, Inc., formerly Gulf + Western Industries, Inc. Mr. Nelson has served on the board of Hanesbrands Inc. since 2008. He previously served on the board of Convergys Corporation.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900" w:type="dxa"/>
            <w:vAlign w:val="bottom"/>
          </w:tcPr>
          <w:p>
            <w:pPr>
              <w:spacing w:after="0"/>
              <w:rPr>
                <w:sz w:val="20"/>
                <w:szCs w:val="20"/>
                <w:color w:val="auto"/>
              </w:rPr>
            </w:pPr>
            <w:r>
              <w:rPr>
                <w:rFonts w:ascii="Arial" w:cs="Arial" w:eastAsia="Arial" w:hAnsi="Arial"/>
                <w:sz w:val="20"/>
                <w:szCs w:val="20"/>
                <w:b w:val="1"/>
                <w:bCs w:val="1"/>
                <w:color w:val="00B0F0"/>
              </w:rPr>
              <w:t>Deborah Norville</w:t>
            </w:r>
          </w:p>
        </w:tc>
        <w:tc>
          <w:tcPr>
            <w:tcW w:w="840" w:type="dxa"/>
            <w:vAlign w:val="bottom"/>
          </w:tcPr>
          <w:p>
            <w:pPr>
              <w:spacing w:after="0"/>
              <w:rPr>
                <w:sz w:val="22"/>
                <w:szCs w:val="22"/>
                <w:color w:val="auto"/>
              </w:rPr>
            </w:pPr>
          </w:p>
        </w:tc>
        <w:tc>
          <w:tcPr>
            <w:tcW w:w="4680" w:type="dxa"/>
            <w:vAlign w:val="bottom"/>
          </w:tcPr>
          <w:p>
            <w:pPr>
              <w:ind w:left="3500"/>
              <w:spacing w:after="0"/>
              <w:rPr>
                <w:sz w:val="20"/>
                <w:szCs w:val="20"/>
                <w:color w:val="auto"/>
              </w:rPr>
            </w:pPr>
            <w:r>
              <w:rPr>
                <w:rFonts w:ascii="Arial" w:cs="Arial" w:eastAsia="Arial" w:hAnsi="Arial"/>
                <w:sz w:val="20"/>
                <w:szCs w:val="20"/>
                <w:b w:val="1"/>
                <w:bCs w:val="1"/>
                <w:color w:val="auto"/>
                <w:w w:val="97"/>
              </w:rPr>
              <w:t>Independent</w:t>
            </w:r>
          </w:p>
        </w:tc>
      </w:tr>
      <w:tr>
        <w:trPr>
          <w:trHeight w:val="37"/>
        </w:trPr>
        <w:tc>
          <w:tcPr>
            <w:tcW w:w="59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gridSpan w:val="2"/>
          </w:tcPr>
          <w:p>
            <w:pPr>
              <w:spacing w:after="0"/>
              <w:rPr>
                <w:sz w:val="3"/>
                <w:szCs w:val="3"/>
                <w:color w:val="auto"/>
              </w:rPr>
            </w:pPr>
          </w:p>
        </w:tc>
      </w:tr>
      <w:tr>
        <w:trPr>
          <w:trHeight w:val="406"/>
        </w:trPr>
        <w:tc>
          <w:tcPr>
            <w:tcW w:w="5900" w:type="dxa"/>
            <w:vAlign w:val="bottom"/>
          </w:tcPr>
          <w:p>
            <w:pPr>
              <w:ind w:left="28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60</w:t>
            </w:r>
          </w:p>
        </w:tc>
        <w:tc>
          <w:tcPr>
            <w:tcW w:w="5520" w:type="dxa"/>
            <w:vAlign w:val="bottom"/>
            <w:gridSpan w:val="2"/>
          </w:tcPr>
          <w:p>
            <w:pPr>
              <w:ind w:left="520"/>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tc>
      </w:tr>
      <w:tr>
        <w:trPr>
          <w:trHeight w:val="297"/>
        </w:trPr>
        <w:tc>
          <w:tcPr>
            <w:tcW w:w="5900" w:type="dxa"/>
            <w:vAlign w:val="bottom"/>
          </w:tcPr>
          <w:p>
            <w:pPr>
              <w:ind w:left="28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March 2013</w:t>
            </w:r>
          </w:p>
        </w:tc>
        <w:tc>
          <w:tcPr>
            <w:tcW w:w="840" w:type="dxa"/>
            <w:vAlign w:val="bottom"/>
          </w:tcPr>
          <w:p>
            <w:pPr>
              <w:ind w:left="700"/>
              <w:spacing w:after="0"/>
              <w:rPr>
                <w:sz w:val="20"/>
                <w:szCs w:val="20"/>
                <w:color w:val="auto"/>
              </w:rPr>
            </w:pPr>
            <w:r>
              <w:rPr>
                <w:rFonts w:ascii="Arial" w:cs="Arial" w:eastAsia="Arial" w:hAnsi="Arial"/>
                <w:sz w:val="16"/>
                <w:szCs w:val="16"/>
                <w:color w:val="auto"/>
              </w:rPr>
              <w:t>•</w:t>
            </w:r>
          </w:p>
        </w:tc>
        <w:tc>
          <w:tcPr>
            <w:tcW w:w="4680" w:type="dxa"/>
            <w:vAlign w:val="bottom"/>
          </w:tcPr>
          <w:p>
            <w:pPr>
              <w:ind w:left="100"/>
              <w:spacing w:after="0"/>
              <w:rPr>
                <w:sz w:val="20"/>
                <w:szCs w:val="20"/>
                <w:color w:val="auto"/>
              </w:rPr>
            </w:pPr>
            <w:r>
              <w:rPr>
                <w:rFonts w:ascii="Arial" w:cs="Arial" w:eastAsia="Arial" w:hAnsi="Arial"/>
                <w:sz w:val="16"/>
                <w:szCs w:val="16"/>
                <w:color w:val="auto"/>
              </w:rPr>
              <w:t>Compensation Committee</w:t>
            </w:r>
          </w:p>
        </w:tc>
      </w:tr>
      <w:tr>
        <w:trPr>
          <w:trHeight w:val="311"/>
        </w:trPr>
        <w:tc>
          <w:tcPr>
            <w:tcW w:w="5900" w:type="dxa"/>
            <w:vAlign w:val="bottom"/>
          </w:tcPr>
          <w:p>
            <w:pPr>
              <w:ind w:left="2840"/>
              <w:spacing w:after="0"/>
              <w:rPr>
                <w:sz w:val="20"/>
                <w:szCs w:val="20"/>
                <w:color w:val="auto"/>
              </w:rPr>
            </w:pPr>
            <w:r>
              <w:rPr>
                <w:rFonts w:ascii="Arial" w:cs="Arial" w:eastAsia="Arial" w:hAnsi="Arial"/>
                <w:sz w:val="16"/>
                <w:szCs w:val="16"/>
                <w:b w:val="1"/>
                <w:bCs w:val="1"/>
                <w:color w:val="auto"/>
              </w:rPr>
              <w:t xml:space="preserve">Occupation: </w:t>
            </w:r>
            <w:r>
              <w:rPr>
                <w:rFonts w:ascii="Arial" w:cs="Arial" w:eastAsia="Arial" w:hAnsi="Arial"/>
                <w:sz w:val="16"/>
                <w:szCs w:val="16"/>
                <w:color w:val="auto"/>
              </w:rPr>
              <w:t>Anchor,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Inside Edition</w:t>
            </w:r>
          </w:p>
        </w:tc>
        <w:tc>
          <w:tcPr>
            <w:tcW w:w="5520" w:type="dxa"/>
            <w:vAlign w:val="bottom"/>
            <w:gridSpan w:val="2"/>
          </w:tcPr>
          <w:p>
            <w:pPr>
              <w:ind w:left="520"/>
              <w:spacing w:after="0"/>
              <w:rPr>
                <w:sz w:val="20"/>
                <w:szCs w:val="20"/>
                <w:color w:val="auto"/>
              </w:rPr>
            </w:pPr>
            <w:r>
              <w:rPr>
                <w:rFonts w:ascii="Arial" w:cs="Arial" w:eastAsia="Arial" w:hAnsi="Arial"/>
                <w:sz w:val="16"/>
                <w:szCs w:val="16"/>
                <w:b w:val="1"/>
                <w:bCs w:val="1"/>
                <w:color w:val="auto"/>
              </w:rPr>
              <w:t>Other Current Public Company Directorship(s):</w:t>
            </w:r>
          </w:p>
        </w:tc>
      </w:tr>
      <w:tr>
        <w:trPr>
          <w:trHeight w:val="297"/>
        </w:trPr>
        <w:tc>
          <w:tcPr>
            <w:tcW w:w="5900" w:type="dxa"/>
            <w:vAlign w:val="bottom"/>
          </w:tcPr>
          <w:p>
            <w:pPr>
              <w:spacing w:after="0"/>
              <w:rPr>
                <w:sz w:val="24"/>
                <w:szCs w:val="24"/>
                <w:color w:val="auto"/>
              </w:rPr>
            </w:pPr>
          </w:p>
        </w:tc>
        <w:tc>
          <w:tcPr>
            <w:tcW w:w="840" w:type="dxa"/>
            <w:vAlign w:val="bottom"/>
          </w:tcPr>
          <w:p>
            <w:pPr>
              <w:ind w:left="700"/>
              <w:spacing w:after="0"/>
              <w:rPr>
                <w:sz w:val="20"/>
                <w:szCs w:val="20"/>
                <w:color w:val="auto"/>
              </w:rPr>
            </w:pPr>
            <w:r>
              <w:rPr>
                <w:rFonts w:ascii="Arial" w:cs="Arial" w:eastAsia="Arial" w:hAnsi="Arial"/>
                <w:sz w:val="16"/>
                <w:szCs w:val="16"/>
                <w:color w:val="auto"/>
              </w:rPr>
              <w:t>•</w:t>
            </w:r>
          </w:p>
        </w:tc>
        <w:tc>
          <w:tcPr>
            <w:tcW w:w="4680" w:type="dxa"/>
            <w:vAlign w:val="bottom"/>
          </w:tcPr>
          <w:p>
            <w:pPr>
              <w:ind w:left="100"/>
              <w:spacing w:after="0"/>
              <w:rPr>
                <w:sz w:val="20"/>
                <w:szCs w:val="20"/>
                <w:color w:val="auto"/>
              </w:rPr>
            </w:pPr>
            <w:r>
              <w:rPr>
                <w:rFonts w:ascii="Arial" w:cs="Arial" w:eastAsia="Arial" w:hAnsi="Arial"/>
                <w:sz w:val="16"/>
                <w:szCs w:val="16"/>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-707390</wp:posOffset>
            </wp:positionV>
            <wp:extent cx="1115060" cy="1586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5060" cy="1586230"/>
                    </a:xfrm>
                    <a:prstGeom prst="rect">
                      <a:avLst/>
                    </a:prstGeom>
                    <a:noFill/>
                  </pic:spPr>
                </pic:pic>
              </a:graphicData>
            </a:graphic>
          </wp:anchor>
        </w:drawing>
      </w:r>
    </w:p>
    <w:p>
      <w:pPr>
        <w:spacing w:after="0" w:line="368" w:lineRule="exact"/>
        <w:rPr>
          <w:sz w:val="20"/>
          <w:szCs w:val="20"/>
          <w:color w:val="auto"/>
        </w:rPr>
      </w:pPr>
    </w:p>
    <w:p>
      <w:pPr>
        <w:ind w:left="2840"/>
        <w:spacing w:after="0"/>
        <w:rPr>
          <w:sz w:val="20"/>
          <w:szCs w:val="20"/>
          <w:color w:val="auto"/>
        </w:rPr>
      </w:pPr>
      <w:r>
        <w:rPr>
          <w:rFonts w:ascii="Arial" w:cs="Arial" w:eastAsia="Arial" w:hAnsi="Arial"/>
          <w:sz w:val="18"/>
          <w:szCs w:val="18"/>
          <w:b w:val="1"/>
          <w:bCs w:val="1"/>
          <w:i w:val="1"/>
          <w:iCs w:val="1"/>
          <w:color w:val="00B0F0"/>
        </w:rPr>
        <w:t>Skills and Qualifications</w:t>
      </w:r>
    </w:p>
    <w:p>
      <w:pPr>
        <w:spacing w:after="0" w:line="215" w:lineRule="exact"/>
        <w:rPr>
          <w:sz w:val="20"/>
          <w:szCs w:val="20"/>
          <w:color w:val="auto"/>
        </w:rPr>
      </w:pPr>
    </w:p>
    <w:p>
      <w:pPr>
        <w:jc w:val="both"/>
        <w:ind w:left="2840" w:right="40"/>
        <w:spacing w:after="0" w:line="238" w:lineRule="auto"/>
        <w:rPr>
          <w:sz w:val="20"/>
          <w:szCs w:val="20"/>
          <w:color w:val="auto"/>
        </w:rPr>
      </w:pPr>
      <w:r>
        <w:rPr>
          <w:rFonts w:ascii="Arial" w:cs="Arial" w:eastAsia="Arial" w:hAnsi="Arial"/>
          <w:sz w:val="17"/>
          <w:szCs w:val="17"/>
          <w:color w:val="auto"/>
        </w:rPr>
        <w:t>In addition to her independence, Ms. Norville brings to our Board extensive expertise, a long-standing background and a broad network in the media industry, public company and corporate governance experience and a knowledge of Viacom.</w:t>
      </w:r>
    </w:p>
    <w:p>
      <w:pPr>
        <w:spacing w:after="0" w:line="76"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 xml:space="preserve">Ms. Norville has been the anchor of </w:t>
      </w:r>
      <w:r>
        <w:rPr>
          <w:rFonts w:ascii="Arial" w:cs="Arial" w:eastAsia="Arial" w:hAnsi="Arial"/>
          <w:sz w:val="17"/>
          <w:szCs w:val="17"/>
          <w:i w:val="1"/>
          <w:iCs w:val="1"/>
          <w:color w:val="auto"/>
        </w:rPr>
        <w:t>Inside Edition</w:t>
      </w:r>
      <w:r>
        <w:rPr>
          <w:rFonts w:ascii="Arial" w:cs="Arial" w:eastAsia="Arial" w:hAnsi="Arial"/>
          <w:sz w:val="17"/>
          <w:szCs w:val="17"/>
          <w:color w:val="auto"/>
        </w:rPr>
        <w:t xml:space="preserve">, a top-rated syndicated newsmagazine, since 1995. Prior to </w:t>
      </w:r>
      <w:r>
        <w:rPr>
          <w:rFonts w:ascii="Arial" w:cs="Arial" w:eastAsia="Arial" w:hAnsi="Arial"/>
          <w:sz w:val="17"/>
          <w:szCs w:val="17"/>
          <w:i w:val="1"/>
          <w:iCs w:val="1"/>
          <w:color w:val="auto"/>
        </w:rPr>
        <w:t>Inside Edition</w:t>
      </w:r>
      <w:r>
        <w:rPr>
          <w:rFonts w:ascii="Arial" w:cs="Arial" w:eastAsia="Arial" w:hAnsi="Arial"/>
          <w:sz w:val="17"/>
          <w:szCs w:val="17"/>
          <w:color w:val="auto"/>
        </w:rPr>
        <w:t xml:space="preserve">, Ms. Norville served as a correspondent and anchor for CBS News programs </w:t>
      </w:r>
      <w:r>
        <w:rPr>
          <w:rFonts w:ascii="Arial" w:cs="Arial" w:eastAsia="Arial" w:hAnsi="Arial"/>
          <w:sz w:val="17"/>
          <w:szCs w:val="17"/>
          <w:i w:val="1"/>
          <w:iCs w:val="1"/>
          <w:color w:val="auto"/>
        </w:rPr>
        <w:t>Street Stories</w:t>
      </w:r>
      <w:r>
        <w:rPr>
          <w:rFonts w:ascii="Arial" w:cs="Arial" w:eastAsia="Arial" w:hAnsi="Arial"/>
          <w:sz w:val="17"/>
          <w:szCs w:val="17"/>
          <w:color w:val="auto"/>
        </w:rPr>
        <w:t xml:space="preserve">, </w:t>
      </w:r>
      <w:r>
        <w:rPr>
          <w:rFonts w:ascii="Arial" w:cs="Arial" w:eastAsia="Arial" w:hAnsi="Arial"/>
          <w:sz w:val="17"/>
          <w:szCs w:val="17"/>
          <w:i w:val="1"/>
          <w:iCs w:val="1"/>
          <w:color w:val="auto"/>
        </w:rPr>
        <w:t>48 Hours</w:t>
      </w:r>
      <w:r>
        <w:rPr>
          <w:rFonts w:ascii="Arial" w:cs="Arial" w:eastAsia="Arial" w:hAnsi="Arial"/>
          <w:sz w:val="17"/>
          <w:szCs w:val="17"/>
          <w:color w:val="auto"/>
        </w:rPr>
        <w:t xml:space="preserve"> and </w:t>
      </w:r>
      <w:r>
        <w:rPr>
          <w:rFonts w:ascii="Arial" w:cs="Arial" w:eastAsia="Arial" w:hAnsi="Arial"/>
          <w:sz w:val="17"/>
          <w:szCs w:val="17"/>
          <w:i w:val="1"/>
          <w:iCs w:val="1"/>
          <w:color w:val="auto"/>
        </w:rPr>
        <w:t>CBS Evening News</w:t>
      </w:r>
      <w:r>
        <w:rPr>
          <w:rFonts w:ascii="Arial" w:cs="Arial" w:eastAsia="Arial" w:hAnsi="Arial"/>
          <w:sz w:val="17"/>
          <w:szCs w:val="17"/>
          <w:color w:val="auto"/>
        </w:rPr>
        <w:t xml:space="preserve">. Previously, she anchored </w:t>
      </w:r>
      <w:r>
        <w:rPr>
          <w:rFonts w:ascii="Arial" w:cs="Arial" w:eastAsia="Arial" w:hAnsi="Arial"/>
          <w:sz w:val="17"/>
          <w:szCs w:val="17"/>
          <w:i w:val="1"/>
          <w:iCs w:val="1"/>
          <w:color w:val="auto"/>
        </w:rPr>
        <w:t>NBC News at Sunrise</w:t>
      </w:r>
      <w:r>
        <w:rPr>
          <w:rFonts w:ascii="Arial" w:cs="Arial" w:eastAsia="Arial" w:hAnsi="Arial"/>
          <w:sz w:val="17"/>
          <w:szCs w:val="17"/>
          <w:color w:val="auto"/>
        </w:rPr>
        <w:t xml:space="preserve"> and was news anchor and co-host of NBC’s </w:t>
      </w:r>
      <w:r>
        <w:rPr>
          <w:rFonts w:ascii="Arial" w:cs="Arial" w:eastAsia="Arial" w:hAnsi="Arial"/>
          <w:sz w:val="17"/>
          <w:szCs w:val="17"/>
          <w:i w:val="1"/>
          <w:iCs w:val="1"/>
          <w:color w:val="auto"/>
        </w:rPr>
        <w:t>Today</w:t>
      </w:r>
      <w:r>
        <w:rPr>
          <w:rFonts w:ascii="Arial" w:cs="Arial" w:eastAsia="Arial" w:hAnsi="Arial"/>
          <w:sz w:val="17"/>
          <w:szCs w:val="17"/>
          <w:color w:val="auto"/>
        </w:rPr>
        <w:t xml:space="preserve"> program. Ms. Norville is a two-time Emmy Award winner with more than thirty years of reporting experience and a best-selling author of several books. She serves on the Board of Directors and the Executive Committee of the Broadcasters Foundation of America and as Co-Chair of the Duke University Parents Committee. She is also a member of the Council on Foreign Relations and the Women’s Forum of New York.</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10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9</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b w:val="1"/>
          <w:bCs w:val="1"/>
          <w:color w:val="FFFFFF"/>
          <w:shd w:val="clear" w:color="auto" w:fill="1CB6EA"/>
        </w:rPr>
        <w:t xml:space="preserve">ITEM 1 </w:t>
      </w:r>
      <w:r>
        <w:rPr>
          <w:rFonts w:ascii="MS PGothic" w:cs="MS PGothic" w:eastAsia="MS PGothic" w:hAnsi="MS PGothic"/>
          <w:sz w:val="14"/>
          <w:szCs w:val="14"/>
          <w:b w:val="1"/>
          <w:bCs w:val="1"/>
          <w:color w:val="FFFFFF"/>
          <w:shd w:val="clear" w:color="auto" w:fill="1CB6EA"/>
        </w:rPr>
        <w:t>‑</w:t>
      </w:r>
      <w:r>
        <w:rPr>
          <w:rFonts w:ascii="Arial" w:cs="Arial" w:eastAsia="Arial" w:hAnsi="Arial"/>
          <w:sz w:val="14"/>
          <w:szCs w:val="14"/>
          <w:b w:val="1"/>
          <w:bCs w:val="1"/>
          <w:color w:val="FFFFFF"/>
          <w:shd w:val="clear" w:color="auto" w:fill="1CB6EA"/>
        </w:rPr>
        <w:t xml:space="preserve"> ELECTION OF DIRECTORS</w:t>
      </w:r>
    </w:p>
    <w:p>
      <w:pPr>
        <w:spacing w:after="0" w:line="149" w:lineRule="exact"/>
        <w:rPr>
          <w:sz w:val="20"/>
          <w:szCs w:val="20"/>
          <w:color w:val="auto"/>
        </w:rPr>
      </w:pPr>
    </w:p>
    <w:p>
      <w:pPr>
        <w:spacing w:after="0"/>
        <w:tabs>
          <w:tab w:leader="none" w:pos="10220" w:val="left"/>
        </w:tabs>
        <w:rPr>
          <w:sz w:val="20"/>
          <w:szCs w:val="20"/>
          <w:color w:val="auto"/>
        </w:rPr>
      </w:pPr>
      <w:r>
        <w:rPr>
          <w:rFonts w:ascii="Arial" w:cs="Arial" w:eastAsia="Arial" w:hAnsi="Arial"/>
          <w:sz w:val="20"/>
          <w:szCs w:val="20"/>
          <w:b w:val="1"/>
          <w:bCs w:val="1"/>
          <w:color w:val="00B0F0"/>
        </w:rPr>
        <w:t>Charles E. Phillips, Jr.</w:t>
      </w:r>
      <w:r>
        <w:rPr>
          <w:sz w:val="20"/>
          <w:szCs w:val="20"/>
          <w:color w:val="auto"/>
        </w:rPr>
        <w:tab/>
      </w:r>
      <w:r>
        <w:rPr>
          <w:rFonts w:ascii="Arial" w:cs="Arial" w:eastAsia="Arial" w:hAnsi="Arial"/>
          <w:sz w:val="19"/>
          <w:szCs w:val="19"/>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79"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-113030</wp:posOffset>
            </wp:positionV>
            <wp:extent cx="1115060" cy="15862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5060" cy="1586230"/>
                    </a:xfrm>
                    <a:prstGeom prst="rect">
                      <a:avLst/>
                    </a:prstGeom>
                    <a:noFill/>
                  </pic:spPr>
                </pic:pic>
              </a:graphicData>
            </a:graphic>
          </wp:anchor>
        </w:drawing>
      </w:r>
    </w:p>
    <w:p>
      <w:pPr>
        <w:spacing w:after="0" w:line="93" w:lineRule="exact"/>
        <w:rPr>
          <w:sz w:val="20"/>
          <w:szCs w:val="20"/>
          <w:color w:val="auto"/>
        </w:rPr>
      </w:pPr>
    </w:p>
    <w:p>
      <w:pPr>
        <w:ind w:left="2840"/>
        <w:spacing w:after="0" w:line="28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January 2006 (and Former</w:t>
      </w:r>
      <w:r>
        <w:rPr>
          <w:rFonts w:ascii="Arial" w:cs="Arial" w:eastAsia="Arial" w:hAnsi="Arial"/>
          <w:sz w:val="16"/>
          <w:szCs w:val="16"/>
          <w:b w:val="1"/>
          <w:bCs w:val="1"/>
          <w:color w:val="auto"/>
        </w:rPr>
        <w:t xml:space="preserve"> </w:t>
      </w:r>
      <w:r>
        <w:rPr>
          <w:rFonts w:ascii="Arial" w:cs="Arial" w:eastAsia="Arial" w:hAnsi="Arial"/>
          <w:sz w:val="16"/>
          <w:szCs w:val="16"/>
          <w:color w:val="auto"/>
        </w:rPr>
        <w:t>Viacom beginning in 2004)</w:t>
      </w:r>
    </w:p>
    <w:p>
      <w:pPr>
        <w:spacing w:after="0" w:line="48" w:lineRule="exact"/>
        <w:rPr>
          <w:sz w:val="20"/>
          <w:szCs w:val="20"/>
          <w:color w:val="auto"/>
        </w:rPr>
      </w:pPr>
    </w:p>
    <w:p>
      <w:pPr>
        <w:ind w:left="2840" w:right="40"/>
        <w:spacing w:after="0" w:line="286" w:lineRule="auto"/>
        <w:rPr>
          <w:sz w:val="20"/>
          <w:szCs w:val="20"/>
          <w:color w:val="auto"/>
        </w:rPr>
      </w:pPr>
      <w:r>
        <w:rPr>
          <w:rFonts w:ascii="Arial" w:cs="Arial" w:eastAsia="Arial" w:hAnsi="Arial"/>
          <w:sz w:val="16"/>
          <w:szCs w:val="16"/>
          <w:b w:val="1"/>
          <w:bCs w:val="1"/>
          <w:color w:val="auto"/>
        </w:rPr>
        <w:t xml:space="preserve">Occupation: </w:t>
      </w:r>
      <w:r>
        <w:rPr>
          <w:rFonts w:ascii="Arial" w:cs="Arial" w:eastAsia="Arial" w:hAnsi="Arial"/>
          <w:sz w:val="16"/>
          <w:szCs w:val="16"/>
          <w:color w:val="auto"/>
        </w:rPr>
        <w:t>Chief Executive Officer, Infor,</w:t>
      </w:r>
      <w:r>
        <w:rPr>
          <w:rFonts w:ascii="Arial" w:cs="Arial" w:eastAsia="Arial" w:hAnsi="Arial"/>
          <w:sz w:val="16"/>
          <w:szCs w:val="16"/>
          <w:b w:val="1"/>
          <w:bCs w:val="1"/>
          <w:color w:val="auto"/>
        </w:rPr>
        <w:t xml:space="preserve"> </w:t>
      </w:r>
      <w:r>
        <w:rPr>
          <w:rFonts w:ascii="Arial" w:cs="Arial" w:eastAsia="Arial" w:hAnsi="Arial"/>
          <w:sz w:val="16"/>
          <w:szCs w:val="16"/>
          <w:color w:val="auto"/>
        </w:rPr>
        <w:t>Inc.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p>
      <w:pPr>
        <w:spacing w:after="0" w:line="133" w:lineRule="exact"/>
        <w:rPr>
          <w:sz w:val="20"/>
          <w:szCs w:val="20"/>
          <w:color w:val="auto"/>
        </w:rPr>
      </w:pPr>
    </w:p>
    <w:p>
      <w:pPr>
        <w:ind w:left="420" w:hanging="235"/>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 Committee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Directorship(s):</w:t>
      </w:r>
    </w:p>
    <w:p>
      <w:pPr>
        <w:spacing w:after="0" w:line="133" w:lineRule="exact"/>
        <w:rPr>
          <w:sz w:val="20"/>
          <w:szCs w:val="20"/>
          <w:color w:val="auto"/>
        </w:rPr>
      </w:pPr>
    </w:p>
    <w:p>
      <w:pPr>
        <w:ind w:left="420" w:hanging="235"/>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None</w:t>
      </w:r>
    </w:p>
    <w:p>
      <w:pPr>
        <w:spacing w:after="0" w:line="249" w:lineRule="exact"/>
        <w:rPr>
          <w:sz w:val="20"/>
          <w:szCs w:val="20"/>
          <w:color w:val="auto"/>
        </w:rPr>
      </w:pPr>
    </w:p>
    <w:p>
      <w:pPr>
        <w:sectPr>
          <w:pgSz w:w="11900" w:h="16838" w:orient="portrait"/>
          <w:cols w:equalWidth="0" w:num="2">
            <w:col w:w="5960" w:space="400"/>
            <w:col w:w="5080"/>
          </w:cols>
          <w:pgMar w:left="240" w:top="125" w:right="219" w:bottom="1440" w:gutter="0" w:footer="0" w:header="0"/>
          <w:type w:val="continuous"/>
        </w:sectPr>
      </w:pPr>
    </w:p>
    <w:p>
      <w:pPr>
        <w:ind w:left="2840"/>
        <w:spacing w:after="0"/>
        <w:rPr>
          <w:sz w:val="20"/>
          <w:szCs w:val="20"/>
          <w:color w:val="auto"/>
        </w:rPr>
      </w:pPr>
      <w:r>
        <w:rPr>
          <w:rFonts w:ascii="Arial" w:cs="Arial" w:eastAsia="Arial" w:hAnsi="Arial"/>
          <w:sz w:val="18"/>
          <w:szCs w:val="18"/>
          <w:b w:val="1"/>
          <w:bCs w:val="1"/>
          <w:i w:val="1"/>
          <w:iCs w:val="1"/>
          <w:color w:val="00B0F0"/>
        </w:rPr>
        <w:t>Skills and Qualifications</w:t>
      </w:r>
    </w:p>
    <w:p>
      <w:pPr>
        <w:spacing w:after="0" w:line="215" w:lineRule="exact"/>
        <w:rPr>
          <w:sz w:val="20"/>
          <w:szCs w:val="20"/>
          <w:color w:val="auto"/>
        </w:rPr>
      </w:pPr>
    </w:p>
    <w:p>
      <w:pPr>
        <w:jc w:val="both"/>
        <w:ind w:left="2840" w:right="20"/>
        <w:spacing w:after="0" w:line="236" w:lineRule="auto"/>
        <w:rPr>
          <w:sz w:val="20"/>
          <w:szCs w:val="20"/>
          <w:color w:val="auto"/>
        </w:rPr>
      </w:pPr>
      <w:r>
        <w:rPr>
          <w:rFonts w:ascii="Arial" w:cs="Arial" w:eastAsia="Arial" w:hAnsi="Arial"/>
          <w:sz w:val="17"/>
          <w:szCs w:val="17"/>
          <w:color w:val="auto"/>
        </w:rPr>
        <w:t>In addition to his independence, Mr. Phillips brings to our Board extensive experience as a senior executive in a large, multinational corporation, financial industry background and financial and analytical expertise, significant public company and corporate governance experience, expertise in technology issues and familiarity with issues facing media, new media and intellectual property-driven companies and a deep knowledge of Viacom.</w:t>
      </w:r>
    </w:p>
    <w:p>
      <w:pPr>
        <w:spacing w:after="0" w:line="95"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Mr. Phillips has been Chief Executive Officer of Infor, Inc. since 2010. He was a President of Oracle Corporation from 2003 to 2010 and served as a member of its Board of Directors and Executive Management Committee from 2004 to 2010. Prior to Oracle, Mr. Phillips was a managing director at Morgan Stanley in the Technology Group and served on its Board of Directors. He is a member of the Board of Directors of the Federal Reserve Bank of New York, the Apollo Theater, Business Executives for National Security and the New York Police Foundation. He served on President Obama’s Economic Recovery Board, led by Paul Volcker, and is a member of the Council on Foreign Relations. Mr. Phillips earned a BS in Computer Science from the U.S. Air Force Academy, an MBA from Hampton University and a JD from New York Law School, and he is a member of the Georgia State Bar Association.</w:t>
      </w:r>
    </w:p>
    <w:p>
      <w:pPr>
        <w:spacing w:after="0" w:line="171" w:lineRule="exact"/>
        <w:rPr>
          <w:sz w:val="20"/>
          <w:szCs w:val="20"/>
          <w:color w:val="auto"/>
        </w:rPr>
      </w:pPr>
    </w:p>
    <w:p>
      <w:pPr>
        <w:spacing w:after="0"/>
        <w:tabs>
          <w:tab w:leader="none" w:pos="7320" w:val="left"/>
        </w:tabs>
        <w:rPr>
          <w:sz w:val="20"/>
          <w:szCs w:val="20"/>
          <w:color w:val="auto"/>
        </w:rPr>
      </w:pPr>
      <w:r>
        <w:rPr>
          <w:rFonts w:ascii="Arial" w:cs="Arial" w:eastAsia="Arial" w:hAnsi="Arial"/>
          <w:sz w:val="20"/>
          <w:szCs w:val="20"/>
          <w:b w:val="1"/>
          <w:bCs w:val="1"/>
          <w:color w:val="00B0F0"/>
        </w:rPr>
        <w:t>Shari Redstone</w:t>
      </w:r>
      <w:r>
        <w:rPr>
          <w:sz w:val="20"/>
          <w:szCs w:val="20"/>
          <w:color w:val="auto"/>
        </w:rPr>
        <w:tab/>
      </w:r>
      <w:r>
        <w:rPr>
          <w:rFonts w:ascii="Arial" w:cs="Arial" w:eastAsia="Arial" w:hAnsi="Arial"/>
          <w:sz w:val="19"/>
          <w:szCs w:val="19"/>
          <w:b w:val="1"/>
          <w:bCs w:val="1"/>
          <w:color w:val="auto"/>
        </w:rPr>
        <w:t>Not Independent; Non-Executive Vice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79"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-113030</wp:posOffset>
            </wp:positionV>
            <wp:extent cx="1115060" cy="1586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5060" cy="1586230"/>
                    </a:xfrm>
                    <a:prstGeom prst="rect">
                      <a:avLst/>
                    </a:prstGeom>
                    <a:noFill/>
                  </pic:spPr>
                </pic:pic>
              </a:graphicData>
            </a:graphic>
          </wp:anchor>
        </w:drawing>
      </w:r>
    </w:p>
    <w:p>
      <w:pPr>
        <w:spacing w:after="0" w:line="93" w:lineRule="exact"/>
        <w:rPr>
          <w:sz w:val="20"/>
          <w:szCs w:val="20"/>
          <w:color w:val="auto"/>
        </w:rPr>
      </w:pPr>
    </w:p>
    <w:p>
      <w:pPr>
        <w:ind w:left="2840"/>
        <w:spacing w:after="0" w:line="28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January 2006 (and Former</w:t>
      </w:r>
      <w:r>
        <w:rPr>
          <w:rFonts w:ascii="Arial" w:cs="Arial" w:eastAsia="Arial" w:hAnsi="Arial"/>
          <w:sz w:val="16"/>
          <w:szCs w:val="16"/>
          <w:b w:val="1"/>
          <w:bCs w:val="1"/>
          <w:color w:val="auto"/>
        </w:rPr>
        <w:t xml:space="preserve"> </w:t>
      </w:r>
      <w:r>
        <w:rPr>
          <w:rFonts w:ascii="Arial" w:cs="Arial" w:eastAsia="Arial" w:hAnsi="Arial"/>
          <w:sz w:val="16"/>
          <w:szCs w:val="16"/>
          <w:color w:val="auto"/>
        </w:rPr>
        <w:t>Viacom beginning in 1994)</w:t>
      </w:r>
    </w:p>
    <w:p>
      <w:pPr>
        <w:spacing w:after="0" w:line="48" w:lineRule="exact"/>
        <w:rPr>
          <w:sz w:val="20"/>
          <w:szCs w:val="20"/>
          <w:color w:val="auto"/>
        </w:rPr>
      </w:pPr>
    </w:p>
    <w:p>
      <w:pPr>
        <w:ind w:left="2840" w:right="240"/>
        <w:spacing w:after="0" w:line="286" w:lineRule="auto"/>
        <w:rPr>
          <w:sz w:val="20"/>
          <w:szCs w:val="20"/>
          <w:color w:val="auto"/>
        </w:rPr>
      </w:pPr>
      <w:r>
        <w:rPr>
          <w:rFonts w:ascii="Arial" w:cs="Arial" w:eastAsia="Arial" w:hAnsi="Arial"/>
          <w:sz w:val="16"/>
          <w:szCs w:val="16"/>
          <w:b w:val="1"/>
          <w:bCs w:val="1"/>
          <w:color w:val="auto"/>
        </w:rPr>
        <w:t xml:space="preserve">Occupation: </w:t>
      </w:r>
      <w:r>
        <w:rPr>
          <w:rFonts w:ascii="Arial" w:cs="Arial" w:eastAsia="Arial" w:hAnsi="Arial"/>
          <w:sz w:val="16"/>
          <w:szCs w:val="16"/>
          <w:color w:val="auto"/>
        </w:rPr>
        <w:t>Co-founder and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Advancit Capital</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p>
      <w:pPr>
        <w:spacing w:after="0" w:line="133" w:lineRule="exact"/>
        <w:rPr>
          <w:sz w:val="20"/>
          <w:szCs w:val="20"/>
          <w:color w:val="auto"/>
        </w:rPr>
      </w:pPr>
    </w:p>
    <w:p>
      <w:pPr>
        <w:ind w:left="420" w:hanging="241"/>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Directorship(s):</w:t>
      </w:r>
    </w:p>
    <w:p>
      <w:pPr>
        <w:spacing w:after="0" w:line="133" w:lineRule="exact"/>
        <w:rPr>
          <w:sz w:val="20"/>
          <w:szCs w:val="20"/>
          <w:color w:val="auto"/>
        </w:rPr>
      </w:pPr>
    </w:p>
    <w:p>
      <w:pPr>
        <w:ind w:left="420" w:hanging="241"/>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CBS Corporation</w:t>
      </w:r>
    </w:p>
    <w:p>
      <w:pPr>
        <w:spacing w:after="0" w:line="312" w:lineRule="exact"/>
        <w:rPr>
          <w:sz w:val="20"/>
          <w:szCs w:val="20"/>
          <w:color w:val="auto"/>
        </w:rPr>
      </w:pPr>
    </w:p>
    <w:p>
      <w:pPr>
        <w:sectPr>
          <w:pgSz w:w="11900" w:h="16838" w:orient="portrait"/>
          <w:cols w:equalWidth="0" w:num="2">
            <w:col w:w="5960" w:space="460"/>
            <w:col w:w="5020"/>
          </w:cols>
          <w:pgMar w:left="240" w:top="125" w:right="219" w:bottom="1440" w:gutter="0" w:footer="0" w:header="0"/>
          <w:type w:val="continuous"/>
        </w:sectPr>
      </w:pPr>
    </w:p>
    <w:p>
      <w:pPr>
        <w:spacing w:after="0" w:line="19" w:lineRule="exact"/>
        <w:rPr>
          <w:sz w:val="20"/>
          <w:szCs w:val="20"/>
          <w:color w:val="auto"/>
        </w:rPr>
      </w:pPr>
    </w:p>
    <w:p>
      <w:pPr>
        <w:ind w:left="2840"/>
        <w:spacing w:after="0"/>
        <w:rPr>
          <w:sz w:val="20"/>
          <w:szCs w:val="20"/>
          <w:color w:val="auto"/>
        </w:rPr>
      </w:pPr>
      <w:r>
        <w:rPr>
          <w:rFonts w:ascii="Arial" w:cs="Arial" w:eastAsia="Arial" w:hAnsi="Arial"/>
          <w:sz w:val="18"/>
          <w:szCs w:val="18"/>
          <w:b w:val="1"/>
          <w:bCs w:val="1"/>
          <w:i w:val="1"/>
          <w:iCs w:val="1"/>
          <w:color w:val="00B0F0"/>
        </w:rPr>
        <w:t>Skills and Qualifications</w:t>
      </w:r>
    </w:p>
    <w:p>
      <w:pPr>
        <w:spacing w:after="0" w:line="215" w:lineRule="exact"/>
        <w:rPr>
          <w:sz w:val="20"/>
          <w:szCs w:val="20"/>
          <w:color w:val="auto"/>
        </w:rPr>
      </w:pPr>
    </w:p>
    <w:p>
      <w:pPr>
        <w:jc w:val="both"/>
        <w:ind w:left="2840" w:right="20"/>
        <w:spacing w:after="0" w:line="238" w:lineRule="auto"/>
        <w:rPr>
          <w:sz w:val="20"/>
          <w:szCs w:val="20"/>
          <w:color w:val="auto"/>
        </w:rPr>
      </w:pPr>
      <w:r>
        <w:rPr>
          <w:rFonts w:ascii="Arial" w:cs="Arial" w:eastAsia="Arial" w:hAnsi="Arial"/>
          <w:sz w:val="17"/>
          <w:szCs w:val="17"/>
          <w:color w:val="auto"/>
        </w:rPr>
        <w:t>Ms. Redstone brings to our Board her extensive experience in and understanding of the entertainment industry, a deep knowledge of Viacom, broad experience and talent managing a large business, extensive legal experience and her experience as President of NAI, including as one of its significant stockholders.</w:t>
      </w:r>
    </w:p>
    <w:p>
      <w:pPr>
        <w:spacing w:after="0" w:line="161"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Ms. Redstone has been the Non-Executive Vice Chair of our Board and the board of Former Viacom since 1994. She also serves as Non-Executive Vice Chair of the Board of Directors of CBS Corporation. Ms. Redstone is Co-founder and Managing Partner of Advancit Capital, an investment firm launched in 2011 that focuses on early stage companies at the intersection of media, entertainment and technology, with investments in over 75 companies. Ms. Redstone has been President of NAI since 2000, and also serves as a director. Ms. Redstone is a member of the board of trustees of The Paley Center for Media. Ms. Redstone is actively involved in a variety of charitable, civic, and educational organizations. She is a member of the Boards of Directors of Combined Jewish Philanthropies and the John F. Kennedy Library Foundation and sits on the Board of Trustees of the Dana-Farber Cancer Institute. Ms. Redstone also serves on the Legal Services Corporation’s Leaders Council. Ms. Redstone earned a BS from Tufts University and a JD and a Masters in Tax Law from Boston University. She practiced corporate law, estate planning and criminal law in the Boston area before joining NAI. Ms. Redstone is the daughter of Sumner M. Redstone.</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10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560" w:type="dxa"/>
            <w:vAlign w:val="bottom"/>
            <w:tcBorders>
              <w:bottom w:val="single" w:sz="8" w:color="1CB6EA"/>
            </w:tcBorders>
            <w:shd w:val="clear" w:color="auto" w:fill="1CB6EA"/>
          </w:tcPr>
          <w:p>
            <w:pPr>
              <w:ind w:left="80"/>
              <w:spacing w:after="0" w:line="161" w:lineRule="exact"/>
              <w:rPr>
                <w:sz w:val="20"/>
                <w:szCs w:val="20"/>
                <w:color w:val="auto"/>
              </w:rPr>
            </w:pPr>
            <w:r>
              <w:rPr>
                <w:rFonts w:ascii="Arial" w:cs="Arial" w:eastAsia="Arial" w:hAnsi="Arial"/>
                <w:sz w:val="14"/>
                <w:szCs w:val="14"/>
                <w:b w:val="1"/>
                <w:bCs w:val="1"/>
                <w:color w:val="FFFFFF"/>
                <w:shd w:val="clear" w:color="auto" w:fill="1CB6EA"/>
              </w:rPr>
              <w:t xml:space="preserve">ITEM 1 </w:t>
            </w:r>
            <w:r>
              <w:rPr>
                <w:rFonts w:ascii="MS PGothic" w:cs="MS PGothic" w:eastAsia="MS PGothic" w:hAnsi="MS PGothic"/>
                <w:sz w:val="14"/>
                <w:szCs w:val="14"/>
                <w:b w:val="1"/>
                <w:bCs w:val="1"/>
                <w:color w:val="FFFFFF"/>
                <w:shd w:val="clear" w:color="auto" w:fill="1CB6EA"/>
              </w:rPr>
              <w:t>‑</w:t>
            </w:r>
            <w:r>
              <w:rPr>
                <w:rFonts w:ascii="Arial" w:cs="Arial" w:eastAsia="Arial" w:hAnsi="Arial"/>
                <w:sz w:val="14"/>
                <w:szCs w:val="14"/>
                <w:b w:val="1"/>
                <w:bCs w:val="1"/>
                <w:color w:val="FFFFFF"/>
                <w:shd w:val="clear" w:color="auto" w:fill="1CB6EA"/>
              </w:rPr>
              <w:t xml:space="preserve"> ELECTION OF DIRECTORS</w:t>
            </w:r>
          </w:p>
        </w:tc>
        <w:tc>
          <w:tcPr>
            <w:tcW w:w="0" w:type="dxa"/>
            <w:vAlign w:val="bottom"/>
          </w:tcPr>
          <w:p>
            <w:pPr>
              <w:spacing w:after="0"/>
              <w:rPr>
                <w:sz w:val="1"/>
                <w:szCs w:val="1"/>
                <w:color w:val="auto"/>
              </w:rPr>
            </w:pPr>
          </w:p>
        </w:tc>
      </w:tr>
      <w:tr>
        <w:trPr>
          <w:trHeight w:val="355"/>
        </w:trPr>
        <w:tc>
          <w:tcPr>
            <w:tcW w:w="6220" w:type="dxa"/>
            <w:vAlign w:val="bottom"/>
          </w:tcPr>
          <w:p>
            <w:pPr>
              <w:spacing w:after="0"/>
              <w:rPr>
                <w:sz w:val="20"/>
                <w:szCs w:val="20"/>
                <w:color w:val="auto"/>
              </w:rPr>
            </w:pPr>
            <w:r>
              <w:rPr>
                <w:rFonts w:ascii="Arial" w:cs="Arial" w:eastAsia="Arial" w:hAnsi="Arial"/>
                <w:sz w:val="20"/>
                <w:szCs w:val="20"/>
                <w:b w:val="1"/>
                <w:bCs w:val="1"/>
                <w:color w:val="00B0F0"/>
              </w:rPr>
              <w:t>Nicole Seligman</w:t>
            </w: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380"/>
              <w:spacing w:after="0"/>
              <w:rPr>
                <w:sz w:val="20"/>
                <w:szCs w:val="20"/>
                <w:color w:val="auto"/>
              </w:rPr>
            </w:pPr>
            <w:r>
              <w:rPr>
                <w:rFonts w:ascii="Arial" w:cs="Arial" w:eastAsia="Arial" w:hAnsi="Arial"/>
                <w:sz w:val="20"/>
                <w:szCs w:val="20"/>
                <w:b w:val="1"/>
                <w:bCs w:val="1"/>
                <w:color w:val="auto"/>
                <w:w w:val="97"/>
              </w:rPr>
              <w:t>Independent</w:t>
            </w:r>
          </w:p>
        </w:tc>
        <w:tc>
          <w:tcPr>
            <w:tcW w:w="0" w:type="dxa"/>
            <w:vAlign w:val="bottom"/>
          </w:tcPr>
          <w:p>
            <w:pPr>
              <w:spacing w:after="0"/>
              <w:rPr>
                <w:sz w:val="1"/>
                <w:szCs w:val="1"/>
                <w:color w:val="auto"/>
              </w:rPr>
            </w:pPr>
          </w:p>
        </w:tc>
      </w:tr>
      <w:tr>
        <w:trPr>
          <w:trHeight w:val="37"/>
        </w:trPr>
        <w:tc>
          <w:tcPr>
            <w:tcW w:w="622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406"/>
        </w:trPr>
        <w:tc>
          <w:tcPr>
            <w:tcW w:w="6220" w:type="dxa"/>
            <w:vAlign w:val="bottom"/>
          </w:tcPr>
          <w:p>
            <w:pPr>
              <w:ind w:left="284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62</w:t>
            </w:r>
          </w:p>
        </w:tc>
        <w:tc>
          <w:tcPr>
            <w:tcW w:w="5200" w:type="dxa"/>
            <w:vAlign w:val="bottom"/>
            <w:gridSpan w:val="3"/>
          </w:tcPr>
          <w:p>
            <w:pPr>
              <w:ind w:left="200"/>
              <w:spacing w:after="0"/>
              <w:rPr>
                <w:sz w:val="20"/>
                <w:szCs w:val="20"/>
                <w:color w:val="auto"/>
              </w:rPr>
            </w:pPr>
            <w:r>
              <w:rPr>
                <w:rFonts w:ascii="Arial" w:cs="Arial" w:eastAsia="Arial" w:hAnsi="Arial"/>
                <w:sz w:val="16"/>
                <w:szCs w:val="16"/>
                <w:b w:val="1"/>
                <w:bCs w:val="1"/>
                <w:color w:val="auto"/>
              </w:rPr>
              <w:t>Committee(s)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6220" w:type="dxa"/>
            <w:vAlign w:val="bottom"/>
          </w:tcPr>
          <w:p>
            <w:pPr>
              <w:ind w:left="28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August 2016</w:t>
            </w:r>
          </w:p>
        </w:tc>
        <w:tc>
          <w:tcPr>
            <w:tcW w:w="520" w:type="dxa"/>
            <w:vAlign w:val="bottom"/>
          </w:tcPr>
          <w:p>
            <w:pPr>
              <w:ind w:left="380"/>
              <w:spacing w:after="0"/>
              <w:rPr>
                <w:sz w:val="20"/>
                <w:szCs w:val="20"/>
                <w:color w:val="auto"/>
              </w:rPr>
            </w:pPr>
            <w:r>
              <w:rPr>
                <w:rFonts w:ascii="Arial" w:cs="Arial" w:eastAsia="Arial" w:hAnsi="Arial"/>
                <w:sz w:val="16"/>
                <w:szCs w:val="16"/>
                <w:color w:val="auto"/>
              </w:rPr>
              <w:t>•</w:t>
            </w:r>
          </w:p>
        </w:tc>
        <w:tc>
          <w:tcPr>
            <w:tcW w:w="4680" w:type="dxa"/>
            <w:vAlign w:val="bottom"/>
            <w:gridSpan w:val="2"/>
          </w:tcPr>
          <w:p>
            <w:pPr>
              <w:ind w:left="100"/>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292"/>
        </w:trPr>
        <w:tc>
          <w:tcPr>
            <w:tcW w:w="6220" w:type="dxa"/>
            <w:vAlign w:val="bottom"/>
          </w:tcPr>
          <w:p>
            <w:pPr>
              <w:ind w:left="2840"/>
              <w:spacing w:after="0"/>
              <w:rPr>
                <w:sz w:val="20"/>
                <w:szCs w:val="20"/>
                <w:color w:val="auto"/>
              </w:rPr>
            </w:pPr>
            <w:r>
              <w:rPr>
                <w:rFonts w:ascii="Arial" w:cs="Arial" w:eastAsia="Arial" w:hAnsi="Arial"/>
                <w:sz w:val="16"/>
                <w:szCs w:val="16"/>
                <w:b w:val="1"/>
                <w:bCs w:val="1"/>
                <w:color w:val="auto"/>
              </w:rPr>
              <w:t xml:space="preserve">Occupation: </w:t>
            </w:r>
            <w:r>
              <w:rPr>
                <w:rFonts w:ascii="Arial" w:cs="Arial" w:eastAsia="Arial" w:hAnsi="Arial"/>
                <w:sz w:val="16"/>
                <w:szCs w:val="16"/>
                <w:color w:val="auto"/>
              </w:rPr>
              <w:t>Former President, Sony</w:t>
            </w:r>
          </w:p>
        </w:tc>
        <w:tc>
          <w:tcPr>
            <w:tcW w:w="5200" w:type="dxa"/>
            <w:vAlign w:val="bottom"/>
            <w:gridSpan w:val="3"/>
          </w:tcPr>
          <w:p>
            <w:pPr>
              <w:ind w:left="380"/>
              <w:spacing w:after="0"/>
              <w:rPr>
                <w:sz w:val="20"/>
                <w:szCs w:val="20"/>
                <w:color w:val="auto"/>
              </w:rPr>
            </w:pPr>
            <w:r>
              <w:rPr>
                <w:rFonts w:ascii="Arial" w:cs="Arial" w:eastAsia="Arial" w:hAnsi="Arial"/>
                <w:sz w:val="16"/>
                <w:szCs w:val="16"/>
                <w:color w:val="auto"/>
              </w:rPr>
              <w:t>•   Governance and Nominating Committee (Chair)</w:t>
            </w:r>
          </w:p>
        </w:tc>
        <w:tc>
          <w:tcPr>
            <w:tcW w:w="0" w:type="dxa"/>
            <w:vAlign w:val="bottom"/>
          </w:tcPr>
          <w:p>
            <w:pPr>
              <w:spacing w:after="0"/>
              <w:rPr>
                <w:sz w:val="1"/>
                <w:szCs w:val="1"/>
                <w:color w:val="auto"/>
              </w:rPr>
            </w:pPr>
          </w:p>
        </w:tc>
      </w:tr>
      <w:tr>
        <w:trPr>
          <w:trHeight w:val="189"/>
        </w:trPr>
        <w:tc>
          <w:tcPr>
            <w:tcW w:w="6220" w:type="dxa"/>
            <w:vAlign w:val="bottom"/>
          </w:tcPr>
          <w:p>
            <w:pPr>
              <w:ind w:left="2840"/>
              <w:spacing w:after="0"/>
              <w:rPr>
                <w:sz w:val="20"/>
                <w:szCs w:val="20"/>
                <w:color w:val="auto"/>
              </w:rPr>
            </w:pPr>
            <w:r>
              <w:rPr>
                <w:rFonts w:ascii="Arial" w:cs="Arial" w:eastAsia="Arial" w:hAnsi="Arial"/>
                <w:sz w:val="16"/>
                <w:szCs w:val="16"/>
                <w:color w:val="auto"/>
              </w:rPr>
              <w:t>Entertainment, Inc. and Sony Corporation of</w:t>
            </w:r>
          </w:p>
        </w:tc>
        <w:tc>
          <w:tcPr>
            <w:tcW w:w="520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Other Current Public Company Directorship(s):</w:t>
            </w:r>
          </w:p>
        </w:tc>
        <w:tc>
          <w:tcPr>
            <w:tcW w:w="0" w:type="dxa"/>
            <w:vAlign w:val="bottom"/>
          </w:tcPr>
          <w:p>
            <w:pPr>
              <w:spacing w:after="0"/>
              <w:rPr>
                <w:sz w:val="1"/>
                <w:szCs w:val="1"/>
                <w:color w:val="auto"/>
              </w:rPr>
            </w:pPr>
          </w:p>
        </w:tc>
      </w:tr>
      <w:tr>
        <w:trPr>
          <w:trHeight w:val="141"/>
        </w:trPr>
        <w:tc>
          <w:tcPr>
            <w:tcW w:w="6220" w:type="dxa"/>
            <w:vAlign w:val="bottom"/>
            <w:vMerge w:val="restart"/>
          </w:tcPr>
          <w:p>
            <w:pPr>
              <w:ind w:left="2840"/>
              <w:spacing w:after="0"/>
              <w:rPr>
                <w:sz w:val="20"/>
                <w:szCs w:val="20"/>
                <w:color w:val="auto"/>
              </w:rPr>
            </w:pPr>
            <w:r>
              <w:rPr>
                <w:rFonts w:ascii="Arial" w:cs="Arial" w:eastAsia="Arial" w:hAnsi="Arial"/>
                <w:sz w:val="16"/>
                <w:szCs w:val="16"/>
                <w:color w:val="auto"/>
              </w:rPr>
              <w:t>America</w:t>
            </w:r>
          </w:p>
        </w:tc>
        <w:tc>
          <w:tcPr>
            <w:tcW w:w="5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2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1"/>
                <w:szCs w:val="21"/>
                <w:color w:val="auto"/>
              </w:rPr>
            </w:pPr>
          </w:p>
        </w:tc>
        <w:tc>
          <w:tcPr>
            <w:tcW w:w="520" w:type="dxa"/>
            <w:vAlign w:val="bottom"/>
          </w:tcPr>
          <w:p>
            <w:pPr>
              <w:ind w:left="380"/>
              <w:spacing w:after="0"/>
              <w:rPr>
                <w:sz w:val="20"/>
                <w:szCs w:val="20"/>
                <w:color w:val="auto"/>
              </w:rPr>
            </w:pPr>
            <w:r>
              <w:rPr>
                <w:rFonts w:ascii="Arial" w:cs="Arial" w:eastAsia="Arial" w:hAnsi="Arial"/>
                <w:sz w:val="16"/>
                <w:szCs w:val="16"/>
                <w:color w:val="auto"/>
              </w:rPr>
              <w:t>•</w:t>
            </w:r>
          </w:p>
        </w:tc>
        <w:tc>
          <w:tcPr>
            <w:tcW w:w="4680" w:type="dxa"/>
            <w:vAlign w:val="bottom"/>
            <w:gridSpan w:val="2"/>
          </w:tcPr>
          <w:p>
            <w:pPr>
              <w:ind w:left="100"/>
              <w:spacing w:after="0"/>
              <w:rPr>
                <w:sz w:val="20"/>
                <w:szCs w:val="20"/>
                <w:color w:val="auto"/>
              </w:rPr>
            </w:pPr>
            <w:r>
              <w:rPr>
                <w:rFonts w:ascii="Arial" w:cs="Arial" w:eastAsia="Arial" w:hAnsi="Arial"/>
                <w:sz w:val="16"/>
                <w:szCs w:val="16"/>
                <w:color w:val="auto"/>
              </w:rPr>
              <w:t>WPP plc</w:t>
            </w:r>
          </w:p>
        </w:tc>
        <w:tc>
          <w:tcPr>
            <w:tcW w:w="0" w:type="dxa"/>
            <w:vAlign w:val="bottom"/>
          </w:tcPr>
          <w:p>
            <w:pPr>
              <w:spacing w:after="0"/>
              <w:rPr>
                <w:sz w:val="1"/>
                <w:szCs w:val="1"/>
                <w:color w:val="auto"/>
              </w:rPr>
            </w:pPr>
          </w:p>
        </w:tc>
      </w:tr>
      <w:tr>
        <w:trPr>
          <w:trHeight w:val="311"/>
        </w:trPr>
        <w:tc>
          <w:tcPr>
            <w:tcW w:w="6220" w:type="dxa"/>
            <w:vAlign w:val="bottom"/>
          </w:tcPr>
          <w:p>
            <w:pPr>
              <w:spacing w:after="0"/>
              <w:rPr>
                <w:sz w:val="24"/>
                <w:szCs w:val="24"/>
                <w:color w:val="auto"/>
              </w:rPr>
            </w:pPr>
          </w:p>
        </w:tc>
        <w:tc>
          <w:tcPr>
            <w:tcW w:w="5200" w:type="dxa"/>
            <w:vAlign w:val="bottom"/>
            <w:gridSpan w:val="3"/>
          </w:tcPr>
          <w:p>
            <w:pPr>
              <w:ind w:left="380"/>
              <w:spacing w:after="0"/>
              <w:rPr>
                <w:sz w:val="20"/>
                <w:szCs w:val="20"/>
                <w:color w:val="auto"/>
              </w:rPr>
            </w:pPr>
            <w:r>
              <w:rPr>
                <w:rFonts w:ascii="Arial" w:cs="Arial" w:eastAsia="Arial" w:hAnsi="Arial"/>
                <w:sz w:val="16"/>
                <w:szCs w:val="16"/>
                <w:color w:val="auto"/>
              </w:rPr>
              <w:t>•   Far Point Acquisition Corp.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-1101725</wp:posOffset>
            </wp:positionV>
            <wp:extent cx="1115060" cy="1577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5060" cy="1577975"/>
                    </a:xfrm>
                    <a:prstGeom prst="rect">
                      <a:avLst/>
                    </a:prstGeom>
                    <a:noFill/>
                  </pic:spPr>
                </pic:pic>
              </a:graphicData>
            </a:graphic>
          </wp:anchor>
        </w:drawing>
      </w:r>
    </w:p>
    <w:p>
      <w:pPr>
        <w:spacing w:after="0" w:line="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i w:val="1"/>
          <w:iCs w:val="1"/>
          <w:color w:val="00B0F0"/>
        </w:rPr>
        <w:t>Skills and Qualifications</w:t>
      </w:r>
    </w:p>
    <w:p>
      <w:pPr>
        <w:spacing w:after="0" w:line="215" w:lineRule="exact"/>
        <w:rPr>
          <w:sz w:val="20"/>
          <w:szCs w:val="20"/>
          <w:color w:val="auto"/>
        </w:rPr>
      </w:pPr>
    </w:p>
    <w:p>
      <w:pPr>
        <w:jc w:val="both"/>
        <w:ind w:left="2840" w:right="20"/>
        <w:spacing w:after="0" w:line="238" w:lineRule="auto"/>
        <w:rPr>
          <w:sz w:val="20"/>
          <w:szCs w:val="20"/>
          <w:color w:val="auto"/>
        </w:rPr>
      </w:pPr>
      <w:r>
        <w:rPr>
          <w:rFonts w:ascii="Arial" w:cs="Arial" w:eastAsia="Arial" w:hAnsi="Arial"/>
          <w:sz w:val="17"/>
          <w:szCs w:val="17"/>
          <w:color w:val="auto"/>
        </w:rPr>
        <w:t>In addition to her independence, Ms. Seligman brings to our Board extensive media industry experience with various leadership roles at a major media conglomerate, public company and corporate governance experience, and exceptional achievements in the legal profession.</w:t>
      </w:r>
    </w:p>
    <w:p>
      <w:pPr>
        <w:spacing w:after="0" w:line="9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Until March 2016, Ms. Seligman served as the President of Sony Entertainment, Inc. (beginning in 2014) and of Sony Corporation of America (beginning in 2012), and as Senior Legal Counsel of Sony Group (beginning in 2014). Ms. Seligman previously served as Executive Vice President and General Counsel of Sony Corporation from 2005 to 2014. She joined Sony in 2001 and served in a variety of other capacities during her tenure, including as a Corporate Executive Officer and Group Deputy General Counsel of Sony Corporation, and as General Counsel and an Executive Vice President at Sony Corporation of America, a subsidiary of Sony Corporation. Prior to joining Sony Corporation of America, Ms. Seligman was a partner in the litigation practice at Williams &amp; Connolly LLP in Washington, D.C., where she worked on a broad range of complex civil and criminal matters and counseled a wide range of clients, including President William Jefferson Clinton and Lt. Col. Oliver North. Ms. Seligman joined Williams &amp; Connolly in 1985. Ms. Seligman served as law clerk to Justice Thurgood Marshall on the Supreme Court of the United States from 1984 to 1985 and as law clerk to Judge Harry T. Edwards at the U.S. Court of Appeals for the District of Columbia Circuit from 1983 to 1984. Ms. Seligman has served on the board of Far Point Acquisition Corporation since 2018, and has been a Non-Executive Director of WPP plc since 2014 and its Senior Independent Director since 2016. She has served as Chairman of the Board of Directors of The Doe Fund since 2017.</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11</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b w:val="1"/>
          <w:bCs w:val="1"/>
          <w:color w:val="FFFFFF"/>
          <w:shd w:val="clear" w:color="auto" w:fill="1CB6EA"/>
        </w:rPr>
        <w:t xml:space="preserve">ITEM 1 </w:t>
      </w:r>
      <w:r>
        <w:rPr>
          <w:rFonts w:ascii="MS PGothic" w:cs="MS PGothic" w:eastAsia="MS PGothic" w:hAnsi="MS PGothic"/>
          <w:sz w:val="14"/>
          <w:szCs w:val="14"/>
          <w:b w:val="1"/>
          <w:bCs w:val="1"/>
          <w:color w:val="FFFFFF"/>
          <w:shd w:val="clear" w:color="auto" w:fill="1CB6EA"/>
        </w:rPr>
        <w:t>‑</w:t>
      </w:r>
      <w:r>
        <w:rPr>
          <w:rFonts w:ascii="Arial" w:cs="Arial" w:eastAsia="Arial" w:hAnsi="Arial"/>
          <w:sz w:val="14"/>
          <w:szCs w:val="14"/>
          <w:b w:val="1"/>
          <w:bCs w:val="1"/>
          <w:color w:val="FFFFFF"/>
          <w:shd w:val="clear" w:color="auto" w:fill="1CB6EA"/>
        </w:rPr>
        <w:t xml:space="preserve"> ELECTION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34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Board of Directors recommends a vote “FOR” the election of each of the director nominees named above.</w:t>
      </w:r>
    </w:p>
    <w:p>
      <w:pPr>
        <w:spacing w:after="0" w:line="6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accordance with the Board’s recommendation, the proxy holders will vote the shares of Class A common stock covered by valid and timely received proxies “FOR” the election of each of the director nominees, unless the stockholder gives instructions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to the contrary. If, for any reason, any of the director nominees becomes unavailable for election, the proxy holders may exercise discretion to vote for substitute nominees proposed by the Board. Each of the director nominees has indicated that he or she will be able to serve if elected and has agreed to do so</w:t>
      </w:r>
      <w:r>
        <w:rPr>
          <w:rFonts w:ascii="Arial" w:cs="Arial" w:eastAsia="Arial" w:hAnsi="Arial"/>
          <w:sz w:val="21"/>
          <w:szCs w:val="21"/>
          <w:color w:val="auto"/>
        </w:rPr>
        <w:t>.</w:t>
      </w:r>
    </w:p>
    <w:p>
      <w:pPr>
        <w:spacing w:after="0" w:line="413"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12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shd w:val="clear" w:color="auto" w:fill="1CB6EA"/>
        </w:rPr>
        <w:t>OUR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1CB6EA"/>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Board of Directors is currently comprised of the nine director nominees, seven of whom are independent under all applicable standards, as discussed below. The Board has three standing committees: the Audit Committee, the Compensation Committee and the Governance and Nominating Committee (collectively, the “Committees”), each of which consists solely of independent directors.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Board met 9 times in fiscal year 2018, and each of our directors attended more than 75% of the meetings of the Board and Committees (including any ad hoc committees) on which the director served. Under our Corporate Governance Guidelines, directors are expected to attend the Annual Meeting. Eight of our nine directors attended our 2018 Annual Meeting.</w:t>
      </w:r>
    </w:p>
    <w:p>
      <w:pPr>
        <w:spacing w:after="0" w:line="224"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is comprised of the following nine members:</w:t>
      </w:r>
    </w:p>
    <w:p>
      <w:pPr>
        <w:spacing w:after="0" w:line="61"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7"/>
          <w:szCs w:val="17"/>
          <w:color w:val="1CB6EA"/>
        </w:rPr>
      </w:pPr>
      <w:r>
        <w:rPr>
          <w:rFonts w:ascii="Arial" w:cs="Arial" w:eastAsia="Arial" w:hAnsi="Arial"/>
          <w:sz w:val="17"/>
          <w:szCs w:val="17"/>
          <w:color w:val="auto"/>
        </w:rPr>
        <w:t>an independent Non-Executive Chairman;</w:t>
      </w:r>
    </w:p>
    <w:p>
      <w:pPr>
        <w:spacing w:after="0" w:line="61" w:lineRule="exact"/>
        <w:rPr>
          <w:rFonts w:ascii="Arial" w:cs="Arial" w:eastAsia="Arial" w:hAnsi="Arial"/>
          <w:sz w:val="17"/>
          <w:szCs w:val="17"/>
          <w:color w:val="1CB6EA"/>
        </w:rPr>
      </w:pPr>
    </w:p>
    <w:p>
      <w:pPr>
        <w:ind w:left="140" w:hanging="132"/>
        <w:spacing w:after="0"/>
        <w:tabs>
          <w:tab w:leader="none" w:pos="140" w:val="left"/>
        </w:tabs>
        <w:numPr>
          <w:ilvl w:val="0"/>
          <w:numId w:val="24"/>
        </w:numPr>
        <w:rPr>
          <w:rFonts w:ascii="Arial" w:cs="Arial" w:eastAsia="Arial" w:hAnsi="Arial"/>
          <w:sz w:val="17"/>
          <w:szCs w:val="17"/>
          <w:color w:val="1CB6EA"/>
        </w:rPr>
      </w:pPr>
      <w:r>
        <w:rPr>
          <w:rFonts w:ascii="Arial" w:cs="Arial" w:eastAsia="Arial" w:hAnsi="Arial"/>
          <w:sz w:val="17"/>
          <w:szCs w:val="17"/>
          <w:color w:val="auto"/>
        </w:rPr>
        <w:t>a Non-Executive Vice Chair;</w:t>
      </w:r>
    </w:p>
    <w:p>
      <w:pPr>
        <w:spacing w:after="0" w:line="61" w:lineRule="exact"/>
        <w:rPr>
          <w:rFonts w:ascii="Arial" w:cs="Arial" w:eastAsia="Arial" w:hAnsi="Arial"/>
          <w:sz w:val="17"/>
          <w:szCs w:val="17"/>
          <w:color w:val="1CB6EA"/>
        </w:rPr>
      </w:pPr>
    </w:p>
    <w:p>
      <w:pPr>
        <w:ind w:left="140" w:hanging="132"/>
        <w:spacing w:after="0"/>
        <w:tabs>
          <w:tab w:leader="none" w:pos="140" w:val="left"/>
        </w:tabs>
        <w:numPr>
          <w:ilvl w:val="0"/>
          <w:numId w:val="24"/>
        </w:numPr>
        <w:rPr>
          <w:rFonts w:ascii="Arial" w:cs="Arial" w:eastAsia="Arial" w:hAnsi="Arial"/>
          <w:sz w:val="17"/>
          <w:szCs w:val="17"/>
          <w:color w:val="1CB6EA"/>
        </w:rPr>
      </w:pPr>
      <w:r>
        <w:rPr>
          <w:rFonts w:ascii="Arial" w:cs="Arial" w:eastAsia="Arial" w:hAnsi="Arial"/>
          <w:sz w:val="17"/>
          <w:szCs w:val="17"/>
          <w:color w:val="auto"/>
        </w:rPr>
        <w:t>our President and Chief Executive Officer; and</w:t>
      </w:r>
    </w:p>
    <w:p>
      <w:pPr>
        <w:spacing w:after="0" w:line="61" w:lineRule="exact"/>
        <w:rPr>
          <w:rFonts w:ascii="Arial" w:cs="Arial" w:eastAsia="Arial" w:hAnsi="Arial"/>
          <w:sz w:val="17"/>
          <w:szCs w:val="17"/>
          <w:color w:val="1CB6EA"/>
        </w:rPr>
      </w:pPr>
    </w:p>
    <w:p>
      <w:pPr>
        <w:ind w:left="140" w:hanging="132"/>
        <w:spacing w:after="0"/>
        <w:tabs>
          <w:tab w:leader="none" w:pos="140" w:val="left"/>
        </w:tabs>
        <w:numPr>
          <w:ilvl w:val="0"/>
          <w:numId w:val="24"/>
        </w:numPr>
        <w:rPr>
          <w:rFonts w:ascii="Arial" w:cs="Arial" w:eastAsia="Arial" w:hAnsi="Arial"/>
          <w:sz w:val="17"/>
          <w:szCs w:val="17"/>
          <w:color w:val="1CB6EA"/>
        </w:rPr>
      </w:pPr>
      <w:r>
        <w:rPr>
          <w:rFonts w:ascii="Arial" w:cs="Arial" w:eastAsia="Arial" w:hAnsi="Arial"/>
          <w:sz w:val="17"/>
          <w:szCs w:val="17"/>
          <w:color w:val="auto"/>
        </w:rPr>
        <w:t>six other directors, all of whom are independent.</w:t>
      </w:r>
    </w:p>
    <w:p>
      <w:pPr>
        <w:spacing w:after="0" w:line="6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Mr. May, our Non-Executive Chairman, presides at all meetings of the Board of Directors and the stockholders, and develops and approves Board agendas. He and our Committee Chairs play leading roles with respect to various other matters that are appropriate for consideration by independent directors, such as executive compensation, matters involving related parties and potential conflicts of interest.</w:t>
      </w:r>
    </w:p>
    <w:p>
      <w:pPr>
        <w:spacing w:after="0" w:line="5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Ms. Redstone has a minority ownership interest in, and is President of, NAI. The Board of Directors believes it is appropriate for Ms. Redstone to be Non-Executive Vice Chair of the Board because of her extensive experience in and understanding of the entertainment industry, her experience and talent managing a large business, and her ownership interest in and role as President of NAI.</w:t>
      </w:r>
    </w:p>
    <w:p>
      <w:pPr>
        <w:spacing w:after="0" w:line="67" w:lineRule="exact"/>
        <w:rPr>
          <w:sz w:val="20"/>
          <w:szCs w:val="20"/>
          <w:color w:val="auto"/>
        </w:rPr>
      </w:pPr>
    </w:p>
    <w:p>
      <w:pPr>
        <w:jc w:val="both"/>
        <w:ind w:firstLine="32"/>
        <w:spacing w:after="0" w:line="243" w:lineRule="auto"/>
        <w:rPr>
          <w:sz w:val="20"/>
          <w:szCs w:val="20"/>
          <w:color w:val="auto"/>
        </w:rPr>
      </w:pPr>
      <w:r>
        <w:rPr>
          <w:rFonts w:ascii="Arial" w:cs="Arial" w:eastAsia="Arial" w:hAnsi="Arial"/>
          <w:sz w:val="17"/>
          <w:szCs w:val="17"/>
          <w:color w:val="auto"/>
        </w:rPr>
        <w:t>Mr. Bakish has been a member of our Board and our President and Chief Executive Officer since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December 12, 2016, having served as Acting President and Chief Executive Officer beginning November 15, 2016 and in various other leadership roles at Viacom and Former Viacom beginning in 1997. The Board of Directors has determined that his participation on the Board is beneficial because of his experience, talent and deep understanding of our industry, and because of his extensive knowledge of, history with and day-to-day management of Viacom.</w:t>
      </w:r>
    </w:p>
    <w:p>
      <w:pPr>
        <w:spacing w:after="0" w:line="57"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In keeping with best corporate governance practices, we maintain a majority of independent directors and our Board Committees are comprised solely of independent directors, even though — as a controlled company — we are not required to do so under NASDAQ listing or any other standards. Independent directors have the ability and are encouraged to propose agenda items, including for executive sessions, to the Chairman.</w:t>
      </w:r>
    </w:p>
    <w:p>
      <w:pPr>
        <w:spacing w:after="0" w:line="5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We believe our Board leadership structure provides the appropriate balance of independent directors, one director affiliated with our controlling stockholder and one management director, who work together effectively to represent the interests of our entire stockholder base.</w:t>
      </w:r>
    </w:p>
    <w:p>
      <w:pPr>
        <w:spacing w:after="0" w:line="557"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Board receives regular reports from our Chief Executive Officer, Chief Financial Officer, General Counsel and other members of senior management regarding areas of significant risk to us, including operational, strategic, legal, regulatory, financial and reputational risks.</w:t>
      </w:r>
    </w:p>
    <w:p>
      <w:pPr>
        <w:spacing w:after="0" w:line="5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Certain risks that are under the purview of a particular Committee are monitored by that Committee, which then reports to the full Board as appropriate. For example, under the Compensation Committee Charter, the Compensation Committee oversees periodic risk assessments of our compensation programs. Under the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Charter, the Audit Committee reviews our risk assessment and risk management processes, including with respect to cyber security risk, and our Chief Audit and Compliance Officer, who identifies and manages a wide range of risks companywide, reports to the Audit Committee. Under the Governance and Nominating Committee Charter, the Governance and Nominating Committee is responsible, in collaboration with the other Board Committees, for overseeing and monitoring significant issues impacting our culture, including our handling of environmental, social and governance issues.</w:t>
      </w:r>
    </w:p>
    <w:p>
      <w:pPr>
        <w:spacing w:after="0" w:line="26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13</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OUR BOARD OF DIRECTORS</w:t>
      </w: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Corporate Governance Guidelines (the “Guidelines”) provide that a majority of our directors must be independent of Viacom, as “independence”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is defined in the NASDAQ listing standards and in the Guidelines.</w:t>
      </w:r>
    </w:p>
    <w:p>
      <w:pPr>
        <w:spacing w:after="0" w:line="586"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NASDAQ Listing Standards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NASDAQ listing standards provide six “bright-line” tests to determine independence. A Viacom director will not be independent if any of the following relationships exist:</w:t>
      </w:r>
    </w:p>
    <w:p>
      <w:pPr>
        <w:spacing w:after="0" w:line="53" w:lineRule="exact"/>
        <w:rPr>
          <w:sz w:val="20"/>
          <w:szCs w:val="20"/>
          <w:color w:val="auto"/>
        </w:rPr>
      </w:pPr>
    </w:p>
    <w:p>
      <w:pPr>
        <w:ind w:left="140" w:hanging="132"/>
        <w:spacing w:after="0" w:line="243" w:lineRule="auto"/>
        <w:tabs>
          <w:tab w:leader="none" w:pos="140" w:val="left"/>
        </w:tabs>
        <w:numPr>
          <w:ilvl w:val="0"/>
          <w:numId w:val="25"/>
        </w:numPr>
        <w:rPr>
          <w:rFonts w:ascii="Arial" w:cs="Arial" w:eastAsia="Arial" w:hAnsi="Arial"/>
          <w:sz w:val="17"/>
          <w:szCs w:val="17"/>
          <w:color w:val="1CB6EA"/>
        </w:rPr>
      </w:pPr>
      <w:r>
        <w:rPr>
          <w:rFonts w:ascii="Arial" w:cs="Arial" w:eastAsia="Arial" w:hAnsi="Arial"/>
          <w:sz w:val="17"/>
          <w:szCs w:val="17"/>
          <w:color w:val="auto"/>
        </w:rPr>
        <w:t>the director is, or has been within the last three years, an employee of Viacom;</w:t>
      </w:r>
    </w:p>
    <w:p>
      <w:pPr>
        <w:spacing w:after="0" w:line="49"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25"/>
        </w:numPr>
        <w:rPr>
          <w:rFonts w:ascii="Arial" w:cs="Arial" w:eastAsia="Arial" w:hAnsi="Arial"/>
          <w:sz w:val="17"/>
          <w:szCs w:val="17"/>
          <w:color w:val="1CB6EA"/>
        </w:rPr>
      </w:pPr>
      <w:r>
        <w:rPr>
          <w:rFonts w:ascii="Arial" w:cs="Arial" w:eastAsia="Arial" w:hAnsi="Arial"/>
          <w:sz w:val="17"/>
          <w:szCs w:val="17"/>
          <w:color w:val="auto"/>
        </w:rPr>
        <w:t>a family member of the director is, or has been within the last three years, an executive officer of Viacom;</w:t>
      </w:r>
    </w:p>
    <w:p>
      <w:pPr>
        <w:spacing w:after="0" w:line="49" w:lineRule="exact"/>
        <w:rPr>
          <w:rFonts w:ascii="Arial" w:cs="Arial" w:eastAsia="Arial" w:hAnsi="Arial"/>
          <w:sz w:val="17"/>
          <w:szCs w:val="17"/>
          <w:color w:val="1CB6EA"/>
        </w:rPr>
      </w:pPr>
    </w:p>
    <w:p>
      <w:pPr>
        <w:jc w:val="both"/>
        <w:ind w:left="140" w:hanging="132"/>
        <w:spacing w:after="0" w:line="234" w:lineRule="auto"/>
        <w:tabs>
          <w:tab w:leader="none" w:pos="140" w:val="left"/>
        </w:tabs>
        <w:numPr>
          <w:ilvl w:val="0"/>
          <w:numId w:val="25"/>
        </w:numPr>
        <w:rPr>
          <w:rFonts w:ascii="Arial" w:cs="Arial" w:eastAsia="Arial" w:hAnsi="Arial"/>
          <w:sz w:val="17"/>
          <w:szCs w:val="17"/>
          <w:color w:val="1CB6EA"/>
        </w:rPr>
      </w:pPr>
      <w:r>
        <w:rPr>
          <w:rFonts w:ascii="Arial" w:cs="Arial" w:eastAsia="Arial" w:hAnsi="Arial"/>
          <w:sz w:val="17"/>
          <w:szCs w:val="17"/>
          <w:color w:val="auto"/>
        </w:rPr>
        <w:t>the director has received, or a family member of the director has received, during any 12-month period within the last three years, more than $120,000 in compensation from Viacom, other than compensation for board or board committee service, compensation paid to a family member of the director who is an employee (other than an executive officer) of Viacom, or benefits under a tax-qualified retirement plan, or non-discretionary compensation;</w:t>
      </w:r>
    </w:p>
    <w:p>
      <w:pPr>
        <w:spacing w:after="0" w:line="56" w:lineRule="exact"/>
        <w:rPr>
          <w:rFonts w:ascii="Arial" w:cs="Arial" w:eastAsia="Arial" w:hAnsi="Arial"/>
          <w:sz w:val="17"/>
          <w:szCs w:val="17"/>
          <w:color w:val="1CB6EA"/>
        </w:rPr>
      </w:pPr>
    </w:p>
    <w:p>
      <w:pPr>
        <w:jc w:val="both"/>
        <w:ind w:left="140" w:hanging="132"/>
        <w:spacing w:after="0" w:line="236" w:lineRule="auto"/>
        <w:tabs>
          <w:tab w:leader="none" w:pos="140" w:val="left"/>
        </w:tabs>
        <w:numPr>
          <w:ilvl w:val="0"/>
          <w:numId w:val="25"/>
        </w:numPr>
        <w:rPr>
          <w:rFonts w:ascii="Arial" w:cs="Arial" w:eastAsia="Arial" w:hAnsi="Arial"/>
          <w:sz w:val="17"/>
          <w:szCs w:val="17"/>
          <w:color w:val="1CB6EA"/>
        </w:rPr>
      </w:pPr>
      <w:r>
        <w:rPr>
          <w:rFonts w:ascii="Arial" w:cs="Arial" w:eastAsia="Arial" w:hAnsi="Arial"/>
          <w:sz w:val="17"/>
          <w:szCs w:val="17"/>
          <w:color w:val="auto"/>
        </w:rPr>
        <w:t>the director is, or has a family member who is, a current partner of Viacom’s outside auditor, or was a partner or employee of Viacom’s outside auditor who worked on Viacom’s audit at any time during any of the past three years;</w:t>
      </w:r>
    </w:p>
    <w:p>
      <w:pPr>
        <w:spacing w:after="0" w:line="54" w:lineRule="exact"/>
        <w:rPr>
          <w:rFonts w:ascii="Arial" w:cs="Arial" w:eastAsia="Arial" w:hAnsi="Arial"/>
          <w:sz w:val="17"/>
          <w:szCs w:val="17"/>
          <w:color w:val="1CB6EA"/>
        </w:rPr>
      </w:pPr>
    </w:p>
    <w:p>
      <w:pPr>
        <w:jc w:val="both"/>
        <w:ind w:left="140" w:hanging="132"/>
        <w:spacing w:after="0" w:line="238" w:lineRule="auto"/>
        <w:tabs>
          <w:tab w:leader="none" w:pos="140" w:val="left"/>
        </w:tabs>
        <w:numPr>
          <w:ilvl w:val="0"/>
          <w:numId w:val="25"/>
        </w:numPr>
        <w:rPr>
          <w:rFonts w:ascii="Arial" w:cs="Arial" w:eastAsia="Arial" w:hAnsi="Arial"/>
          <w:sz w:val="17"/>
          <w:szCs w:val="17"/>
          <w:color w:val="1CB6EA"/>
        </w:rPr>
      </w:pPr>
      <w:r>
        <w:rPr>
          <w:rFonts w:ascii="Arial" w:cs="Arial" w:eastAsia="Arial" w:hAnsi="Arial"/>
          <w:sz w:val="17"/>
          <w:szCs w:val="17"/>
          <w:color w:val="auto"/>
        </w:rPr>
        <w:t>the director is, or has a family member who is, employed as an executive officer of another entity where at any time during the past three years any of the executive officers of Viacom have served 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Our Corporate Governance Guidelines</w:t>
      </w:r>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Our Guidelines provide categorical standards to assist the Board in determining what constitutes a “material relationship” with Viacom for purposes of the NASDAQ listing standards. These categorical standards are summarized below and can be found in their entirety in our Guidelines, which are posted in the “Investors/Corporate Governance” section of our website at </w:t>
      </w:r>
      <w:r>
        <w:rPr>
          <w:rFonts w:ascii="Arial" w:cs="Arial" w:eastAsia="Arial" w:hAnsi="Arial"/>
          <w:sz w:val="17"/>
          <w:szCs w:val="17"/>
          <w:u w:val="single" w:color="auto"/>
          <w:color w:val="auto"/>
        </w:rPr>
        <w:t>www.viacom.com</w:t>
      </w:r>
      <w:r>
        <w:rPr>
          <w:rFonts w:ascii="Arial" w:cs="Arial" w:eastAsia="Arial" w:hAnsi="Arial"/>
          <w:sz w:val="17"/>
          <w:szCs w:val="17"/>
          <w:color w:val="auto"/>
        </w:rPr>
        <w:t>.</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 xml:space="preserve">Under the categorical standards in our Guidelines, the following relationships are generally deemed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to be material:</w:t>
      </w:r>
    </w:p>
    <w:p>
      <w:pPr>
        <w:spacing w:after="0" w:line="63" w:lineRule="exact"/>
        <w:rPr>
          <w:sz w:val="20"/>
          <w:szCs w:val="20"/>
          <w:color w:val="auto"/>
        </w:rPr>
      </w:pPr>
    </w:p>
    <w:p>
      <w:pPr>
        <w:jc w:val="both"/>
        <w:ind w:left="140" w:hanging="132"/>
        <w:spacing w:after="0" w:line="236" w:lineRule="auto"/>
        <w:tabs>
          <w:tab w:leader="none" w:pos="140" w:val="left"/>
        </w:tabs>
        <w:numPr>
          <w:ilvl w:val="0"/>
          <w:numId w:val="26"/>
        </w:numPr>
        <w:rPr>
          <w:rFonts w:ascii="Arial" w:cs="Arial" w:eastAsia="Arial" w:hAnsi="Arial"/>
          <w:sz w:val="17"/>
          <w:szCs w:val="17"/>
          <w:color w:val="1CB6EA"/>
        </w:rPr>
      </w:pPr>
      <w:r>
        <w:rPr>
          <w:rFonts w:ascii="Arial" w:cs="Arial" w:eastAsia="Arial" w:hAnsi="Arial"/>
          <w:sz w:val="17"/>
          <w:szCs w:val="17"/>
          <w:color w:val="auto"/>
        </w:rPr>
        <w:t>the types of relationships identified by the NASDAQ listing standard’s bright-line tests, if they occurred more than five years ago (the Board will review any such relationship if it occurred more than three but less than five years ago);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14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compensation committee of such other entity; or</w:t>
      </w:r>
    </w:p>
    <w:p>
      <w:pPr>
        <w:spacing w:after="0" w:line="61" w:lineRule="exact"/>
        <w:rPr>
          <w:sz w:val="20"/>
          <w:szCs w:val="20"/>
          <w:color w:val="auto"/>
        </w:rPr>
      </w:pPr>
    </w:p>
    <w:p>
      <w:pPr>
        <w:jc w:val="both"/>
        <w:ind w:left="140" w:hanging="138"/>
        <w:spacing w:after="0" w:line="234" w:lineRule="auto"/>
        <w:tabs>
          <w:tab w:leader="none" w:pos="140" w:val="left"/>
        </w:tabs>
        <w:numPr>
          <w:ilvl w:val="0"/>
          <w:numId w:val="27"/>
        </w:numPr>
        <w:rPr>
          <w:rFonts w:ascii="Arial" w:cs="Arial" w:eastAsia="Arial" w:hAnsi="Arial"/>
          <w:sz w:val="17"/>
          <w:szCs w:val="17"/>
          <w:color w:val="1CB6EA"/>
        </w:rPr>
      </w:pPr>
      <w:r>
        <w:rPr>
          <w:rFonts w:ascii="Arial" w:cs="Arial" w:eastAsia="Arial" w:hAnsi="Arial"/>
          <w:sz w:val="17"/>
          <w:szCs w:val="17"/>
          <w:color w:val="auto"/>
        </w:rPr>
        <w:t>the director is, or has a family member who is, a partner in, or a controlling shareholder or an executive officer of, any organization to which Viacom made, or from which Viacom received, payments for property or services in the current or any of the past three fiscal years that exceed 5% of the recipient’s consolidated gross revenues for that year, or $200,000, whichever is more, other than payments arising solely from investments in Viacom’s securities or payments under non-discretionary charitable contribution matching programs.</w:t>
      </w:r>
    </w:p>
    <w:p>
      <w:pPr>
        <w:spacing w:after="0" w:line="5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this purpose, “family member” means the director’s spouse, parents, children and siblings, whether by blood, marriage or adoption, or anyone residing in the director’s home.</w:t>
      </w:r>
    </w:p>
    <w:p>
      <w:pPr>
        <w:spacing w:after="0" w:line="5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If a director fails any of the six tests, the director must be found to be not independent. In addition, the NASDAQ listing standards provide that a director is not independent unless the Board affirmatively determines that the director has no relationship that would impair his or her independence, which we refer to as a “material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40" w:right="20" w:hanging="138"/>
        <w:spacing w:after="0" w:line="236" w:lineRule="auto"/>
        <w:tabs>
          <w:tab w:leader="none" w:pos="140" w:val="left"/>
        </w:tabs>
        <w:numPr>
          <w:ilvl w:val="0"/>
          <w:numId w:val="28"/>
        </w:numPr>
        <w:rPr>
          <w:rFonts w:ascii="Arial" w:cs="Arial" w:eastAsia="Arial" w:hAnsi="Arial"/>
          <w:sz w:val="17"/>
          <w:szCs w:val="17"/>
          <w:color w:val="1CB6EA"/>
        </w:rPr>
      </w:pPr>
      <w:r>
        <w:rPr>
          <w:rFonts w:ascii="Arial" w:cs="Arial" w:eastAsia="Arial" w:hAnsi="Arial"/>
          <w:sz w:val="17"/>
          <w:szCs w:val="17"/>
          <w:color w:val="auto"/>
        </w:rPr>
        <w:t>a relationship whereby the director has received, or an immediate family member of the director has received for service as an executive officer, $120,000 or less in direct compensation from us during any 12-month period within the last three years; and</w:t>
      </w:r>
    </w:p>
    <w:p>
      <w:pPr>
        <w:spacing w:after="0" w:line="54" w:lineRule="exact"/>
        <w:rPr>
          <w:rFonts w:ascii="Arial" w:cs="Arial" w:eastAsia="Arial" w:hAnsi="Arial"/>
          <w:sz w:val="17"/>
          <w:szCs w:val="17"/>
          <w:color w:val="1CB6EA"/>
        </w:rPr>
      </w:pPr>
    </w:p>
    <w:p>
      <w:pPr>
        <w:jc w:val="both"/>
        <w:ind w:left="140" w:hanging="138"/>
        <w:spacing w:after="0" w:line="238" w:lineRule="auto"/>
        <w:tabs>
          <w:tab w:leader="none" w:pos="140" w:val="left"/>
        </w:tabs>
        <w:numPr>
          <w:ilvl w:val="0"/>
          <w:numId w:val="28"/>
        </w:numPr>
        <w:rPr>
          <w:rFonts w:ascii="Arial" w:cs="Arial" w:eastAsia="Arial" w:hAnsi="Arial"/>
          <w:sz w:val="17"/>
          <w:szCs w:val="17"/>
          <w:color w:val="1CB6EA"/>
        </w:rPr>
      </w:pPr>
      <w:r>
        <w:rPr>
          <w:rFonts w:ascii="Arial" w:cs="Arial" w:eastAsia="Arial" w:hAnsi="Arial"/>
          <w:sz w:val="17"/>
          <w:szCs w:val="17"/>
          <w:color w:val="auto"/>
        </w:rPr>
        <w:t>a relationship in which the director is an executive officer or employee, or an immediate family member of the director is an executive officer, of the following:</w:t>
      </w:r>
    </w:p>
    <w:p>
      <w:pPr>
        <w:spacing w:after="0" w:line="53" w:lineRule="exact"/>
        <w:rPr>
          <w:rFonts w:ascii="Arial" w:cs="Arial" w:eastAsia="Arial" w:hAnsi="Arial"/>
          <w:sz w:val="17"/>
          <w:szCs w:val="17"/>
          <w:color w:val="1CB6EA"/>
        </w:rPr>
      </w:pPr>
    </w:p>
    <w:p>
      <w:pPr>
        <w:jc w:val="both"/>
        <w:ind w:left="360" w:hanging="128"/>
        <w:spacing w:after="0" w:line="236" w:lineRule="auto"/>
        <w:tabs>
          <w:tab w:leader="none" w:pos="360" w:val="left"/>
        </w:tabs>
        <w:numPr>
          <w:ilvl w:val="1"/>
          <w:numId w:val="28"/>
        </w:numPr>
        <w:rPr>
          <w:rFonts w:ascii="Arial" w:cs="Arial" w:eastAsia="Arial" w:hAnsi="Arial"/>
          <w:sz w:val="17"/>
          <w:szCs w:val="17"/>
          <w:color w:val="1CB6EA"/>
        </w:rPr>
      </w:pPr>
      <w:r>
        <w:rPr>
          <w:rFonts w:ascii="Arial" w:cs="Arial" w:eastAsia="Arial" w:hAnsi="Arial"/>
          <w:sz w:val="17"/>
          <w:szCs w:val="17"/>
          <w:color w:val="auto"/>
        </w:rPr>
        <w:t>a company that made payments to or received payments from us for property or services in an amount that, in any of the last three fiscal years, is less than 1% of that company’s annual consolidated gross revenues;</w:t>
      </w:r>
    </w:p>
    <w:p>
      <w:pPr>
        <w:spacing w:after="0" w:line="54" w:lineRule="exact"/>
        <w:rPr>
          <w:rFonts w:ascii="Arial" w:cs="Arial" w:eastAsia="Arial" w:hAnsi="Arial"/>
          <w:sz w:val="17"/>
          <w:szCs w:val="17"/>
          <w:color w:val="1CB6EA"/>
        </w:rPr>
      </w:pPr>
    </w:p>
    <w:p>
      <w:pPr>
        <w:ind w:left="360" w:right="20" w:hanging="128"/>
        <w:spacing w:after="0" w:line="243" w:lineRule="auto"/>
        <w:tabs>
          <w:tab w:leader="none" w:pos="360" w:val="left"/>
        </w:tabs>
        <w:numPr>
          <w:ilvl w:val="1"/>
          <w:numId w:val="28"/>
        </w:numPr>
        <w:rPr>
          <w:rFonts w:ascii="Arial" w:cs="Arial" w:eastAsia="Arial" w:hAnsi="Arial"/>
          <w:sz w:val="17"/>
          <w:szCs w:val="17"/>
          <w:color w:val="1CB6EA"/>
        </w:rPr>
      </w:pPr>
      <w:r>
        <w:rPr>
          <w:rFonts w:ascii="Arial" w:cs="Arial" w:eastAsia="Arial" w:hAnsi="Arial"/>
          <w:sz w:val="17"/>
          <w:szCs w:val="17"/>
          <w:color w:val="auto"/>
        </w:rPr>
        <w:t>a company that is either indebted to us or a creditor of ours in an amount that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365760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than 1% of that company’s total consolidated assets; and</w:t>
      </w:r>
    </w:p>
    <w:p>
      <w:pPr>
        <w:spacing w:after="0" w:line="61" w:lineRule="exact"/>
        <w:rPr>
          <w:sz w:val="20"/>
          <w:szCs w:val="20"/>
          <w:color w:val="auto"/>
        </w:rPr>
      </w:pPr>
    </w:p>
    <w:p>
      <w:pPr>
        <w:jc w:val="both"/>
        <w:ind w:left="380" w:right="20" w:hanging="142"/>
        <w:spacing w:after="0" w:line="238" w:lineRule="auto"/>
        <w:tabs>
          <w:tab w:leader="none" w:pos="380" w:val="left"/>
        </w:tabs>
        <w:numPr>
          <w:ilvl w:val="0"/>
          <w:numId w:val="29"/>
        </w:numPr>
        <w:rPr>
          <w:rFonts w:ascii="Arial" w:cs="Arial" w:eastAsia="Arial" w:hAnsi="Arial"/>
          <w:sz w:val="17"/>
          <w:szCs w:val="17"/>
          <w:color w:val="1CB6EA"/>
        </w:rPr>
      </w:pPr>
      <w:r>
        <w:rPr>
          <w:rFonts w:ascii="Arial" w:cs="Arial" w:eastAsia="Arial" w:hAnsi="Arial"/>
          <w:sz w:val="17"/>
          <w:szCs w:val="17"/>
          <w:color w:val="auto"/>
        </w:rPr>
        <w:t>a tax-exempt organization that received contributions from us in the prior fiscal year in an amount less than the greater of $500,000 and 1% of that organization’s consolidated gross revenues.</w:t>
      </w: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relationships that exceed these thresholds, the determination of whether the relationship is material or not, and therefore whether the director would be independent or not, is made by the directors who are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Independence of Our Directors</w:t>
      </w:r>
    </w:p>
    <w:p>
      <w:pPr>
        <w:spacing w:after="0" w:line="24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When considering whether a director is independent, we believe it is important for our Board to have a range of information about the director so that it can make an informed independence determination. Our Governance and Nominating Committee and the full Board review information about:</w:t>
      </w:r>
    </w:p>
    <w:p>
      <w:pPr>
        <w:spacing w:after="0" w:line="56"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7"/>
          <w:szCs w:val="17"/>
          <w:color w:val="00BBE6"/>
        </w:rPr>
      </w:pPr>
      <w:r>
        <w:rPr>
          <w:rFonts w:ascii="Arial" w:cs="Arial" w:eastAsia="Arial" w:hAnsi="Arial"/>
          <w:sz w:val="17"/>
          <w:szCs w:val="17"/>
          <w:color w:val="auto"/>
        </w:rPr>
        <w:t>the director’s employment;</w:t>
      </w:r>
    </w:p>
    <w:p>
      <w:pPr>
        <w:spacing w:after="0" w:line="61" w:lineRule="exact"/>
        <w:rPr>
          <w:rFonts w:ascii="Arial" w:cs="Arial" w:eastAsia="Arial" w:hAnsi="Arial"/>
          <w:sz w:val="17"/>
          <w:szCs w:val="17"/>
          <w:color w:val="00BBE6"/>
        </w:rPr>
      </w:pPr>
    </w:p>
    <w:p>
      <w:pPr>
        <w:ind w:left="140" w:right="20" w:hanging="132"/>
        <w:spacing w:after="0" w:line="243" w:lineRule="auto"/>
        <w:tabs>
          <w:tab w:leader="none" w:pos="140" w:val="left"/>
        </w:tabs>
        <w:numPr>
          <w:ilvl w:val="0"/>
          <w:numId w:val="30"/>
        </w:numPr>
        <w:rPr>
          <w:rFonts w:ascii="Arial" w:cs="Arial" w:eastAsia="Arial" w:hAnsi="Arial"/>
          <w:sz w:val="17"/>
          <w:szCs w:val="17"/>
          <w:color w:val="00BBE6"/>
        </w:rPr>
      </w:pPr>
      <w:r>
        <w:rPr>
          <w:rFonts w:ascii="Arial" w:cs="Arial" w:eastAsia="Arial" w:hAnsi="Arial"/>
          <w:sz w:val="17"/>
          <w:szCs w:val="17"/>
          <w:color w:val="auto"/>
        </w:rPr>
        <w:t>any relationships required to be disclosed as related person transactions in this proxy statement;</w:t>
      </w:r>
    </w:p>
    <w:p>
      <w:pPr>
        <w:spacing w:after="0" w:line="49" w:lineRule="exact"/>
        <w:rPr>
          <w:rFonts w:ascii="Arial" w:cs="Arial" w:eastAsia="Arial" w:hAnsi="Arial"/>
          <w:sz w:val="17"/>
          <w:szCs w:val="17"/>
          <w:color w:val="00BBE6"/>
        </w:rPr>
      </w:pPr>
    </w:p>
    <w:p>
      <w:pPr>
        <w:ind w:left="140" w:hanging="132"/>
        <w:spacing w:after="0" w:line="243" w:lineRule="auto"/>
        <w:tabs>
          <w:tab w:leader="none" w:pos="140" w:val="left"/>
        </w:tabs>
        <w:numPr>
          <w:ilvl w:val="0"/>
          <w:numId w:val="30"/>
        </w:numPr>
        <w:rPr>
          <w:rFonts w:ascii="Arial" w:cs="Arial" w:eastAsia="Arial" w:hAnsi="Arial"/>
          <w:sz w:val="17"/>
          <w:szCs w:val="17"/>
          <w:color w:val="00BBE6"/>
        </w:rPr>
      </w:pPr>
      <w:r>
        <w:rPr>
          <w:rFonts w:ascii="Arial" w:cs="Arial" w:eastAsia="Arial" w:hAnsi="Arial"/>
          <w:sz w:val="17"/>
          <w:szCs w:val="17"/>
          <w:color w:val="auto"/>
        </w:rPr>
        <w:t>certain other relationships not required to be disclosed in this proxy statement because they do not meet materiality thresholds;</w:t>
      </w:r>
    </w:p>
    <w:p>
      <w:pPr>
        <w:spacing w:after="0" w:line="49" w:lineRule="exact"/>
        <w:rPr>
          <w:rFonts w:ascii="Arial" w:cs="Arial" w:eastAsia="Arial" w:hAnsi="Arial"/>
          <w:sz w:val="17"/>
          <w:szCs w:val="17"/>
          <w:color w:val="00BBE6"/>
        </w:rPr>
      </w:pPr>
    </w:p>
    <w:p>
      <w:pPr>
        <w:jc w:val="both"/>
        <w:ind w:left="140" w:hanging="132"/>
        <w:spacing w:after="0" w:line="238" w:lineRule="auto"/>
        <w:tabs>
          <w:tab w:leader="none" w:pos="140" w:val="left"/>
        </w:tabs>
        <w:numPr>
          <w:ilvl w:val="0"/>
          <w:numId w:val="30"/>
        </w:numPr>
        <w:rPr>
          <w:rFonts w:ascii="Arial" w:cs="Arial" w:eastAsia="Arial" w:hAnsi="Arial"/>
          <w:sz w:val="17"/>
          <w:szCs w:val="17"/>
          <w:color w:val="00BBE6"/>
        </w:rPr>
      </w:pPr>
      <w:r>
        <w:rPr>
          <w:rFonts w:ascii="Arial" w:cs="Arial" w:eastAsia="Arial" w:hAnsi="Arial"/>
          <w:sz w:val="17"/>
          <w:szCs w:val="17"/>
          <w:color w:val="auto"/>
        </w:rPr>
        <w:t>any relationship of which we are aware between the director or a director’s family member and Viacom or any other Viacom director or executive officer (for example, overlapping directorships); and</w:t>
      </w:r>
    </w:p>
    <w:p>
      <w:pPr>
        <w:spacing w:after="0" w:line="53" w:lineRule="exact"/>
        <w:rPr>
          <w:rFonts w:ascii="Arial" w:cs="Arial" w:eastAsia="Arial" w:hAnsi="Arial"/>
          <w:sz w:val="17"/>
          <w:szCs w:val="17"/>
          <w:color w:val="00BBE6"/>
        </w:rPr>
      </w:pPr>
    </w:p>
    <w:p>
      <w:pPr>
        <w:ind w:left="140" w:hanging="132"/>
        <w:spacing w:after="0" w:line="243" w:lineRule="auto"/>
        <w:tabs>
          <w:tab w:leader="none" w:pos="140" w:val="left"/>
        </w:tabs>
        <w:numPr>
          <w:ilvl w:val="0"/>
          <w:numId w:val="30"/>
        </w:numPr>
        <w:rPr>
          <w:rFonts w:ascii="Arial" w:cs="Arial" w:eastAsia="Arial" w:hAnsi="Arial"/>
          <w:sz w:val="17"/>
          <w:szCs w:val="17"/>
          <w:color w:val="00BBE6"/>
        </w:rPr>
      </w:pPr>
      <w:r>
        <w:rPr>
          <w:rFonts w:ascii="Arial" w:cs="Arial" w:eastAsia="Arial" w:hAnsi="Arial"/>
          <w:sz w:val="17"/>
          <w:szCs w:val="17"/>
          <w:color w:val="auto"/>
        </w:rPr>
        <w:t>other public company board and committee memberships and affiliations with not-for-profit organizations.</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addition, as discussed under “Related Person Transactions,” the Governance and Nominating Committee receives reports on all transactions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FFFFFF"/>
          <w:shd w:val="clear" w:color="auto" w:fill="1CB6EA"/>
        </w:rPr>
        <w:t>OUR BOARD OF DIRECTORS</w:t>
      </w:r>
    </w:p>
    <w:p>
      <w:pPr>
        <w:spacing w:after="0" w:line="17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independent. In addition, the Guidelines state that, generally, the types of relationships not addressed by the NASDAQ listing standards or the categorical standards described in the Guidelines will not, by themselves, cause a director to be considered not independent. The Board may, after considering relevant facts and circumstances, determine that a director is not independent for any reason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between related persons and us, regardless of whether such transaction is determined to involve a material interest by a related person.</w:t>
      </w:r>
    </w:p>
    <w:p>
      <w:pPr>
        <w:spacing w:after="0" w:line="5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Since our 2018 Annual Meeting, seven of our nine directors, or 78%, have been independent.</w:t>
      </w:r>
    </w:p>
    <w:p>
      <w:pPr>
        <w:spacing w:after="0" w:line="63"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In January 2019, the Board conducted its annual review of the independence of the director nominees and confirmed that seven of the nine nominees – Mses. Falcone Sorrell, McHale, Norville and Seligman, and Messrs. May, Nelson and Phillips – are independent. The only nominees who are not independent are Mr. Bakish, our President and Chief Executive Officer, and Ms. Redstone, President of NAI, our controlling stockholder.</w:t>
      </w:r>
    </w:p>
    <w:p>
      <w:pPr>
        <w:spacing w:after="0" w:line="57"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 xml:space="preserve">With respect to specific companies with which we conduct business and an independent director is affiliated, the Governance and Nominating Committee and the Board considered that Ms. Norville is the anchor of </w:t>
      </w:r>
      <w:r>
        <w:rPr>
          <w:rFonts w:ascii="Arial" w:cs="Arial" w:eastAsia="Arial" w:hAnsi="Arial"/>
          <w:sz w:val="17"/>
          <w:szCs w:val="17"/>
          <w:i w:val="1"/>
          <w:iCs w:val="1"/>
          <w:color w:val="auto"/>
        </w:rPr>
        <w:t>Inside Edition</w:t>
      </w:r>
      <w:r>
        <w:rPr>
          <w:rFonts w:ascii="Arial" w:cs="Arial" w:eastAsia="Arial" w:hAnsi="Arial"/>
          <w:sz w:val="17"/>
          <w:szCs w:val="17"/>
          <w:color w:val="auto"/>
        </w:rPr>
        <w:t>, which is a program produced and distributed by CBS</w:t>
      </w:r>
      <w:r>
        <w:rPr>
          <w:rFonts w:ascii="Arial" w:cs="Arial" w:eastAsia="Arial" w:hAnsi="Arial"/>
          <w:sz w:val="17"/>
          <w:szCs w:val="17"/>
          <w:i w:val="1"/>
          <w:iCs w:val="1"/>
          <w:color w:val="auto"/>
        </w:rPr>
        <w:t xml:space="preserve"> </w:t>
      </w:r>
      <w:r>
        <w:rPr>
          <w:rFonts w:ascii="Arial" w:cs="Arial" w:eastAsia="Arial" w:hAnsi="Arial"/>
          <w:sz w:val="17"/>
          <w:szCs w:val="17"/>
          <w:color w:val="auto"/>
        </w:rPr>
        <w:t>Television Distribution, a unit of CBS Corporation. The transactions between Viacom and CBS were negotiated on an arm’s length basis, and the Board determined that these transactions did not affect Ms. Norville’s independence.</w:t>
      </w:r>
    </w:p>
    <w:p>
      <w:pPr>
        <w:spacing w:after="0" w:line="202" w:lineRule="exact"/>
        <w:rPr>
          <w:sz w:val="20"/>
          <w:szCs w:val="20"/>
          <w:color w:val="auto"/>
        </w:rPr>
      </w:pPr>
    </w:p>
    <w:p>
      <w:pPr>
        <w:sectPr>
          <w:pgSz w:w="11900" w:h="16838" w:orient="portrait"/>
          <w:cols w:equalWidth="0" w:num="2">
            <w:col w:w="5480" w:space="460"/>
            <w:col w:w="5500"/>
          </w:cols>
          <w:pgMar w:left="240" w:top="125" w:right="21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Committee Membership</w:t>
      </w:r>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Board reviews and determines the membership of our Board Committees at least annually, with input from the Governance and Nominating Committee. The following discusses the membership of the Committees in fiscal year 2018, including the number of meetings held in fiscal year 2018, as well as information about the Committees, their respective roles and responsibilities and their charters. Each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 xml:space="preserve">our Committees has a written charter, which is posted in the “Investors/Corporate Governance” section of our website at </w:t>
      </w:r>
      <w:r>
        <w:rPr>
          <w:rFonts w:ascii="Arial" w:cs="Arial" w:eastAsia="Arial" w:hAnsi="Arial"/>
          <w:sz w:val="17"/>
          <w:szCs w:val="17"/>
          <w:u w:val="single" w:color="auto"/>
          <w:color w:val="auto"/>
        </w:rPr>
        <w:t>www.viacom.com</w:t>
      </w:r>
      <w:r>
        <w:rPr>
          <w:rFonts w:ascii="Arial" w:cs="Arial" w:eastAsia="Arial" w:hAnsi="Arial"/>
          <w:sz w:val="17"/>
          <w:szCs w:val="17"/>
          <w:color w:val="auto"/>
        </w:rPr>
        <w:t>.</w:t>
      </w:r>
    </w:p>
    <w:p>
      <w:pPr>
        <w:spacing w:after="0" w:line="53"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In fiscal year 2018, the Audit Committee met eight times, the Compensation Committee met 10 times and the Governance and Nominating Committee met four times.</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15</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composition of our Board Committees as of September 30, 2018 and currently:</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Governance and</w:t>
            </w:r>
          </w:p>
        </w:tc>
      </w:tr>
      <w:tr>
        <w:trPr>
          <w:trHeight w:val="179"/>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100" w:type="dxa"/>
            <w:vAlign w:val="bottom"/>
            <w:tcBorders>
              <w:bottom w:val="single" w:sz="8" w:color="auto"/>
            </w:tcBorders>
          </w:tcPr>
          <w:p>
            <w:pPr>
              <w:jc w:val="center"/>
              <w:ind w:left="1448"/>
              <w:spacing w:after="0"/>
              <w:rPr>
                <w:sz w:val="20"/>
                <w:szCs w:val="20"/>
                <w:color w:val="auto"/>
              </w:rPr>
            </w:pPr>
            <w:r>
              <w:rPr>
                <w:rFonts w:ascii="Arial" w:cs="Arial" w:eastAsia="Arial" w:hAnsi="Arial"/>
                <w:sz w:val="14"/>
                <w:szCs w:val="14"/>
                <w:b w:val="1"/>
                <w:bCs w:val="1"/>
                <w:color w:val="auto"/>
              </w:rPr>
              <w:t>Audit Committee</w:t>
            </w:r>
          </w:p>
        </w:tc>
        <w:tc>
          <w:tcPr>
            <w:tcW w:w="80" w:type="dxa"/>
            <w:vAlign w:val="bottom"/>
            <w:tcBorders>
              <w:bottom w:val="single" w:sz="8" w:color="DCDDDE"/>
            </w:tcBorders>
          </w:tcPr>
          <w:p>
            <w:pPr>
              <w:spacing w:after="0"/>
              <w:rPr>
                <w:sz w:val="15"/>
                <w:szCs w:val="15"/>
                <w:color w:val="auto"/>
              </w:rPr>
            </w:pPr>
          </w:p>
        </w:tc>
        <w:tc>
          <w:tcPr>
            <w:tcW w:w="16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Committee</w:t>
            </w:r>
          </w:p>
        </w:tc>
        <w:tc>
          <w:tcPr>
            <w:tcW w:w="100" w:type="dxa"/>
            <w:vAlign w:val="bottom"/>
            <w:tcBorders>
              <w:bottom w:val="single" w:sz="8" w:color="DCDDDE"/>
            </w:tcBorders>
          </w:tcPr>
          <w:p>
            <w:pPr>
              <w:spacing w:after="0"/>
              <w:rPr>
                <w:sz w:val="15"/>
                <w:szCs w:val="15"/>
                <w:color w:val="auto"/>
              </w:rPr>
            </w:pPr>
          </w:p>
        </w:tc>
        <w:tc>
          <w:tcPr>
            <w:tcW w:w="1900" w:type="dxa"/>
            <w:vAlign w:val="bottom"/>
            <w:tcBorders>
              <w:bottom w:val="single" w:sz="8" w:color="auto"/>
            </w:tcBorders>
          </w:tcPr>
          <w:p>
            <w:pPr>
              <w:jc w:val="center"/>
              <w:ind w:left="29"/>
              <w:spacing w:after="0" w:line="179" w:lineRule="exact"/>
              <w:rPr>
                <w:sz w:val="20"/>
                <w:szCs w:val="20"/>
                <w:color w:val="auto"/>
              </w:rPr>
            </w:pPr>
            <w:r>
              <w:rPr>
                <w:rFonts w:ascii="Arial" w:cs="Arial" w:eastAsia="Arial" w:hAnsi="Arial"/>
                <w:sz w:val="12"/>
                <w:szCs w:val="12"/>
                <w:b w:val="1"/>
                <w:bCs w:val="1"/>
                <w:color w:val="auto"/>
              </w:rPr>
              <w:t xml:space="preserve">Nominating Committee </w:t>
            </w:r>
            <w:r>
              <w:rPr>
                <w:rFonts w:ascii="Arial" w:cs="Arial" w:eastAsia="Arial" w:hAnsi="Arial"/>
                <w:sz w:val="20"/>
                <w:szCs w:val="20"/>
                <w:b w:val="1"/>
                <w:bCs w:val="1"/>
                <w:color w:val="auto"/>
                <w:vertAlign w:val="superscript"/>
              </w:rPr>
              <w:t>(1)</w:t>
            </w:r>
          </w:p>
        </w:tc>
        <w:tc>
          <w:tcPr>
            <w:tcW w:w="100" w:type="dxa"/>
            <w:vAlign w:val="bottom"/>
            <w:tcBorders>
              <w:bottom w:val="single" w:sz="8" w:color="DCDDDE"/>
            </w:tcBorders>
          </w:tcPr>
          <w:p>
            <w:pPr>
              <w:spacing w:after="0"/>
              <w:rPr>
                <w:sz w:val="15"/>
                <w:szCs w:val="15"/>
                <w:color w:val="auto"/>
              </w:rPr>
            </w:pPr>
          </w:p>
        </w:tc>
      </w:tr>
      <w:tr>
        <w:trPr>
          <w:trHeight w:val="169"/>
        </w:trPr>
        <w:tc>
          <w:tcPr>
            <w:tcW w:w="3320" w:type="dxa"/>
            <w:vAlign w:val="bottom"/>
            <w:shd w:val="clear" w:color="auto" w:fill="DCDDDE"/>
          </w:tcPr>
          <w:p>
            <w:pPr>
              <w:spacing w:after="0"/>
              <w:rPr>
                <w:sz w:val="20"/>
                <w:szCs w:val="20"/>
                <w:color w:val="auto"/>
              </w:rPr>
            </w:pPr>
            <w:r>
              <w:rPr>
                <w:rFonts w:ascii="Arial" w:cs="Arial" w:eastAsia="Arial" w:hAnsi="Arial"/>
                <w:sz w:val="14"/>
                <w:szCs w:val="14"/>
                <w:color w:val="auto"/>
              </w:rPr>
              <w:t>Cristiana Falcone Sorrell</w:t>
            </w:r>
          </w:p>
        </w:tc>
        <w:tc>
          <w:tcPr>
            <w:tcW w:w="3180" w:type="dxa"/>
            <w:vAlign w:val="bottom"/>
            <w:gridSpan w:val="2"/>
            <w:shd w:val="clear" w:color="auto" w:fill="DCDDDE"/>
          </w:tcPr>
          <w:p>
            <w:pPr>
              <w:ind w:left="2280"/>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DCDDDE"/>
          </w:tcPr>
          <w:p>
            <w:pPr>
              <w:ind w:left="880"/>
              <w:spacing w:after="0"/>
              <w:rPr>
                <w:sz w:val="20"/>
                <w:szCs w:val="20"/>
                <w:color w:val="auto"/>
              </w:rPr>
            </w:pPr>
            <w:r>
              <w:rPr>
                <w:rFonts w:ascii="Arial" w:cs="Arial" w:eastAsia="Arial" w:hAnsi="Arial"/>
                <w:sz w:val="14"/>
                <w:szCs w:val="14"/>
                <w:color w:val="auto"/>
              </w:rPr>
              <w:t>—</w:t>
            </w:r>
          </w:p>
        </w:tc>
        <w:tc>
          <w:tcPr>
            <w:tcW w:w="2000" w:type="dxa"/>
            <w:vAlign w:val="bottom"/>
            <w:gridSpan w:val="2"/>
            <w:shd w:val="clear" w:color="auto" w:fill="DCDDDE"/>
          </w:tcPr>
          <w:p>
            <w:pPr>
              <w:jc w:val="center"/>
              <w:spacing w:after="0"/>
              <w:rPr>
                <w:sz w:val="20"/>
                <w:szCs w:val="20"/>
                <w:color w:val="auto"/>
              </w:rPr>
            </w:pPr>
            <w:r>
              <w:rPr>
                <w:rFonts w:ascii="Arial" w:cs="Arial" w:eastAsia="Arial" w:hAnsi="Arial"/>
                <w:sz w:val="14"/>
                <w:szCs w:val="14"/>
                <w:color w:val="auto"/>
              </w:rPr>
              <w:t>Member</w:t>
            </w:r>
          </w:p>
        </w:tc>
      </w:tr>
      <w:tr>
        <w:trPr>
          <w:trHeight w:val="176"/>
        </w:trPr>
        <w:tc>
          <w:tcPr>
            <w:tcW w:w="3320" w:type="dxa"/>
            <w:vAlign w:val="bottom"/>
          </w:tcPr>
          <w:p>
            <w:pPr>
              <w:spacing w:after="0"/>
              <w:rPr>
                <w:sz w:val="20"/>
                <w:szCs w:val="20"/>
                <w:color w:val="auto"/>
              </w:rPr>
            </w:pPr>
            <w:r>
              <w:rPr>
                <w:rFonts w:ascii="Arial" w:cs="Arial" w:eastAsia="Arial" w:hAnsi="Arial"/>
                <w:sz w:val="14"/>
                <w:szCs w:val="14"/>
                <w:color w:val="auto"/>
              </w:rPr>
              <w:t>Thomas J. May</w:t>
            </w:r>
          </w:p>
        </w:tc>
        <w:tc>
          <w:tcPr>
            <w:tcW w:w="3180" w:type="dxa"/>
            <w:vAlign w:val="bottom"/>
            <w:gridSpan w:val="2"/>
          </w:tcPr>
          <w:p>
            <w:pPr>
              <w:jc w:val="center"/>
              <w:ind w:left="1368"/>
              <w:spacing w:after="0"/>
              <w:rPr>
                <w:sz w:val="20"/>
                <w:szCs w:val="20"/>
                <w:color w:val="auto"/>
              </w:rPr>
            </w:pPr>
            <w:r>
              <w:rPr>
                <w:rFonts w:ascii="Arial" w:cs="Arial" w:eastAsia="Arial" w:hAnsi="Arial"/>
                <w:sz w:val="14"/>
                <w:szCs w:val="14"/>
                <w:color w:val="auto"/>
              </w:rPr>
              <w:t>Member</w:t>
            </w:r>
          </w:p>
        </w:tc>
        <w:tc>
          <w:tcPr>
            <w:tcW w:w="1780" w:type="dxa"/>
            <w:vAlign w:val="bottom"/>
            <w:gridSpan w:val="2"/>
          </w:tcPr>
          <w:p>
            <w:pPr>
              <w:jc w:val="center"/>
              <w:spacing w:after="0"/>
              <w:rPr>
                <w:sz w:val="20"/>
                <w:szCs w:val="20"/>
                <w:color w:val="auto"/>
              </w:rPr>
            </w:pPr>
            <w:r>
              <w:rPr>
                <w:rFonts w:ascii="Arial" w:cs="Arial" w:eastAsia="Arial" w:hAnsi="Arial"/>
                <w:sz w:val="14"/>
                <w:szCs w:val="14"/>
                <w:color w:val="auto"/>
              </w:rPr>
              <w:t>Member</w:t>
            </w:r>
          </w:p>
        </w:tc>
        <w:tc>
          <w:tcPr>
            <w:tcW w:w="200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176"/>
        </w:trPr>
        <w:tc>
          <w:tcPr>
            <w:tcW w:w="3320" w:type="dxa"/>
            <w:vAlign w:val="bottom"/>
            <w:shd w:val="clear" w:color="auto" w:fill="DCDDDE"/>
          </w:tcPr>
          <w:p>
            <w:pPr>
              <w:spacing w:after="0"/>
              <w:rPr>
                <w:sz w:val="20"/>
                <w:szCs w:val="20"/>
                <w:color w:val="auto"/>
              </w:rPr>
            </w:pPr>
            <w:r>
              <w:rPr>
                <w:rFonts w:ascii="Arial" w:cs="Arial" w:eastAsia="Arial" w:hAnsi="Arial"/>
                <w:sz w:val="14"/>
                <w:szCs w:val="14"/>
                <w:color w:val="auto"/>
              </w:rPr>
              <w:t>Judith A. McHale</w:t>
            </w:r>
          </w:p>
        </w:tc>
        <w:tc>
          <w:tcPr>
            <w:tcW w:w="3180" w:type="dxa"/>
            <w:vAlign w:val="bottom"/>
            <w:gridSpan w:val="2"/>
            <w:shd w:val="clear" w:color="auto" w:fill="DCDDDE"/>
          </w:tcPr>
          <w:p>
            <w:pPr>
              <w:jc w:val="center"/>
              <w:ind w:left="1368"/>
              <w:spacing w:after="0"/>
              <w:rPr>
                <w:sz w:val="20"/>
                <w:szCs w:val="20"/>
                <w:color w:val="auto"/>
              </w:rPr>
            </w:pPr>
            <w:r>
              <w:rPr>
                <w:rFonts w:ascii="Arial" w:cs="Arial" w:eastAsia="Arial" w:hAnsi="Arial"/>
                <w:sz w:val="14"/>
                <w:szCs w:val="14"/>
                <w:color w:val="auto"/>
              </w:rPr>
              <w:t>Member</w:t>
            </w:r>
          </w:p>
        </w:tc>
        <w:tc>
          <w:tcPr>
            <w:tcW w:w="1780" w:type="dxa"/>
            <w:vAlign w:val="bottom"/>
            <w:gridSpan w:val="2"/>
            <w:shd w:val="clear" w:color="auto" w:fill="DCDDDE"/>
          </w:tcPr>
          <w:p>
            <w:pPr>
              <w:jc w:val="center"/>
              <w:spacing w:after="0"/>
              <w:rPr>
                <w:sz w:val="20"/>
                <w:szCs w:val="20"/>
                <w:color w:val="auto"/>
              </w:rPr>
            </w:pPr>
            <w:r>
              <w:rPr>
                <w:rFonts w:ascii="Arial" w:cs="Arial" w:eastAsia="Arial" w:hAnsi="Arial"/>
                <w:sz w:val="14"/>
                <w:szCs w:val="14"/>
                <w:b w:val="1"/>
                <w:bCs w:val="1"/>
                <w:color w:val="auto"/>
              </w:rPr>
              <w:t>Chair</w:t>
            </w:r>
          </w:p>
        </w:tc>
        <w:tc>
          <w:tcPr>
            <w:tcW w:w="2000" w:type="dxa"/>
            <w:vAlign w:val="bottom"/>
            <w:gridSpan w:val="2"/>
            <w:shd w:val="clear" w:color="auto" w:fill="DCDDDE"/>
          </w:tcPr>
          <w:p>
            <w:pPr>
              <w:ind w:left="980"/>
              <w:spacing w:after="0"/>
              <w:rPr>
                <w:sz w:val="20"/>
                <w:szCs w:val="20"/>
                <w:color w:val="auto"/>
              </w:rPr>
            </w:pPr>
            <w:r>
              <w:rPr>
                <w:rFonts w:ascii="Arial" w:cs="Arial" w:eastAsia="Arial" w:hAnsi="Arial"/>
                <w:sz w:val="14"/>
                <w:szCs w:val="14"/>
                <w:color w:val="auto"/>
              </w:rPr>
              <w:t>—</w:t>
            </w:r>
          </w:p>
        </w:tc>
      </w:tr>
      <w:tr>
        <w:trPr>
          <w:trHeight w:val="176"/>
        </w:trPr>
        <w:tc>
          <w:tcPr>
            <w:tcW w:w="3320" w:type="dxa"/>
            <w:vAlign w:val="bottom"/>
          </w:tcPr>
          <w:p>
            <w:pPr>
              <w:spacing w:after="0"/>
              <w:rPr>
                <w:sz w:val="20"/>
                <w:szCs w:val="20"/>
                <w:color w:val="auto"/>
              </w:rPr>
            </w:pPr>
            <w:r>
              <w:rPr>
                <w:rFonts w:ascii="Arial" w:cs="Arial" w:eastAsia="Arial" w:hAnsi="Arial"/>
                <w:sz w:val="14"/>
                <w:szCs w:val="14"/>
                <w:color w:val="auto"/>
              </w:rPr>
              <w:t>Ronald L. Nelson</w:t>
            </w:r>
          </w:p>
        </w:tc>
        <w:tc>
          <w:tcPr>
            <w:tcW w:w="3180" w:type="dxa"/>
            <w:vAlign w:val="bottom"/>
            <w:gridSpan w:val="2"/>
          </w:tcPr>
          <w:p>
            <w:pPr>
              <w:jc w:val="center"/>
              <w:ind w:left="1368"/>
              <w:spacing w:after="0"/>
              <w:rPr>
                <w:sz w:val="20"/>
                <w:szCs w:val="20"/>
                <w:color w:val="auto"/>
              </w:rPr>
            </w:pPr>
            <w:r>
              <w:rPr>
                <w:rFonts w:ascii="Arial" w:cs="Arial" w:eastAsia="Arial" w:hAnsi="Arial"/>
                <w:sz w:val="14"/>
                <w:szCs w:val="14"/>
                <w:b w:val="1"/>
                <w:bCs w:val="1"/>
                <w:color w:val="auto"/>
              </w:rPr>
              <w:t>Chair</w:t>
            </w:r>
          </w:p>
        </w:tc>
        <w:tc>
          <w:tcPr>
            <w:tcW w:w="17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rPr>
              <w:t>Member</w:t>
            </w:r>
          </w:p>
        </w:tc>
      </w:tr>
      <w:tr>
        <w:trPr>
          <w:trHeight w:val="176"/>
        </w:trPr>
        <w:tc>
          <w:tcPr>
            <w:tcW w:w="3320" w:type="dxa"/>
            <w:vAlign w:val="bottom"/>
            <w:shd w:val="clear" w:color="auto" w:fill="DCDDDE"/>
          </w:tcPr>
          <w:p>
            <w:pPr>
              <w:spacing w:after="0"/>
              <w:rPr>
                <w:sz w:val="20"/>
                <w:szCs w:val="20"/>
                <w:color w:val="auto"/>
              </w:rPr>
            </w:pPr>
            <w:r>
              <w:rPr>
                <w:rFonts w:ascii="Arial" w:cs="Arial" w:eastAsia="Arial" w:hAnsi="Arial"/>
                <w:sz w:val="14"/>
                <w:szCs w:val="14"/>
                <w:color w:val="auto"/>
              </w:rPr>
              <w:t>Deborah Norville</w:t>
            </w:r>
          </w:p>
        </w:tc>
        <w:tc>
          <w:tcPr>
            <w:tcW w:w="3180" w:type="dxa"/>
            <w:vAlign w:val="bottom"/>
            <w:gridSpan w:val="2"/>
            <w:shd w:val="clear" w:color="auto" w:fill="DCDDDE"/>
          </w:tcPr>
          <w:p>
            <w:pPr>
              <w:ind w:left="2280"/>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DCDDDE"/>
          </w:tcPr>
          <w:p>
            <w:pPr>
              <w:jc w:val="center"/>
              <w:spacing w:after="0"/>
              <w:rPr>
                <w:sz w:val="20"/>
                <w:szCs w:val="20"/>
                <w:color w:val="auto"/>
              </w:rPr>
            </w:pPr>
            <w:r>
              <w:rPr>
                <w:rFonts w:ascii="Arial" w:cs="Arial" w:eastAsia="Arial" w:hAnsi="Arial"/>
                <w:sz w:val="14"/>
                <w:szCs w:val="14"/>
                <w:color w:val="auto"/>
              </w:rPr>
              <w:t>Member</w:t>
            </w:r>
          </w:p>
        </w:tc>
        <w:tc>
          <w:tcPr>
            <w:tcW w:w="2000" w:type="dxa"/>
            <w:vAlign w:val="bottom"/>
            <w:gridSpan w:val="2"/>
            <w:shd w:val="clear" w:color="auto" w:fill="DCDDDE"/>
          </w:tcPr>
          <w:p>
            <w:pPr>
              <w:ind w:left="980"/>
              <w:spacing w:after="0"/>
              <w:rPr>
                <w:sz w:val="20"/>
                <w:szCs w:val="20"/>
                <w:color w:val="auto"/>
              </w:rPr>
            </w:pPr>
            <w:r>
              <w:rPr>
                <w:rFonts w:ascii="Arial" w:cs="Arial" w:eastAsia="Arial" w:hAnsi="Arial"/>
                <w:sz w:val="14"/>
                <w:szCs w:val="14"/>
                <w:color w:val="auto"/>
              </w:rPr>
              <w:t>—</w:t>
            </w:r>
          </w:p>
        </w:tc>
      </w:tr>
      <w:tr>
        <w:trPr>
          <w:trHeight w:val="176"/>
        </w:trPr>
        <w:tc>
          <w:tcPr>
            <w:tcW w:w="3320" w:type="dxa"/>
            <w:vAlign w:val="bottom"/>
          </w:tcPr>
          <w:p>
            <w:pPr>
              <w:spacing w:after="0"/>
              <w:rPr>
                <w:sz w:val="20"/>
                <w:szCs w:val="20"/>
                <w:color w:val="auto"/>
              </w:rPr>
            </w:pPr>
            <w:r>
              <w:rPr>
                <w:rFonts w:ascii="Arial" w:cs="Arial" w:eastAsia="Arial" w:hAnsi="Arial"/>
                <w:sz w:val="14"/>
                <w:szCs w:val="14"/>
                <w:color w:val="auto"/>
              </w:rPr>
              <w:t>Charles E. Phillips, Jr.</w:t>
            </w:r>
          </w:p>
        </w:tc>
        <w:tc>
          <w:tcPr>
            <w:tcW w:w="3180" w:type="dxa"/>
            <w:vAlign w:val="bottom"/>
            <w:gridSpan w:val="2"/>
          </w:tcPr>
          <w:p>
            <w:pPr>
              <w:jc w:val="center"/>
              <w:ind w:left="1368"/>
              <w:spacing w:after="0"/>
              <w:rPr>
                <w:sz w:val="20"/>
                <w:szCs w:val="20"/>
                <w:color w:val="auto"/>
              </w:rPr>
            </w:pPr>
            <w:r>
              <w:rPr>
                <w:rFonts w:ascii="Arial" w:cs="Arial" w:eastAsia="Arial" w:hAnsi="Arial"/>
                <w:sz w:val="14"/>
                <w:szCs w:val="14"/>
                <w:color w:val="auto"/>
              </w:rPr>
              <w:t>Member</w:t>
            </w:r>
          </w:p>
        </w:tc>
        <w:tc>
          <w:tcPr>
            <w:tcW w:w="17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00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176"/>
        </w:trPr>
        <w:tc>
          <w:tcPr>
            <w:tcW w:w="332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Nicole Seligman</w:t>
            </w:r>
          </w:p>
        </w:tc>
        <w:tc>
          <w:tcPr>
            <w:tcW w:w="3180" w:type="dxa"/>
            <w:vAlign w:val="bottom"/>
            <w:tcBorders>
              <w:bottom w:val="single" w:sz="8" w:color="auto"/>
            </w:tcBorders>
            <w:gridSpan w:val="2"/>
            <w:shd w:val="clear" w:color="auto" w:fill="DCDDDE"/>
          </w:tcPr>
          <w:p>
            <w:pPr>
              <w:ind w:left="2280"/>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gridSpan w:val="2"/>
            <w:shd w:val="clear" w:color="auto" w:fill="DCDDDE"/>
          </w:tcPr>
          <w:p>
            <w:pPr>
              <w:jc w:val="center"/>
              <w:spacing w:after="0"/>
              <w:rPr>
                <w:sz w:val="20"/>
                <w:szCs w:val="20"/>
                <w:color w:val="auto"/>
              </w:rPr>
            </w:pPr>
            <w:r>
              <w:rPr>
                <w:rFonts w:ascii="Arial" w:cs="Arial" w:eastAsia="Arial" w:hAnsi="Arial"/>
                <w:sz w:val="14"/>
                <w:szCs w:val="14"/>
                <w:color w:val="auto"/>
              </w:rPr>
              <w:t>Member</w:t>
            </w:r>
          </w:p>
        </w:tc>
        <w:tc>
          <w:tcPr>
            <w:tcW w:w="1900" w:type="dxa"/>
            <w:vAlign w:val="bottom"/>
            <w:tcBorders>
              <w:bottom w:val="single" w:sz="8" w:color="auto"/>
            </w:tcBorders>
            <w:shd w:val="clear" w:color="auto" w:fill="DCDDDE"/>
          </w:tcPr>
          <w:p>
            <w:pPr>
              <w:jc w:val="center"/>
              <w:ind w:left="29"/>
              <w:spacing w:after="0"/>
              <w:rPr>
                <w:sz w:val="20"/>
                <w:szCs w:val="20"/>
                <w:color w:val="auto"/>
              </w:rPr>
            </w:pPr>
            <w:r>
              <w:rPr>
                <w:rFonts w:ascii="Arial" w:cs="Arial" w:eastAsia="Arial" w:hAnsi="Arial"/>
                <w:sz w:val="14"/>
                <w:szCs w:val="14"/>
                <w:b w:val="1"/>
                <w:bCs w:val="1"/>
                <w:color w:val="auto"/>
              </w:rPr>
              <w:t>Chair</w:t>
            </w:r>
          </w:p>
        </w:tc>
        <w:tc>
          <w:tcPr>
            <w:tcW w:w="100" w:type="dxa"/>
            <w:vAlign w:val="bottom"/>
            <w:shd w:val="clear" w:color="auto" w:fill="DCDDDE"/>
          </w:tcPr>
          <w:p>
            <w:pPr>
              <w:spacing w:after="0"/>
              <w:rPr>
                <w:sz w:val="15"/>
                <w:szCs w:val="15"/>
                <w:color w:val="auto"/>
              </w:rPr>
            </w:pPr>
          </w:p>
        </w:tc>
      </w:tr>
    </w:tbl>
    <w:p>
      <w:pPr>
        <w:spacing w:after="0" w:line="113" w:lineRule="exact"/>
        <w:rPr>
          <w:sz w:val="20"/>
          <w:szCs w:val="20"/>
          <w:color w:val="auto"/>
        </w:rPr>
      </w:pPr>
    </w:p>
    <w:p>
      <w:pPr>
        <w:ind w:left="1040" w:right="40" w:hanging="438"/>
        <w:spacing w:after="0" w:line="199" w:lineRule="auto"/>
        <w:tabs>
          <w:tab w:leader="none" w:pos="1040" w:val="left"/>
        </w:tabs>
        <w:numPr>
          <w:ilvl w:val="0"/>
          <w:numId w:val="31"/>
        </w:numPr>
        <w:rPr>
          <w:rFonts w:ascii="Arial" w:cs="Arial" w:eastAsia="Arial" w:hAnsi="Arial"/>
          <w:sz w:val="21"/>
          <w:szCs w:val="21"/>
          <w:color w:val="auto"/>
          <w:vertAlign w:val="superscript"/>
        </w:rPr>
      </w:pPr>
      <w:r>
        <w:rPr>
          <w:rFonts w:ascii="Arial" w:cs="Arial" w:eastAsia="Arial" w:hAnsi="Arial"/>
          <w:sz w:val="14"/>
          <w:szCs w:val="14"/>
          <w:color w:val="auto"/>
        </w:rPr>
        <w:t>From October 1, 2017 until March 8, 2018 (the date of our 2018 Annual Meeting of Stockholders), Kenneth B. Lerer was also a member of our Board and of our Governance and Nominating Committee.</w:t>
      </w:r>
    </w:p>
    <w:p>
      <w:pPr>
        <w:sectPr>
          <w:pgSz w:w="11900" w:h="16838" w:orient="portrait"/>
          <w:cols w:equalWidth="0" w:num="1">
            <w:col w:w="11440"/>
          </w:cols>
          <w:pgMar w:left="240" w:top="125" w:right="21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Audit Committee</w:t>
      </w:r>
    </w:p>
    <w:p>
      <w:pPr>
        <w:spacing w:after="0" w:line="32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its Charter, the Audit Committee is responsible for the following, among other things:</w:t>
      </w:r>
    </w:p>
    <w:p>
      <w:pPr>
        <w:spacing w:after="0" w:line="50" w:lineRule="exact"/>
        <w:rPr>
          <w:sz w:val="20"/>
          <w:szCs w:val="20"/>
          <w:color w:val="auto"/>
        </w:rPr>
      </w:pPr>
    </w:p>
    <w:p>
      <w:pPr>
        <w:jc w:val="both"/>
        <w:ind w:left="140" w:hanging="132"/>
        <w:spacing w:after="0" w:line="235" w:lineRule="auto"/>
        <w:tabs>
          <w:tab w:leader="none" w:pos="140" w:val="left"/>
        </w:tabs>
        <w:numPr>
          <w:ilvl w:val="0"/>
          <w:numId w:val="32"/>
        </w:numPr>
        <w:rPr>
          <w:rFonts w:ascii="Arial" w:cs="Arial" w:eastAsia="Arial" w:hAnsi="Arial"/>
          <w:sz w:val="17"/>
          <w:szCs w:val="17"/>
          <w:color w:val="1CB6EA"/>
        </w:rPr>
      </w:pPr>
      <w:r>
        <w:rPr>
          <w:rFonts w:ascii="Arial" w:cs="Arial" w:eastAsia="Arial" w:hAnsi="Arial"/>
          <w:sz w:val="17"/>
          <w:szCs w:val="17"/>
          <w:color w:val="auto"/>
        </w:rPr>
        <w:t>the appointment, retention, termination, compensation and oversight of the work of our independent auditor, which reports directly to the Committee, including reviewing with the independent auditor the scope, planning and staffing of the annual audit, and the sole authority to approve all services provided by the independent auditor;</w:t>
      </w:r>
    </w:p>
    <w:p>
      <w:pPr>
        <w:spacing w:after="0" w:line="55"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32"/>
        </w:numPr>
        <w:rPr>
          <w:rFonts w:ascii="Arial" w:cs="Arial" w:eastAsia="Arial" w:hAnsi="Arial"/>
          <w:sz w:val="17"/>
          <w:szCs w:val="17"/>
          <w:color w:val="1CB6EA"/>
        </w:rPr>
      </w:pPr>
      <w:r>
        <w:rPr>
          <w:rFonts w:ascii="Arial" w:cs="Arial" w:eastAsia="Arial" w:hAnsi="Arial"/>
          <w:sz w:val="17"/>
          <w:szCs w:val="17"/>
          <w:color w:val="auto"/>
        </w:rPr>
        <w:t>reviewing our financial statements and related SEC filings and financial disclosures;</w:t>
      </w:r>
    </w:p>
    <w:p>
      <w:pPr>
        <w:spacing w:after="0" w:line="49" w:lineRule="exact"/>
        <w:rPr>
          <w:rFonts w:ascii="Arial" w:cs="Arial" w:eastAsia="Arial" w:hAnsi="Arial"/>
          <w:sz w:val="17"/>
          <w:szCs w:val="17"/>
          <w:color w:val="1CB6EA"/>
        </w:rPr>
      </w:pPr>
    </w:p>
    <w:p>
      <w:pPr>
        <w:jc w:val="both"/>
        <w:ind w:left="140" w:right="20" w:hanging="132"/>
        <w:spacing w:after="0" w:line="238" w:lineRule="auto"/>
        <w:tabs>
          <w:tab w:leader="none" w:pos="140" w:val="left"/>
        </w:tabs>
        <w:numPr>
          <w:ilvl w:val="0"/>
          <w:numId w:val="32"/>
        </w:numPr>
        <w:rPr>
          <w:rFonts w:ascii="Arial" w:cs="Arial" w:eastAsia="Arial" w:hAnsi="Arial"/>
          <w:sz w:val="17"/>
          <w:szCs w:val="17"/>
          <w:color w:val="1CB6EA"/>
        </w:rPr>
      </w:pPr>
      <w:r>
        <w:rPr>
          <w:rFonts w:ascii="Arial" w:cs="Arial" w:eastAsia="Arial" w:hAnsi="Arial"/>
          <w:sz w:val="17"/>
          <w:szCs w:val="17"/>
          <w:color w:val="auto"/>
        </w:rPr>
        <w:t>overseeing our compliance with the requirements of Section 404 of the Sarbanes-Oxley Act with respect to internal control over financial reporting;</w:t>
      </w:r>
    </w:p>
    <w:p>
      <w:pPr>
        <w:spacing w:after="0" w:line="53"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32"/>
        </w:numPr>
        <w:rPr>
          <w:rFonts w:ascii="Arial" w:cs="Arial" w:eastAsia="Arial" w:hAnsi="Arial"/>
          <w:sz w:val="17"/>
          <w:szCs w:val="17"/>
          <w:color w:val="1CB6EA"/>
        </w:rPr>
      </w:pPr>
      <w:r>
        <w:rPr>
          <w:rFonts w:ascii="Arial" w:cs="Arial" w:eastAsia="Arial" w:hAnsi="Arial"/>
          <w:sz w:val="17"/>
          <w:szCs w:val="17"/>
          <w:color w:val="auto"/>
        </w:rPr>
        <w:t>reviewing our risk assessment and risk management processes, including with respect to cyber security;</w:t>
      </w:r>
    </w:p>
    <w:p>
      <w:pPr>
        <w:spacing w:after="0" w:line="49" w:lineRule="exact"/>
        <w:rPr>
          <w:rFonts w:ascii="Arial" w:cs="Arial" w:eastAsia="Arial" w:hAnsi="Arial"/>
          <w:sz w:val="17"/>
          <w:szCs w:val="17"/>
          <w:color w:val="1CB6EA"/>
        </w:rPr>
      </w:pPr>
    </w:p>
    <w:p>
      <w:pPr>
        <w:ind w:left="140" w:right="20" w:hanging="132"/>
        <w:spacing w:after="0" w:line="243" w:lineRule="auto"/>
        <w:tabs>
          <w:tab w:leader="none" w:pos="140" w:val="left"/>
        </w:tabs>
        <w:numPr>
          <w:ilvl w:val="0"/>
          <w:numId w:val="32"/>
        </w:numPr>
        <w:rPr>
          <w:rFonts w:ascii="Arial" w:cs="Arial" w:eastAsia="Arial" w:hAnsi="Arial"/>
          <w:sz w:val="17"/>
          <w:szCs w:val="17"/>
          <w:color w:val="1CB6EA"/>
        </w:rPr>
      </w:pPr>
      <w:r>
        <w:rPr>
          <w:rFonts w:ascii="Arial" w:cs="Arial" w:eastAsia="Arial" w:hAnsi="Arial"/>
          <w:sz w:val="17"/>
          <w:szCs w:val="17"/>
          <w:color w:val="auto"/>
        </w:rPr>
        <w:t>reviewing our policies governing, and approving our use of, certain swap transactions;</w:t>
      </w:r>
    </w:p>
    <w:p>
      <w:pPr>
        <w:spacing w:after="0" w:line="49" w:lineRule="exact"/>
        <w:rPr>
          <w:rFonts w:ascii="Arial" w:cs="Arial" w:eastAsia="Arial" w:hAnsi="Arial"/>
          <w:sz w:val="17"/>
          <w:szCs w:val="17"/>
          <w:color w:val="1CB6EA"/>
        </w:rPr>
      </w:pPr>
    </w:p>
    <w:p>
      <w:pPr>
        <w:ind w:left="140" w:hanging="132"/>
        <w:spacing w:after="0"/>
        <w:tabs>
          <w:tab w:leader="none" w:pos="140" w:val="left"/>
        </w:tabs>
        <w:numPr>
          <w:ilvl w:val="0"/>
          <w:numId w:val="32"/>
        </w:numPr>
        <w:rPr>
          <w:rFonts w:ascii="Arial" w:cs="Arial" w:eastAsia="Arial" w:hAnsi="Arial"/>
          <w:sz w:val="17"/>
          <w:szCs w:val="17"/>
          <w:color w:val="1CB6EA"/>
        </w:rPr>
      </w:pPr>
      <w:r>
        <w:rPr>
          <w:rFonts w:ascii="Arial" w:cs="Arial" w:eastAsia="Arial" w:hAnsi="Arial"/>
          <w:sz w:val="17"/>
          <w:szCs w:val="17"/>
          <w:color w:val="auto"/>
        </w:rPr>
        <w:t>overseeing our internal audit function;</w:t>
      </w:r>
    </w:p>
    <w:p>
      <w:pPr>
        <w:spacing w:after="0" w:line="61" w:lineRule="exact"/>
        <w:rPr>
          <w:rFonts w:ascii="Arial" w:cs="Arial" w:eastAsia="Arial" w:hAnsi="Arial"/>
          <w:sz w:val="17"/>
          <w:szCs w:val="17"/>
          <w:color w:val="1CB6EA"/>
        </w:rPr>
      </w:pPr>
    </w:p>
    <w:p>
      <w:pPr>
        <w:ind w:left="140" w:hanging="132"/>
        <w:spacing w:after="0" w:line="241" w:lineRule="auto"/>
        <w:tabs>
          <w:tab w:leader="none" w:pos="140" w:val="left"/>
        </w:tabs>
        <w:numPr>
          <w:ilvl w:val="0"/>
          <w:numId w:val="32"/>
        </w:numPr>
        <w:rPr>
          <w:rFonts w:ascii="Arial" w:cs="Arial" w:eastAsia="Arial" w:hAnsi="Arial"/>
          <w:sz w:val="17"/>
          <w:szCs w:val="17"/>
          <w:color w:val="1CB6EA"/>
        </w:rPr>
      </w:pPr>
      <w:r>
        <w:rPr>
          <w:rFonts w:ascii="Arial" w:cs="Arial" w:eastAsia="Arial" w:hAnsi="Arial"/>
          <w:sz w:val="17"/>
          <w:szCs w:val="17"/>
          <w:color w:val="auto"/>
        </w:rPr>
        <w:t>overseeing our compliance with legal and regulatory requirements; and</w:t>
      </w:r>
    </w:p>
    <w:p>
      <w:pPr>
        <w:spacing w:after="0" w:line="249" w:lineRule="exact"/>
        <w:rPr>
          <w:rFonts w:ascii="Arial" w:cs="Arial" w:eastAsia="Arial" w:hAnsi="Arial"/>
          <w:sz w:val="17"/>
          <w:szCs w:val="17"/>
          <w:color w:val="1CB6EA"/>
        </w:rPr>
      </w:pPr>
    </w:p>
    <w:p>
      <w:pPr>
        <w:ind w:left="140" w:right="20" w:hanging="132"/>
        <w:spacing w:after="0" w:line="243" w:lineRule="auto"/>
        <w:tabs>
          <w:tab w:leader="none" w:pos="140" w:val="left"/>
        </w:tabs>
        <w:numPr>
          <w:ilvl w:val="0"/>
          <w:numId w:val="32"/>
        </w:numPr>
        <w:rPr>
          <w:rFonts w:ascii="Arial" w:cs="Arial" w:eastAsia="Arial" w:hAnsi="Arial"/>
          <w:sz w:val="17"/>
          <w:szCs w:val="17"/>
          <w:color w:val="1CB6EA"/>
        </w:rPr>
      </w:pPr>
      <w:r>
        <w:rPr>
          <w:rFonts w:ascii="Arial" w:cs="Arial" w:eastAsia="Arial" w:hAnsi="Arial"/>
          <w:sz w:val="17"/>
          <w:szCs w:val="17"/>
          <w:color w:val="auto"/>
        </w:rPr>
        <w:t>periodically reviewing and approving our Global Business Practices Statement (the “GBPS”),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Financial Experts</w:t>
      </w:r>
    </w:p>
    <w:p>
      <w:pPr>
        <w:spacing w:after="0" w:line="200" w:lineRule="exact"/>
        <w:rPr>
          <w:sz w:val="20"/>
          <w:szCs w:val="20"/>
          <w:color w:val="auto"/>
        </w:rPr>
      </w:pP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Board of Directors has determined that all of the members of the Audit Committee are independent and “financially sophisticated” under NASDAQ listing standards and qualify as “audit committee financial</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on the Audit Committees of Other Public Companies</w:t>
      </w:r>
    </w:p>
    <w:p>
      <w:pPr>
        <w:spacing w:after="0" w:line="200" w:lineRule="exact"/>
        <w:rPr>
          <w:sz w:val="20"/>
          <w:szCs w:val="20"/>
          <w:color w:val="auto"/>
        </w:rPr>
      </w:pPr>
    </w:p>
    <w:p>
      <w:pPr>
        <w:spacing w:after="0" w:line="27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do not restrict the number of other audit committees on which members of our Audit Committee may serve; however, in recommending director candidates to the Board and directors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which encompasses our standards for ethical conduct.</w:t>
      </w:r>
    </w:p>
    <w:p>
      <w:pPr>
        <w:spacing w:after="0" w:line="61"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For additional information on the Audit Committee’s role and its oversight of the independent auditor during fiscal year 2018, see “Report of the Audit Committee.”</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Charter also provides that:</w:t>
      </w:r>
    </w:p>
    <w:p>
      <w:pPr>
        <w:spacing w:after="0" w:line="75" w:lineRule="exact"/>
        <w:rPr>
          <w:sz w:val="20"/>
          <w:szCs w:val="20"/>
          <w:color w:val="auto"/>
        </w:rPr>
      </w:pPr>
    </w:p>
    <w:p>
      <w:pPr>
        <w:jc w:val="both"/>
        <w:ind w:left="140" w:right="40" w:hanging="138"/>
        <w:spacing w:after="0" w:line="238" w:lineRule="auto"/>
        <w:tabs>
          <w:tab w:leader="none" w:pos="140" w:val="left"/>
        </w:tabs>
        <w:numPr>
          <w:ilvl w:val="0"/>
          <w:numId w:val="33"/>
        </w:numPr>
        <w:rPr>
          <w:rFonts w:ascii="Arial" w:cs="Arial" w:eastAsia="Arial" w:hAnsi="Arial"/>
          <w:sz w:val="17"/>
          <w:szCs w:val="17"/>
          <w:color w:val="1CB6EA"/>
        </w:rPr>
      </w:pPr>
      <w:r>
        <w:rPr>
          <w:rFonts w:ascii="Arial" w:cs="Arial" w:eastAsia="Arial" w:hAnsi="Arial"/>
          <w:sz w:val="17"/>
          <w:szCs w:val="17"/>
          <w:color w:val="auto"/>
        </w:rPr>
        <w:t>the Committee will be comprised of at least three independent directors, each of whom also meets the separate standards for Audit Committee independence set forth in the NASDAQ listing standards;</w:t>
      </w:r>
    </w:p>
    <w:p>
      <w:pPr>
        <w:spacing w:after="0" w:line="53" w:lineRule="exact"/>
        <w:rPr>
          <w:rFonts w:ascii="Arial" w:cs="Arial" w:eastAsia="Arial" w:hAnsi="Arial"/>
          <w:sz w:val="17"/>
          <w:szCs w:val="17"/>
          <w:color w:val="1CB6EA"/>
        </w:rPr>
      </w:pPr>
    </w:p>
    <w:p>
      <w:pPr>
        <w:ind w:left="140" w:right="40" w:hanging="138"/>
        <w:spacing w:after="0" w:line="243" w:lineRule="auto"/>
        <w:tabs>
          <w:tab w:leader="none" w:pos="140" w:val="left"/>
        </w:tabs>
        <w:numPr>
          <w:ilvl w:val="0"/>
          <w:numId w:val="33"/>
        </w:numPr>
        <w:rPr>
          <w:rFonts w:ascii="Arial" w:cs="Arial" w:eastAsia="Arial" w:hAnsi="Arial"/>
          <w:sz w:val="17"/>
          <w:szCs w:val="17"/>
          <w:color w:val="1CB6EA"/>
        </w:rPr>
      </w:pPr>
      <w:r>
        <w:rPr>
          <w:rFonts w:ascii="Arial" w:cs="Arial" w:eastAsia="Arial" w:hAnsi="Arial"/>
          <w:sz w:val="17"/>
          <w:szCs w:val="17"/>
          <w:color w:val="auto"/>
        </w:rPr>
        <w:t>all Committee members must be financially literate, and the Committee must have at least one “audit committee financial expert”;</w:t>
      </w:r>
    </w:p>
    <w:p>
      <w:pPr>
        <w:spacing w:after="0" w:line="49" w:lineRule="exact"/>
        <w:rPr>
          <w:rFonts w:ascii="Arial" w:cs="Arial" w:eastAsia="Arial" w:hAnsi="Arial"/>
          <w:sz w:val="17"/>
          <w:szCs w:val="17"/>
          <w:color w:val="1CB6EA"/>
        </w:rPr>
      </w:pPr>
    </w:p>
    <w:p>
      <w:pPr>
        <w:ind w:left="140" w:right="20" w:hanging="138"/>
        <w:spacing w:after="0" w:line="243" w:lineRule="auto"/>
        <w:tabs>
          <w:tab w:leader="none" w:pos="140" w:val="left"/>
        </w:tabs>
        <w:numPr>
          <w:ilvl w:val="0"/>
          <w:numId w:val="33"/>
        </w:numPr>
        <w:rPr>
          <w:rFonts w:ascii="Arial" w:cs="Arial" w:eastAsia="Arial" w:hAnsi="Arial"/>
          <w:sz w:val="17"/>
          <w:szCs w:val="17"/>
          <w:color w:val="1CB6EA"/>
        </w:rPr>
      </w:pPr>
      <w:r>
        <w:rPr>
          <w:rFonts w:ascii="Arial" w:cs="Arial" w:eastAsia="Arial" w:hAnsi="Arial"/>
          <w:sz w:val="17"/>
          <w:szCs w:val="17"/>
          <w:color w:val="auto"/>
        </w:rPr>
        <w:t>the Committee will hold at least six regular meetings each calendar year;</w:t>
      </w:r>
    </w:p>
    <w:p>
      <w:pPr>
        <w:spacing w:after="0" w:line="49" w:lineRule="exact"/>
        <w:rPr>
          <w:rFonts w:ascii="Arial" w:cs="Arial" w:eastAsia="Arial" w:hAnsi="Arial"/>
          <w:sz w:val="17"/>
          <w:szCs w:val="17"/>
          <w:color w:val="1CB6EA"/>
        </w:rPr>
      </w:pPr>
    </w:p>
    <w:p>
      <w:pPr>
        <w:ind w:left="140" w:right="40" w:hanging="138"/>
        <w:spacing w:after="0" w:line="243" w:lineRule="auto"/>
        <w:tabs>
          <w:tab w:leader="none" w:pos="140" w:val="left"/>
        </w:tabs>
        <w:numPr>
          <w:ilvl w:val="0"/>
          <w:numId w:val="33"/>
        </w:numPr>
        <w:rPr>
          <w:rFonts w:ascii="Arial" w:cs="Arial" w:eastAsia="Arial" w:hAnsi="Arial"/>
          <w:sz w:val="17"/>
          <w:szCs w:val="17"/>
          <w:color w:val="1CB6EA"/>
        </w:rPr>
      </w:pPr>
      <w:r>
        <w:rPr>
          <w:rFonts w:ascii="Arial" w:cs="Arial" w:eastAsia="Arial" w:hAnsi="Arial"/>
          <w:sz w:val="17"/>
          <w:szCs w:val="17"/>
          <w:color w:val="auto"/>
        </w:rPr>
        <w:t>the Committee will meet separately with the independent auditor at least four times each year;</w:t>
      </w:r>
    </w:p>
    <w:p>
      <w:pPr>
        <w:spacing w:after="0" w:line="49" w:lineRule="exact"/>
        <w:rPr>
          <w:rFonts w:ascii="Arial" w:cs="Arial" w:eastAsia="Arial" w:hAnsi="Arial"/>
          <w:sz w:val="17"/>
          <w:szCs w:val="17"/>
          <w:color w:val="1CB6EA"/>
        </w:rPr>
      </w:pPr>
    </w:p>
    <w:p>
      <w:pPr>
        <w:ind w:left="140" w:right="40" w:hanging="138"/>
        <w:spacing w:after="0" w:line="243" w:lineRule="auto"/>
        <w:tabs>
          <w:tab w:leader="none" w:pos="140" w:val="left"/>
        </w:tabs>
        <w:numPr>
          <w:ilvl w:val="0"/>
          <w:numId w:val="33"/>
        </w:numPr>
        <w:rPr>
          <w:rFonts w:ascii="Arial" w:cs="Arial" w:eastAsia="Arial" w:hAnsi="Arial"/>
          <w:sz w:val="17"/>
          <w:szCs w:val="17"/>
          <w:color w:val="1CB6EA"/>
        </w:rPr>
      </w:pPr>
      <w:r>
        <w:rPr>
          <w:rFonts w:ascii="Arial" w:cs="Arial" w:eastAsia="Arial" w:hAnsi="Arial"/>
          <w:sz w:val="17"/>
          <w:szCs w:val="17"/>
          <w:color w:val="auto"/>
        </w:rPr>
        <w:t>the Committee will meet regularly in executive session with members of our senior management team; and</w:t>
      </w:r>
    </w:p>
    <w:p>
      <w:pPr>
        <w:spacing w:after="0" w:line="49" w:lineRule="exact"/>
        <w:rPr>
          <w:rFonts w:ascii="Arial" w:cs="Arial" w:eastAsia="Arial" w:hAnsi="Arial"/>
          <w:sz w:val="17"/>
          <w:szCs w:val="17"/>
          <w:color w:val="1CB6EA"/>
        </w:rPr>
      </w:pPr>
    </w:p>
    <w:p>
      <w:pPr>
        <w:ind w:left="140" w:right="40" w:hanging="138"/>
        <w:spacing w:after="0" w:line="243" w:lineRule="auto"/>
        <w:tabs>
          <w:tab w:leader="none" w:pos="140" w:val="left"/>
        </w:tabs>
        <w:numPr>
          <w:ilvl w:val="0"/>
          <w:numId w:val="33"/>
        </w:numPr>
        <w:rPr>
          <w:rFonts w:ascii="Arial" w:cs="Arial" w:eastAsia="Arial" w:hAnsi="Arial"/>
          <w:sz w:val="17"/>
          <w:szCs w:val="17"/>
          <w:color w:val="1CB6EA"/>
        </w:rPr>
      </w:pPr>
      <w:r>
        <w:rPr>
          <w:rFonts w:ascii="Arial" w:cs="Arial" w:eastAsia="Arial" w:hAnsi="Arial"/>
          <w:sz w:val="17"/>
          <w:szCs w:val="17"/>
          <w:color w:val="auto"/>
        </w:rPr>
        <w:t>the Committee is empowered to hire outside advisors as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experts” under the regulations promulgated under the Securities Act of 1933, as amended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serve on Committees of the Board, the Governance and Nominating Committee considers the other demands on each director’s time, including those arising from such service.</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16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FFFFFF"/>
          <w:shd w:val="clear" w:color="auto" w:fill="1CB6EA"/>
        </w:rPr>
        <w:t>OUR BOARD OF DIRECTORS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Oversight of Cyber Security</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Protecting the security of our networks, information systems and other technologies and those of our third-party vendors, and the privacy of information obtained from our business partners, employees and customers is of paramount importance to us, and we are committed to maintaining strong and effective information security and privacy protections throughout the company.</w:t>
      </w:r>
    </w:p>
    <w:p>
      <w:pPr>
        <w:spacing w:after="0" w:line="5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Audit Committee has primary responsibility for overseeing our risk management program, including relating to cyber security. The Audit Committee monitors our compliance in this area and receives periodic updates on cyber security and related privacy matters.</w:t>
      </w:r>
    </w:p>
    <w:p>
      <w:pPr>
        <w:spacing w:after="0" w:line="6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Viacom’s Chief Technology Officer and Chief Information Security Officer are responsible for leading our companywide information security strategy, architecture, policies, standards and processes. Our comprehensive information security program includes vulnerability detection and</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remediation, next-generation endpoint antivirus and malware protection, file integrity monitoring, third party vendor monitoring, encryption and access control, and enhanced awareness. The Chief Information Security Officer leads comprehensive reviews on a regular basis with the Audit Committee dedicated to our cyber risks and protections, which are then reported to the full Board.</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We also have a dedicated Chief Privacy Officer, who leads Viacom’s global privacy program and advises the business on the use, collection and disclosure of personal information in a manner that complies with the company’s data protection compliance obligations. The Audit Committee is briefed periodically on data privacy regulations and risks, including updated data protection laws, such as the European Union’s General Data Protection Regulation, that may impact our business activities involving the processing of personal data.</w:t>
      </w:r>
    </w:p>
    <w:p>
      <w:pPr>
        <w:spacing w:after="0" w:line="469"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Compensation Committee</w:t>
      </w:r>
    </w:p>
    <w:p>
      <w:pPr>
        <w:spacing w:after="0" w:line="39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its Charter, the Compensation Committee is responsible for the following, among other things:</w:t>
      </w:r>
    </w:p>
    <w:p>
      <w:pPr>
        <w:spacing w:after="0" w:line="63" w:lineRule="exact"/>
        <w:rPr>
          <w:sz w:val="20"/>
          <w:szCs w:val="20"/>
          <w:color w:val="auto"/>
        </w:rPr>
      </w:pPr>
    </w:p>
    <w:p>
      <w:pPr>
        <w:jc w:val="both"/>
        <w:ind w:left="140" w:hanging="132"/>
        <w:spacing w:after="0" w:line="238" w:lineRule="auto"/>
        <w:tabs>
          <w:tab w:leader="none" w:pos="140" w:val="left"/>
        </w:tabs>
        <w:numPr>
          <w:ilvl w:val="0"/>
          <w:numId w:val="34"/>
        </w:numPr>
        <w:rPr>
          <w:rFonts w:ascii="Arial" w:cs="Arial" w:eastAsia="Arial" w:hAnsi="Arial"/>
          <w:sz w:val="17"/>
          <w:szCs w:val="17"/>
          <w:color w:val="1CB6EA"/>
        </w:rPr>
      </w:pPr>
      <w:r>
        <w:rPr>
          <w:rFonts w:ascii="Arial" w:cs="Arial" w:eastAsia="Arial" w:hAnsi="Arial"/>
          <w:sz w:val="17"/>
          <w:szCs w:val="17"/>
          <w:color w:val="auto"/>
        </w:rPr>
        <w:t>establishing and regularly reviewing our general compensation philosophy, strategy, principles and policies, including oversight of periodic risk assessments of our compensation programs;</w:t>
      </w:r>
    </w:p>
    <w:p>
      <w:pPr>
        <w:spacing w:after="0" w:line="53" w:lineRule="exact"/>
        <w:rPr>
          <w:rFonts w:ascii="Arial" w:cs="Arial" w:eastAsia="Arial" w:hAnsi="Arial"/>
          <w:sz w:val="17"/>
          <w:szCs w:val="17"/>
          <w:color w:val="1CB6EA"/>
        </w:rPr>
      </w:pPr>
    </w:p>
    <w:p>
      <w:pPr>
        <w:jc w:val="both"/>
        <w:ind w:left="140" w:hanging="132"/>
        <w:spacing w:after="0" w:line="236" w:lineRule="auto"/>
        <w:tabs>
          <w:tab w:leader="none" w:pos="140" w:val="left"/>
        </w:tabs>
        <w:numPr>
          <w:ilvl w:val="0"/>
          <w:numId w:val="34"/>
        </w:numPr>
        <w:rPr>
          <w:rFonts w:ascii="Arial" w:cs="Arial" w:eastAsia="Arial" w:hAnsi="Arial"/>
          <w:sz w:val="17"/>
          <w:szCs w:val="17"/>
          <w:color w:val="1CB6EA"/>
        </w:rPr>
      </w:pPr>
      <w:r>
        <w:rPr>
          <w:rFonts w:ascii="Arial" w:cs="Arial" w:eastAsia="Arial" w:hAnsi="Arial"/>
          <w:sz w:val="17"/>
          <w:szCs w:val="17"/>
          <w:color w:val="auto"/>
        </w:rPr>
        <w:t>reviewing and approving the total compensation packages for, and key terms of any agreements with, our President and Chief Executive Officer, our other executive officers, operating managers who report to the CEO, and certain other executives;</w:t>
      </w:r>
    </w:p>
    <w:p>
      <w:pPr>
        <w:spacing w:after="0" w:line="54" w:lineRule="exact"/>
        <w:rPr>
          <w:rFonts w:ascii="Arial" w:cs="Arial" w:eastAsia="Arial" w:hAnsi="Arial"/>
          <w:sz w:val="17"/>
          <w:szCs w:val="17"/>
          <w:color w:val="1CB6EA"/>
        </w:rPr>
      </w:pPr>
    </w:p>
    <w:p>
      <w:pPr>
        <w:jc w:val="both"/>
        <w:ind w:left="140" w:hanging="132"/>
        <w:spacing w:after="0" w:line="243" w:lineRule="auto"/>
        <w:tabs>
          <w:tab w:leader="none" w:pos="140" w:val="left"/>
        </w:tabs>
        <w:numPr>
          <w:ilvl w:val="0"/>
          <w:numId w:val="34"/>
        </w:numPr>
        <w:rPr>
          <w:rFonts w:ascii="Arial" w:cs="Arial" w:eastAsia="Arial" w:hAnsi="Arial"/>
          <w:sz w:val="17"/>
          <w:szCs w:val="17"/>
          <w:color w:val="1CB6EA"/>
        </w:rPr>
      </w:pPr>
      <w:r>
        <w:rPr>
          <w:rFonts w:ascii="Arial" w:cs="Arial" w:eastAsia="Arial" w:hAnsi="Arial"/>
          <w:sz w:val="17"/>
          <w:szCs w:val="17"/>
          <w:color w:val="auto"/>
        </w:rPr>
        <w:t>reviewing and making recommendations to the Board on compensation plans and overseeing the administration of those plans;</w:t>
      </w:r>
    </w:p>
    <w:p>
      <w:pPr>
        <w:spacing w:after="0" w:line="49" w:lineRule="exact"/>
        <w:rPr>
          <w:rFonts w:ascii="Arial" w:cs="Arial" w:eastAsia="Arial" w:hAnsi="Arial"/>
          <w:sz w:val="17"/>
          <w:szCs w:val="17"/>
          <w:color w:val="1CB6EA"/>
        </w:rPr>
      </w:pPr>
    </w:p>
    <w:p>
      <w:pPr>
        <w:jc w:val="both"/>
        <w:ind w:left="140" w:hanging="132"/>
        <w:spacing w:after="0" w:line="238" w:lineRule="auto"/>
        <w:tabs>
          <w:tab w:leader="none" w:pos="140" w:val="left"/>
        </w:tabs>
        <w:numPr>
          <w:ilvl w:val="0"/>
          <w:numId w:val="34"/>
        </w:numPr>
        <w:rPr>
          <w:rFonts w:ascii="Arial" w:cs="Arial" w:eastAsia="Arial" w:hAnsi="Arial"/>
          <w:sz w:val="17"/>
          <w:szCs w:val="17"/>
          <w:color w:val="1CB6EA"/>
        </w:rPr>
      </w:pPr>
      <w:r>
        <w:rPr>
          <w:rFonts w:ascii="Arial" w:cs="Arial" w:eastAsia="Arial" w:hAnsi="Arial"/>
          <w:sz w:val="17"/>
          <w:szCs w:val="17"/>
          <w:color w:val="auto"/>
        </w:rPr>
        <w:t>determining the appropriate design for awards made under our annual cash bonus and equity compensation plans and setting related performance targets;</w:t>
      </w:r>
    </w:p>
    <w:p>
      <w:pPr>
        <w:spacing w:after="0" w:line="53" w:lineRule="exact"/>
        <w:rPr>
          <w:rFonts w:ascii="Arial" w:cs="Arial" w:eastAsia="Arial" w:hAnsi="Arial"/>
          <w:sz w:val="17"/>
          <w:szCs w:val="17"/>
          <w:color w:val="1CB6EA"/>
        </w:rPr>
      </w:pPr>
    </w:p>
    <w:p>
      <w:pPr>
        <w:ind w:left="140" w:hanging="132"/>
        <w:spacing w:after="0"/>
        <w:tabs>
          <w:tab w:leader="none" w:pos="140" w:val="left"/>
        </w:tabs>
        <w:numPr>
          <w:ilvl w:val="0"/>
          <w:numId w:val="34"/>
        </w:numPr>
        <w:rPr>
          <w:rFonts w:ascii="Arial" w:cs="Arial" w:eastAsia="Arial" w:hAnsi="Arial"/>
          <w:sz w:val="17"/>
          <w:szCs w:val="17"/>
          <w:color w:val="1CB6EA"/>
        </w:rPr>
      </w:pPr>
      <w:r>
        <w:rPr>
          <w:rFonts w:ascii="Arial" w:cs="Arial" w:eastAsia="Arial" w:hAnsi="Arial"/>
          <w:sz w:val="17"/>
          <w:szCs w:val="17"/>
          <w:color w:val="auto"/>
        </w:rPr>
        <w:t>approving equity awards; and</w:t>
      </w:r>
    </w:p>
    <w:p>
      <w:pPr>
        <w:spacing w:after="0" w:line="61" w:lineRule="exact"/>
        <w:rPr>
          <w:rFonts w:ascii="Arial" w:cs="Arial" w:eastAsia="Arial" w:hAnsi="Arial"/>
          <w:sz w:val="17"/>
          <w:szCs w:val="17"/>
          <w:color w:val="1CB6EA"/>
        </w:rPr>
      </w:pPr>
    </w:p>
    <w:p>
      <w:pPr>
        <w:jc w:val="both"/>
        <w:ind w:left="140" w:hanging="132"/>
        <w:spacing w:after="0" w:line="238" w:lineRule="auto"/>
        <w:tabs>
          <w:tab w:leader="none" w:pos="140" w:val="left"/>
        </w:tabs>
        <w:numPr>
          <w:ilvl w:val="0"/>
          <w:numId w:val="34"/>
        </w:numPr>
        <w:rPr>
          <w:rFonts w:ascii="Arial" w:cs="Arial" w:eastAsia="Arial" w:hAnsi="Arial"/>
          <w:sz w:val="17"/>
          <w:szCs w:val="17"/>
          <w:color w:val="1CB6EA"/>
        </w:rPr>
      </w:pPr>
      <w:r>
        <w:rPr>
          <w:rFonts w:ascii="Arial" w:cs="Arial" w:eastAsia="Arial" w:hAnsi="Arial"/>
          <w:sz w:val="17"/>
          <w:szCs w:val="17"/>
          <w:color w:val="auto"/>
        </w:rPr>
        <w:t>evaluating the performance of our President and Chief Executive Officer, and reviewing the evaluations of other executives by the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0"/>
        <w:spacing w:after="0" w:line="243" w:lineRule="auto"/>
        <w:rPr>
          <w:sz w:val="20"/>
          <w:szCs w:val="20"/>
          <w:color w:val="auto"/>
        </w:rPr>
      </w:pPr>
      <w:r>
        <w:rPr>
          <w:rFonts w:ascii="Arial" w:cs="Arial" w:eastAsia="Arial" w:hAnsi="Arial"/>
          <w:sz w:val="17"/>
          <w:szCs w:val="17"/>
          <w:color w:val="auto"/>
        </w:rPr>
        <w:t>and CEO, as appropriate, including in the context of succession planning.</w:t>
      </w:r>
    </w:p>
    <w:p>
      <w:pPr>
        <w:spacing w:after="0" w:line="5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For additional information on the Compensation Committee’s role, its processes for the consideration and determination of executive compensation and its use of outside advisors, see “Compensation Discussion and Analysis.”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Charter also provides that:</w:t>
      </w:r>
    </w:p>
    <w:p>
      <w:pPr>
        <w:spacing w:after="0" w:line="61" w:lineRule="exact"/>
        <w:rPr>
          <w:sz w:val="20"/>
          <w:szCs w:val="20"/>
          <w:color w:val="auto"/>
        </w:rPr>
      </w:pPr>
    </w:p>
    <w:p>
      <w:pPr>
        <w:jc w:val="both"/>
        <w:ind w:left="140" w:right="20" w:hanging="138"/>
        <w:spacing w:after="0" w:line="236" w:lineRule="auto"/>
        <w:tabs>
          <w:tab w:leader="none" w:pos="140" w:val="left"/>
        </w:tabs>
        <w:numPr>
          <w:ilvl w:val="0"/>
          <w:numId w:val="35"/>
        </w:numPr>
        <w:rPr>
          <w:rFonts w:ascii="Arial" w:cs="Arial" w:eastAsia="Arial" w:hAnsi="Arial"/>
          <w:sz w:val="17"/>
          <w:szCs w:val="17"/>
          <w:color w:val="1CB6EA"/>
        </w:rPr>
      </w:pPr>
      <w:r>
        <w:rPr>
          <w:rFonts w:ascii="Arial" w:cs="Arial" w:eastAsia="Arial" w:hAnsi="Arial"/>
          <w:sz w:val="17"/>
          <w:szCs w:val="17"/>
          <w:color w:val="auto"/>
        </w:rPr>
        <w:t>the Committee will be comprised of at least three independent directors, each of whom must be a “non-employee director” as defined in Rule 16b-3 of the Securities Exchange Act of 1934, as amended (the “Exchange Act”);</w:t>
      </w:r>
    </w:p>
    <w:p>
      <w:pPr>
        <w:spacing w:after="0" w:line="54" w:lineRule="exact"/>
        <w:rPr>
          <w:rFonts w:ascii="Arial" w:cs="Arial" w:eastAsia="Arial" w:hAnsi="Arial"/>
          <w:sz w:val="17"/>
          <w:szCs w:val="17"/>
          <w:color w:val="1CB6EA"/>
        </w:rPr>
      </w:pPr>
    </w:p>
    <w:p>
      <w:pPr>
        <w:ind w:left="140" w:right="20" w:hanging="138"/>
        <w:spacing w:after="0" w:line="243" w:lineRule="auto"/>
        <w:tabs>
          <w:tab w:leader="none" w:pos="140" w:val="left"/>
        </w:tabs>
        <w:numPr>
          <w:ilvl w:val="0"/>
          <w:numId w:val="35"/>
        </w:numPr>
        <w:rPr>
          <w:rFonts w:ascii="Arial" w:cs="Arial" w:eastAsia="Arial" w:hAnsi="Arial"/>
          <w:sz w:val="17"/>
          <w:szCs w:val="17"/>
          <w:color w:val="1CB6EA"/>
        </w:rPr>
      </w:pPr>
      <w:r>
        <w:rPr>
          <w:rFonts w:ascii="Arial" w:cs="Arial" w:eastAsia="Arial" w:hAnsi="Arial"/>
          <w:sz w:val="17"/>
          <w:szCs w:val="17"/>
          <w:color w:val="auto"/>
        </w:rPr>
        <w:t>the Committee will hold at least four regular meetings each calendar year;</w:t>
      </w:r>
    </w:p>
    <w:p>
      <w:pPr>
        <w:spacing w:after="0" w:line="49" w:lineRule="exact"/>
        <w:rPr>
          <w:rFonts w:ascii="Arial" w:cs="Arial" w:eastAsia="Arial" w:hAnsi="Arial"/>
          <w:sz w:val="17"/>
          <w:szCs w:val="17"/>
          <w:color w:val="1CB6EA"/>
        </w:rPr>
      </w:pPr>
    </w:p>
    <w:p>
      <w:pPr>
        <w:jc w:val="both"/>
        <w:ind w:left="140" w:right="20" w:hanging="138"/>
        <w:spacing w:after="0" w:line="238" w:lineRule="auto"/>
        <w:tabs>
          <w:tab w:leader="none" w:pos="140" w:val="left"/>
        </w:tabs>
        <w:numPr>
          <w:ilvl w:val="0"/>
          <w:numId w:val="35"/>
        </w:numPr>
        <w:rPr>
          <w:rFonts w:ascii="Arial" w:cs="Arial" w:eastAsia="Arial" w:hAnsi="Arial"/>
          <w:sz w:val="17"/>
          <w:szCs w:val="17"/>
          <w:color w:val="1CB6EA"/>
        </w:rPr>
      </w:pPr>
      <w:r>
        <w:rPr>
          <w:rFonts w:ascii="Arial" w:cs="Arial" w:eastAsia="Arial" w:hAnsi="Arial"/>
          <w:sz w:val="17"/>
          <w:szCs w:val="17"/>
          <w:color w:val="auto"/>
        </w:rPr>
        <w:t>the Committee will meet periodically in executive session, which sessions typically include its independent compensation consultant; and</w:t>
      </w:r>
    </w:p>
    <w:p>
      <w:pPr>
        <w:spacing w:after="0" w:line="53" w:lineRule="exact"/>
        <w:rPr>
          <w:rFonts w:ascii="Arial" w:cs="Arial" w:eastAsia="Arial" w:hAnsi="Arial"/>
          <w:sz w:val="17"/>
          <w:szCs w:val="17"/>
          <w:color w:val="1CB6EA"/>
        </w:rPr>
      </w:pPr>
    </w:p>
    <w:p>
      <w:pPr>
        <w:jc w:val="both"/>
        <w:ind w:left="140" w:right="20" w:hanging="138"/>
        <w:spacing w:after="0" w:line="238" w:lineRule="auto"/>
        <w:tabs>
          <w:tab w:leader="none" w:pos="140" w:val="left"/>
        </w:tabs>
        <w:numPr>
          <w:ilvl w:val="0"/>
          <w:numId w:val="35"/>
        </w:numPr>
        <w:rPr>
          <w:rFonts w:ascii="Arial" w:cs="Arial" w:eastAsia="Arial" w:hAnsi="Arial"/>
          <w:sz w:val="17"/>
          <w:szCs w:val="17"/>
          <w:color w:val="1CB6EA"/>
        </w:rPr>
      </w:pPr>
      <w:r>
        <w:rPr>
          <w:rFonts w:ascii="Arial" w:cs="Arial" w:eastAsia="Arial" w:hAnsi="Arial"/>
          <w:sz w:val="17"/>
          <w:szCs w:val="17"/>
          <w:color w:val="auto"/>
        </w:rPr>
        <w:t>the Committee is empowered to hire outside advisors as it deems appropriate and will conduct annual assessments of the independence of each such advisor.</w:t>
      </w:r>
    </w:p>
    <w:p>
      <w:pPr>
        <w:spacing w:after="0" w:line="200"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Committee’s Relationship with Its Independent Compensation Consultant</w:t>
      </w:r>
    </w:p>
    <w:p>
      <w:pPr>
        <w:sectPr>
          <w:pgSz w:w="11900" w:h="16838" w:orient="portrait"/>
          <w:cols w:equalWidth="0" w:num="1">
            <w:col w:w="11420"/>
          </w:cols>
          <w:pgMar w:left="240" w:top="125" w:right="239" w:bottom="1440" w:gutter="0" w:footer="0" w:header="0"/>
          <w:type w:val="continuous"/>
        </w:sectPr>
      </w:pPr>
    </w:p>
    <w:p>
      <w:pPr>
        <w:spacing w:after="0" w:line="32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Compensation Committee retains Pearl Meyer &amp; Partners, LLC (“Pearl Meyer”) as its independent compensation consultant.</w:t>
      </w:r>
    </w:p>
    <w:p>
      <w:pPr>
        <w:spacing w:after="0" w:line="5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Pearl Meyer is engaged by, and reports directly to, the Compensation Committee, which has the sole</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authority to hire or fire Pearl Meyer and to approve fee arrangements for work performed.</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Pearl Meyer assists the Compensation Committee in fulfilling its responsibilities under its Charter, including advising on proposed compensation packages for top</w:t>
      </w:r>
    </w:p>
    <w:p>
      <w:pPr>
        <w:spacing w:after="0" w:line="59" w:lineRule="exact"/>
        <w:rPr>
          <w:sz w:val="20"/>
          <w:szCs w:val="20"/>
          <w:color w:val="auto"/>
        </w:rPr>
      </w:pPr>
    </w:p>
    <w:tbl>
      <w:tblPr>
        <w:tblLayout w:type="fixed"/>
        <w:tblInd w:w="980" w:type="dxa"/>
        <w:tblCellMar>
          <w:top w:w="0" w:type="dxa"/>
          <w:left w:w="0" w:type="dxa"/>
          <w:bottom w:w="0" w:type="dxa"/>
          <w:right w:w="0" w:type="dxa"/>
        </w:tblCellMar>
      </w:tblPr>
      <w:tr>
        <w:trPr>
          <w:trHeight w:val="419"/>
        </w:trPr>
        <w:tc>
          <w:tcPr>
            <w:tcW w:w="130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1CB6EA"/>
              </w:rPr>
              <w:t>VIACOM INC.</w:t>
            </w:r>
          </w:p>
        </w:tc>
        <w:tc>
          <w:tcPr>
            <w:tcW w:w="320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64770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OUR BOARD OF DIRECTORS</w:t>
      </w:r>
    </w:p>
    <w:p>
      <w:pPr>
        <w:spacing w:after="0" w:line="23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executives, compensation program design and market practices generally. The Compensation Committee has authorized Pearl Meyer to interact with management on behalf of the Compensation Committee, as needed in connection with advising the Compensation Committee, and Pearl Meyer is included in discussions with management and, when applicable, the Compensation Committee’s outside legal counsel on matters being brought to the Compensation Committee for consideration.</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It is the Compensation Committee’s policy that the Chair of the Compensation Committee or the full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Compensation Committee pre-approve any additional services provided to management by its independent compensation consultant. In fiscal year 2018, Pearl Meyer did not provide any services to Viacom other than to the Compensation Committee and, as described below, the Governance and Nominating Committee. The Compensation Committee has assessed the independence of Pearl Meyer pursuant to Securities and Exchange Commission (“SEC”) rules and concluded that Pearl Meyer’s work for the Compensation Committee does not raise any conflict of interest.</w:t>
      </w:r>
    </w:p>
    <w:p>
      <w:pPr>
        <w:spacing w:after="0" w:line="474" w:lineRule="exact"/>
        <w:rPr>
          <w:sz w:val="20"/>
          <w:szCs w:val="20"/>
          <w:color w:val="auto"/>
        </w:rPr>
      </w:pPr>
    </w:p>
    <w:p>
      <w:pPr>
        <w:sectPr>
          <w:pgSz w:w="11900" w:h="16838" w:orient="portrait"/>
          <w:cols w:equalWidth="0" w:num="2">
            <w:col w:w="5480" w:space="460"/>
            <w:col w:w="5500"/>
          </w:cols>
          <w:pgMar w:left="240" w:top="125" w:right="21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Governance and Nominating Committee</w:t>
      </w:r>
    </w:p>
    <w:p>
      <w:pPr>
        <w:spacing w:after="0" w:line="39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its Charter, the Governance and Nominating Committee is responsible for the following, among other things:</w:t>
      </w:r>
    </w:p>
    <w:p>
      <w:pPr>
        <w:spacing w:after="0" w:line="50" w:lineRule="exact"/>
        <w:rPr>
          <w:sz w:val="20"/>
          <w:szCs w:val="20"/>
          <w:color w:val="auto"/>
        </w:rPr>
      </w:pPr>
    </w:p>
    <w:p>
      <w:pPr>
        <w:jc w:val="both"/>
        <w:ind w:left="140" w:hanging="132"/>
        <w:spacing w:after="0" w:line="238" w:lineRule="auto"/>
        <w:tabs>
          <w:tab w:leader="none" w:pos="140" w:val="left"/>
        </w:tabs>
        <w:numPr>
          <w:ilvl w:val="0"/>
          <w:numId w:val="36"/>
        </w:numPr>
        <w:rPr>
          <w:rFonts w:ascii="Arial" w:cs="Arial" w:eastAsia="Arial" w:hAnsi="Arial"/>
          <w:sz w:val="17"/>
          <w:szCs w:val="17"/>
          <w:color w:val="1CB6EA"/>
        </w:rPr>
      </w:pPr>
      <w:r>
        <w:rPr>
          <w:rFonts w:ascii="Arial" w:cs="Arial" w:eastAsia="Arial" w:hAnsi="Arial"/>
          <w:sz w:val="17"/>
          <w:szCs w:val="17"/>
          <w:color w:val="auto"/>
        </w:rPr>
        <w:t>identifying and recommending to the Board potential director candidates and reviewing the composition of the Board as part of this process;</w:t>
      </w:r>
    </w:p>
    <w:p>
      <w:pPr>
        <w:spacing w:after="0" w:line="53" w:lineRule="exact"/>
        <w:rPr>
          <w:rFonts w:ascii="Arial" w:cs="Arial" w:eastAsia="Arial" w:hAnsi="Arial"/>
          <w:sz w:val="17"/>
          <w:szCs w:val="17"/>
          <w:color w:val="1CB6EA"/>
        </w:rPr>
      </w:pPr>
    </w:p>
    <w:p>
      <w:pPr>
        <w:jc w:val="both"/>
        <w:ind w:left="140" w:hanging="132"/>
        <w:spacing w:after="0"/>
        <w:tabs>
          <w:tab w:leader="none" w:pos="140" w:val="left"/>
        </w:tabs>
        <w:numPr>
          <w:ilvl w:val="0"/>
          <w:numId w:val="36"/>
        </w:numPr>
        <w:rPr>
          <w:rFonts w:ascii="Arial" w:cs="Arial" w:eastAsia="Arial" w:hAnsi="Arial"/>
          <w:sz w:val="17"/>
          <w:szCs w:val="17"/>
          <w:color w:val="1CB6EA"/>
        </w:rPr>
      </w:pPr>
      <w:r>
        <w:rPr>
          <w:rFonts w:ascii="Arial" w:cs="Arial" w:eastAsia="Arial" w:hAnsi="Arial"/>
          <w:sz w:val="17"/>
          <w:szCs w:val="17"/>
          <w:color w:val="auto"/>
        </w:rPr>
        <w:t>overseeing and monitoring significant issues impacting our culture, including our handling of environmental, social and governance issues;</w:t>
      </w:r>
    </w:p>
    <w:p>
      <w:pPr>
        <w:spacing w:after="0" w:line="243" w:lineRule="exact"/>
        <w:rPr>
          <w:rFonts w:ascii="Arial" w:cs="Arial" w:eastAsia="Arial" w:hAnsi="Arial"/>
          <w:sz w:val="17"/>
          <w:szCs w:val="17"/>
          <w:color w:val="1CB6EA"/>
        </w:rPr>
      </w:pPr>
    </w:p>
    <w:p>
      <w:pPr>
        <w:jc w:val="both"/>
        <w:ind w:left="140" w:hanging="132"/>
        <w:spacing w:after="0" w:line="236" w:lineRule="auto"/>
        <w:tabs>
          <w:tab w:leader="none" w:pos="140" w:val="left"/>
        </w:tabs>
        <w:numPr>
          <w:ilvl w:val="0"/>
          <w:numId w:val="36"/>
        </w:numPr>
        <w:rPr>
          <w:rFonts w:ascii="Arial" w:cs="Arial" w:eastAsia="Arial" w:hAnsi="Arial"/>
          <w:sz w:val="17"/>
          <w:szCs w:val="17"/>
          <w:color w:val="1CB6EA"/>
        </w:rPr>
      </w:pPr>
      <w:r>
        <w:rPr>
          <w:rFonts w:ascii="Arial" w:cs="Arial" w:eastAsia="Arial" w:hAnsi="Arial"/>
          <w:sz w:val="17"/>
          <w:szCs w:val="17"/>
          <w:color w:val="auto"/>
        </w:rPr>
        <w:t>overseeing all aspects of our corporate governance initiatives, including periodic assessments of our principal governance documents, and making recommendations to the Board as appropriate;</w:t>
      </w:r>
    </w:p>
    <w:p>
      <w:pPr>
        <w:spacing w:after="0" w:line="54" w:lineRule="exact"/>
        <w:rPr>
          <w:rFonts w:ascii="Arial" w:cs="Arial" w:eastAsia="Arial" w:hAnsi="Arial"/>
          <w:sz w:val="17"/>
          <w:szCs w:val="17"/>
          <w:color w:val="1CB6EA"/>
        </w:rPr>
      </w:pPr>
    </w:p>
    <w:p>
      <w:pPr>
        <w:ind w:left="140" w:right="20" w:hanging="132"/>
        <w:spacing w:after="0" w:line="243" w:lineRule="auto"/>
        <w:tabs>
          <w:tab w:leader="none" w:pos="140" w:val="left"/>
        </w:tabs>
        <w:numPr>
          <w:ilvl w:val="0"/>
          <w:numId w:val="36"/>
        </w:numPr>
        <w:rPr>
          <w:rFonts w:ascii="Arial" w:cs="Arial" w:eastAsia="Arial" w:hAnsi="Arial"/>
          <w:sz w:val="17"/>
          <w:szCs w:val="17"/>
          <w:color w:val="1CB6EA"/>
        </w:rPr>
      </w:pPr>
      <w:r>
        <w:rPr>
          <w:rFonts w:ascii="Arial" w:cs="Arial" w:eastAsia="Arial" w:hAnsi="Arial"/>
          <w:sz w:val="17"/>
          <w:szCs w:val="17"/>
          <w:color w:val="auto"/>
        </w:rPr>
        <w:t>establishing policy on and overseeing our entry into related person transactions;</w:t>
      </w:r>
    </w:p>
    <w:p>
      <w:pPr>
        <w:spacing w:after="0" w:line="49"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36"/>
        </w:numPr>
        <w:rPr>
          <w:rFonts w:ascii="Arial" w:cs="Arial" w:eastAsia="Arial" w:hAnsi="Arial"/>
          <w:sz w:val="17"/>
          <w:szCs w:val="17"/>
          <w:color w:val="1CB6EA"/>
        </w:rPr>
      </w:pPr>
      <w:r>
        <w:rPr>
          <w:rFonts w:ascii="Arial" w:cs="Arial" w:eastAsia="Arial" w:hAnsi="Arial"/>
          <w:sz w:val="17"/>
          <w:szCs w:val="17"/>
          <w:color w:val="auto"/>
        </w:rPr>
        <w:t>establishing criteria for the annual self-assessments of the Board and its Committees;</w:t>
      </w:r>
    </w:p>
    <w:p>
      <w:pPr>
        <w:spacing w:after="0" w:line="49" w:lineRule="exact"/>
        <w:rPr>
          <w:rFonts w:ascii="Arial" w:cs="Arial" w:eastAsia="Arial" w:hAnsi="Arial"/>
          <w:sz w:val="17"/>
          <w:szCs w:val="17"/>
          <w:color w:val="1CB6EA"/>
        </w:rPr>
      </w:pPr>
    </w:p>
    <w:p>
      <w:pPr>
        <w:ind w:left="140" w:right="20" w:hanging="132"/>
        <w:spacing w:after="0" w:line="243" w:lineRule="auto"/>
        <w:tabs>
          <w:tab w:leader="none" w:pos="140" w:val="left"/>
        </w:tabs>
        <w:numPr>
          <w:ilvl w:val="0"/>
          <w:numId w:val="36"/>
        </w:numPr>
        <w:rPr>
          <w:rFonts w:ascii="Arial" w:cs="Arial" w:eastAsia="Arial" w:hAnsi="Arial"/>
          <w:sz w:val="17"/>
          <w:szCs w:val="17"/>
          <w:color w:val="1CB6EA"/>
        </w:rPr>
      </w:pPr>
      <w:r>
        <w:rPr>
          <w:rFonts w:ascii="Arial" w:cs="Arial" w:eastAsia="Arial" w:hAnsi="Arial"/>
          <w:sz w:val="17"/>
          <w:szCs w:val="17"/>
          <w:color w:val="auto"/>
        </w:rPr>
        <w:t>reviewing and making recommendations to the Board on director compensation matters; and</w:t>
      </w:r>
    </w:p>
    <w:p>
      <w:pPr>
        <w:spacing w:after="0" w:line="49"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36"/>
        </w:numPr>
        <w:rPr>
          <w:rFonts w:ascii="Arial" w:cs="Arial" w:eastAsia="Arial" w:hAnsi="Arial"/>
          <w:sz w:val="17"/>
          <w:szCs w:val="17"/>
          <w:color w:val="1CB6EA"/>
        </w:rPr>
      </w:pPr>
      <w:r>
        <w:rPr>
          <w:rFonts w:ascii="Arial" w:cs="Arial" w:eastAsia="Arial" w:hAnsi="Arial"/>
          <w:sz w:val="17"/>
          <w:szCs w:val="17"/>
          <w:color w:val="auto"/>
        </w:rPr>
        <w:t>monitoring developments in the law and practice of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Governance and Nominating Committee Charter also provides that:</w:t>
      </w:r>
    </w:p>
    <w:p>
      <w:pPr>
        <w:spacing w:after="0" w:line="61" w:lineRule="exact"/>
        <w:rPr>
          <w:sz w:val="20"/>
          <w:szCs w:val="20"/>
          <w:color w:val="auto"/>
        </w:rPr>
      </w:pPr>
    </w:p>
    <w:p>
      <w:pPr>
        <w:ind w:left="140" w:right="40" w:hanging="138"/>
        <w:spacing w:after="0" w:line="243" w:lineRule="auto"/>
        <w:tabs>
          <w:tab w:leader="none" w:pos="140" w:val="left"/>
        </w:tabs>
        <w:numPr>
          <w:ilvl w:val="0"/>
          <w:numId w:val="37"/>
        </w:numPr>
        <w:rPr>
          <w:rFonts w:ascii="Arial" w:cs="Arial" w:eastAsia="Arial" w:hAnsi="Arial"/>
          <w:sz w:val="17"/>
          <w:szCs w:val="17"/>
          <w:color w:val="1CB6EA"/>
        </w:rPr>
      </w:pPr>
      <w:r>
        <w:rPr>
          <w:rFonts w:ascii="Arial" w:cs="Arial" w:eastAsia="Arial" w:hAnsi="Arial"/>
          <w:sz w:val="17"/>
          <w:szCs w:val="17"/>
          <w:color w:val="auto"/>
        </w:rPr>
        <w:t>the Committee will be comprised of at least three independent directors;</w:t>
      </w:r>
    </w:p>
    <w:p>
      <w:pPr>
        <w:spacing w:after="0" w:line="49" w:lineRule="exact"/>
        <w:rPr>
          <w:rFonts w:ascii="Arial" w:cs="Arial" w:eastAsia="Arial" w:hAnsi="Arial"/>
          <w:sz w:val="17"/>
          <w:szCs w:val="17"/>
          <w:color w:val="1CB6EA"/>
        </w:rPr>
      </w:pPr>
    </w:p>
    <w:p>
      <w:pPr>
        <w:ind w:left="140" w:right="40" w:hanging="138"/>
        <w:spacing w:after="0" w:line="243" w:lineRule="auto"/>
        <w:tabs>
          <w:tab w:leader="none" w:pos="140" w:val="left"/>
        </w:tabs>
        <w:numPr>
          <w:ilvl w:val="0"/>
          <w:numId w:val="37"/>
        </w:numPr>
        <w:rPr>
          <w:rFonts w:ascii="Arial" w:cs="Arial" w:eastAsia="Arial" w:hAnsi="Arial"/>
          <w:sz w:val="17"/>
          <w:szCs w:val="17"/>
          <w:color w:val="1CB6EA"/>
        </w:rPr>
      </w:pPr>
      <w:r>
        <w:rPr>
          <w:rFonts w:ascii="Arial" w:cs="Arial" w:eastAsia="Arial" w:hAnsi="Arial"/>
          <w:sz w:val="17"/>
          <w:szCs w:val="17"/>
          <w:color w:val="auto"/>
        </w:rPr>
        <w:t>the Committee will hold at least three regular meetings each calendar year;</w:t>
      </w:r>
    </w:p>
    <w:p>
      <w:pPr>
        <w:spacing w:after="0" w:line="49" w:lineRule="exact"/>
        <w:rPr>
          <w:rFonts w:ascii="Arial" w:cs="Arial" w:eastAsia="Arial" w:hAnsi="Arial"/>
          <w:sz w:val="17"/>
          <w:szCs w:val="17"/>
          <w:color w:val="1CB6EA"/>
        </w:rPr>
      </w:pPr>
    </w:p>
    <w:p>
      <w:pPr>
        <w:ind w:left="140" w:hanging="138"/>
        <w:spacing w:after="0"/>
        <w:tabs>
          <w:tab w:leader="none" w:pos="140" w:val="left"/>
        </w:tabs>
        <w:numPr>
          <w:ilvl w:val="0"/>
          <w:numId w:val="37"/>
        </w:numPr>
        <w:rPr>
          <w:rFonts w:ascii="Arial" w:cs="Arial" w:eastAsia="Arial" w:hAnsi="Arial"/>
          <w:sz w:val="17"/>
          <w:szCs w:val="17"/>
          <w:color w:val="1CB6EA"/>
        </w:rPr>
      </w:pPr>
      <w:r>
        <w:rPr>
          <w:rFonts w:ascii="Arial" w:cs="Arial" w:eastAsia="Arial" w:hAnsi="Arial"/>
          <w:sz w:val="17"/>
          <w:szCs w:val="17"/>
          <w:color w:val="auto"/>
        </w:rPr>
        <w:t>the Committee will meet regularly in executive session; and</w:t>
      </w:r>
    </w:p>
    <w:p>
      <w:pPr>
        <w:spacing w:after="0" w:line="61" w:lineRule="exact"/>
        <w:rPr>
          <w:rFonts w:ascii="Arial" w:cs="Arial" w:eastAsia="Arial" w:hAnsi="Arial"/>
          <w:sz w:val="17"/>
          <w:szCs w:val="17"/>
          <w:color w:val="1CB6EA"/>
        </w:rPr>
      </w:pPr>
    </w:p>
    <w:p>
      <w:pPr>
        <w:ind w:left="140" w:right="40" w:hanging="138"/>
        <w:spacing w:after="0" w:line="243" w:lineRule="auto"/>
        <w:tabs>
          <w:tab w:leader="none" w:pos="140" w:val="left"/>
        </w:tabs>
        <w:numPr>
          <w:ilvl w:val="0"/>
          <w:numId w:val="37"/>
        </w:numPr>
        <w:rPr>
          <w:rFonts w:ascii="Arial" w:cs="Arial" w:eastAsia="Arial" w:hAnsi="Arial"/>
          <w:sz w:val="17"/>
          <w:szCs w:val="17"/>
          <w:color w:val="1CB6EA"/>
        </w:rPr>
      </w:pPr>
      <w:r>
        <w:rPr>
          <w:rFonts w:ascii="Arial" w:cs="Arial" w:eastAsia="Arial" w:hAnsi="Arial"/>
          <w:sz w:val="17"/>
          <w:szCs w:val="17"/>
          <w:color w:val="auto"/>
        </w:rPr>
        <w:t>the Committee is empowered to hire outside advisors as it deems appropriate.</w:t>
      </w:r>
    </w:p>
    <w:p>
      <w:pPr>
        <w:spacing w:after="0" w:line="5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Governance and Nominating Committee periodically uses Pearl Meyer, the Compensation Committee’s independent compensation consultant, for advice on director compensation.</w:t>
      </w:r>
    </w:p>
    <w:p>
      <w:pPr>
        <w:spacing w:after="0" w:line="67"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For additional information on the Governance and Nominating Committee’s oversight of director compensation and related person transactions, see the sections “Director Compensation” and “Related Person Transactions.”</w:t>
      </w:r>
    </w:p>
    <w:p>
      <w:pPr>
        <w:spacing w:after="0" w:line="1204"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Nomination Process and Consideration of Diversity of Perspectives</w:t>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Corporate Governance Guidelines and the Governance and Nominating Committee Charter set forth certain criteria for director qualifications and Board composition. These criteria include an expectation that directors have substantial accomplishments in their professional backgrounds, are able to make independent, analytical inquiries and exhibit practical wisdom and mature judgment. The Governance and Nominating Committee seeks to achieve a Board that represents a diverse mix of skills, qualifications, perspectives, talents, backgrounds and education that will enhance our decision-making process, oversee management’s execution of strategic objectives and represent the interests of all of our stockholders. Director candidates should meet our standards for independence, be free of potential conflicts of</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interest, possess the highest personal and professional ethics, integrity and values, be committed to promoting the long-term interests of our stockholders and be able and willing to devote the necessary time to carrying out their duties and responsibilities as members of the Board. These criteria are described more fully in our Guidelines and the Governance and Nominating Committee Charter. The Governance and Nominating Committee considers these criteria, including diversity, in connection with its annual review of the composition, qualifications and independence of our Board.</w:t>
      </w:r>
    </w:p>
    <w:p>
      <w:pPr>
        <w:spacing w:after="0" w:line="67"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For additional discussion of how the Governance and Nominating Committee determines the director nominees, see “Item 1 — Election of Directors” and “Our Board of Directors — Director Independence.”</w:t>
      </w:r>
    </w:p>
    <w:p>
      <w:pPr>
        <w:spacing w:after="0" w:line="302"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18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shd w:val="clear" w:color="auto" w:fill="1CB6EA"/>
        </w:rPr>
        <w:t>OUR BOARD OF DIRECTORS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Recommendations for Director Candidates</w:t>
      </w:r>
    </w:p>
    <w:p>
      <w:pPr>
        <w:sectPr>
          <w:pgSz w:w="11900" w:h="16838" w:orient="portrait"/>
          <w:cols w:equalWidth="0" w:num="1">
            <w:col w:w="11440"/>
          </w:cols>
          <w:pgMar w:left="240" w:top="125" w:right="219" w:bottom="1440" w:gutter="0" w:footer="0" w:header="0"/>
        </w:sectPr>
      </w:pPr>
    </w:p>
    <w:p>
      <w:pPr>
        <w:spacing w:after="0" w:line="35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Governance and Nominating Committee will consider potential director candidates recommended by our stockholders. When making a recommendation, stockholders should consider our criteria for director qualifications and Board composition set forth above and in our Guidelines and the Governance and Nominating Committee Charter. Director candidates recommended by stockholders who meet these qualifications will be considered by the Chair of the Governance and Nominating Committee, who will present the information on the candidate to the entire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Governance and Nominating Committee. All director candidates recommended by stockholders will be considered by the Governance and Nominating Committee in the same manner as any other candidate and may or may not be selected by the Governance and Nominating Committee.</w:t>
      </w:r>
    </w:p>
    <w:p>
      <w:pPr>
        <w:spacing w:after="0" w:line="69"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All recommendations by stockholders for potential director candidates must include written materials on the potential candidate’s qualifications and be sent to Christa A. D’Alimonte, Secretary, Viacom Inc., 1515 Broadway, New York, NY 10036-5794.</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our Corporate Governance Guidelines, the Board is required to hold separate executive sessions of non-management and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directors. Mr. May, our non-executive Chairman, leads these executive sessions.</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other interested parties who would like to contact our non-</w:t>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management directors may send an email to: </w:t>
      </w:r>
      <w:r>
        <w:rPr>
          <w:rFonts w:ascii="Arial" w:cs="Arial" w:eastAsia="Arial" w:hAnsi="Arial"/>
          <w:sz w:val="16"/>
          <w:szCs w:val="16"/>
          <w:u w:val="single" w:color="auto"/>
          <w:color w:val="auto"/>
        </w:rPr>
        <w:t>nonmanagementdirectors@viacom.com</w:t>
      </w:r>
      <w:r>
        <w:rPr>
          <w:rFonts w:ascii="Arial" w:cs="Arial" w:eastAsia="Arial" w:hAnsi="Arial"/>
          <w:sz w:val="16"/>
          <w:szCs w:val="16"/>
          <w:color w:val="auto"/>
        </w:rPr>
        <w:t xml:space="preserve"> or write to Non-Management Directors, Viacom Inc., 1515 Broadway, 52</w:t>
      </w:r>
      <w:r>
        <w:rPr>
          <w:rFonts w:ascii="Arial" w:cs="Arial" w:eastAsia="Arial" w:hAnsi="Arial"/>
          <w:sz w:val="13"/>
          <w:szCs w:val="13"/>
          <w:color w:val="auto"/>
        </w:rPr>
        <w:t>nd</w:t>
      </w:r>
      <w:r>
        <w:rPr>
          <w:rFonts w:ascii="Arial" w:cs="Arial" w:eastAsia="Arial" w:hAnsi="Arial"/>
          <w:sz w:val="16"/>
          <w:szCs w:val="16"/>
          <w:color w:val="auto"/>
        </w:rPr>
        <w:t xml:space="preserve"> Floor, New York, NY 10036-5794. The non-management directors’ contact information is also available on our website at </w:t>
      </w:r>
      <w:r>
        <w:rPr>
          <w:rFonts w:ascii="Arial" w:cs="Arial" w:eastAsia="Arial" w:hAnsi="Arial"/>
          <w:sz w:val="16"/>
          <w:szCs w:val="16"/>
          <w:u w:val="single" w:color="auto"/>
          <w:color w:val="auto"/>
        </w:rPr>
        <w:t>www.viacom.com</w:t>
      </w:r>
      <w:r>
        <w:rPr>
          <w:rFonts w:ascii="Arial" w:cs="Arial" w:eastAsia="Arial" w:hAnsi="Arial"/>
          <w:sz w:val="16"/>
          <w:szCs w:val="16"/>
          <w:color w:val="auto"/>
        </w:rPr>
        <w:t>. The non-management directors have approved the process for handling communications received in this manner.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Stockholders should also use the email and mailing address for the non-management directors to send communications to the Board. The process for handling stockholder communications to the Board received in this manner has been approved by the independent directors of the Board. Correspondence relating to accounting or auditing matters will be handled in accordance with procedures established by the Audit Committee for such matters.</w:t>
      </w:r>
    </w:p>
    <w:p>
      <w:pPr>
        <w:spacing w:after="0" w:line="214"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8200" w:type="dxa"/>
            <w:vAlign w:val="bottom"/>
            <w:vMerge w:val="restart"/>
          </w:tcPr>
          <w:p>
            <w:pPr>
              <w:ind w:left="6920"/>
              <w:spacing w:after="0"/>
              <w:rPr>
                <w:sz w:val="20"/>
                <w:szCs w:val="20"/>
                <w:color w:val="auto"/>
              </w:rPr>
            </w:pPr>
            <w:r>
              <w:rPr>
                <w:rFonts w:ascii="Arial" w:cs="Arial" w:eastAsia="Arial" w:hAnsi="Arial"/>
                <w:sz w:val="18"/>
                <w:szCs w:val="18"/>
                <w:b w:val="1"/>
                <w:bCs w:val="1"/>
                <w:color w:val="1CB6EA"/>
              </w:rPr>
              <w:t>VIACOM INC.</w:t>
            </w:r>
          </w:p>
        </w:tc>
        <w:tc>
          <w:tcPr>
            <w:tcW w:w="20" w:type="dxa"/>
            <w:vAlign w:val="bottom"/>
          </w:tcPr>
          <w:p>
            <w:pPr>
              <w:spacing w:after="0" w:line="20" w:lineRule="exact"/>
              <w:rPr>
                <w:sz w:val="1"/>
                <w:szCs w:val="1"/>
                <w:color w:val="auto"/>
              </w:rPr>
            </w:pPr>
          </w:p>
        </w:tc>
        <w:tc>
          <w:tcPr>
            <w:tcW w:w="3220" w:type="dxa"/>
            <w:vAlign w:val="bottom"/>
            <w:vMerge w:val="restart"/>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19</w:t>
            </w:r>
          </w:p>
        </w:tc>
        <w:tc>
          <w:tcPr>
            <w:tcW w:w="0" w:type="dxa"/>
            <w:vAlign w:val="bottom"/>
          </w:tcPr>
          <w:p>
            <w:pPr>
              <w:spacing w:after="0" w:line="20" w:lineRule="exact"/>
              <w:rPr>
                <w:sz w:val="1"/>
                <w:szCs w:val="1"/>
                <w:color w:val="auto"/>
              </w:rPr>
            </w:pPr>
          </w:p>
        </w:tc>
      </w:tr>
      <w:tr>
        <w:trPr>
          <w:trHeight w:val="203"/>
        </w:trPr>
        <w:tc>
          <w:tcPr>
            <w:tcW w:w="8200" w:type="dxa"/>
            <w:vAlign w:val="bottom"/>
            <w:vMerge w:val="continue"/>
          </w:tcPr>
          <w:p>
            <w:pPr>
              <w:spacing w:after="0"/>
              <w:rPr>
                <w:sz w:val="17"/>
                <w:szCs w:val="17"/>
                <w:color w:val="auto"/>
              </w:rPr>
            </w:pPr>
          </w:p>
        </w:tc>
        <w:tc>
          <w:tcPr>
            <w:tcW w:w="20" w:type="dxa"/>
            <w:vAlign w:val="bottom"/>
            <w:shd w:val="clear" w:color="auto" w:fill="00BBE6"/>
          </w:tcPr>
          <w:p>
            <w:pPr>
              <w:spacing w:after="0"/>
              <w:rPr>
                <w:sz w:val="17"/>
                <w:szCs w:val="17"/>
                <w:color w:val="auto"/>
              </w:rPr>
            </w:pP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2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CORPORATE GOVERNANCE</w:t>
      </w:r>
    </w:p>
    <w:p>
      <w:pPr>
        <w:spacing w:after="0" w:line="146" w:lineRule="exact"/>
        <w:rPr>
          <w:sz w:val="20"/>
          <w:szCs w:val="20"/>
          <w:color w:val="auto"/>
        </w:rPr>
      </w:pPr>
    </w:p>
    <w:p>
      <w:pPr>
        <w:spacing w:after="0"/>
        <w:rPr>
          <w:sz w:val="20"/>
          <w:szCs w:val="20"/>
          <w:color w:val="auto"/>
        </w:rPr>
      </w:pPr>
      <w:r>
        <w:rPr>
          <w:rFonts w:ascii="Arial" w:cs="Arial" w:eastAsia="Arial" w:hAnsi="Arial"/>
          <w:sz w:val="39"/>
          <w:szCs w:val="39"/>
          <w:b w:val="1"/>
          <w:bCs w:val="1"/>
          <w:color w:val="1CB6EA"/>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corporate governance practices are established, monitored and regularly assessed by our Board of Directors with assistance from the Governance and Nominating Committee. The Board considers current and proposed legal requirements and governance best practices in connection with its decisions on our governance practices, including ensuring that a majority of our Board is independent and that all of our Board Committees are comprised solely of independent directors.</w:t>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principal governance documents are our Corporate Governance Guidelines, Board Committee Charters, Global Business Practices Statement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Supplemental Code of Ethics for Senior Financial Officers. These documents are available in the “Investors/Corporate Governance” section of our website at </w:t>
      </w:r>
      <w:r>
        <w:rPr>
          <w:rFonts w:ascii="Arial" w:cs="Arial" w:eastAsia="Arial" w:hAnsi="Arial"/>
          <w:sz w:val="17"/>
          <w:szCs w:val="17"/>
          <w:u w:val="single" w:color="auto"/>
          <w:color w:val="auto"/>
        </w:rPr>
        <w:t>www.viacom.com</w:t>
      </w:r>
      <w:r>
        <w:rPr>
          <w:rFonts w:ascii="Arial" w:cs="Arial" w:eastAsia="Arial" w:hAnsi="Arial"/>
          <w:sz w:val="17"/>
          <w:szCs w:val="17"/>
          <w:color w:val="auto"/>
        </w:rPr>
        <w:t>, and copies of these documents may be requested by writing to Investor Relations, Viacom Inc., 1515 Broadway, New York, NY 10036-5794.</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Certain aspects of our governance documents are summarized below. We encourage our stockholders to read our governance documents, as we believe they illustrate our commitment to good governance practices and ethical business conduct.</w:t>
      </w:r>
    </w:p>
    <w:p>
      <w:pPr>
        <w:spacing w:after="0" w:line="282"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34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Corporate Governance Guidelines establish our corporate governance principles and practices on a variety of topics, including the responsibilities, composition and functioning of the Board. The Governance and Nominating Committee assesses the Guidelines periodically and makes recommendations to the Board on any changes to implement. Our Guidelines address, among other things:</w:t>
      </w:r>
    </w:p>
    <w:p>
      <w:pPr>
        <w:spacing w:after="0" w:line="54" w:lineRule="exact"/>
        <w:rPr>
          <w:sz w:val="20"/>
          <w:szCs w:val="20"/>
          <w:color w:val="auto"/>
        </w:rPr>
      </w:pPr>
    </w:p>
    <w:p>
      <w:pPr>
        <w:jc w:val="both"/>
        <w:ind w:left="140" w:hanging="132"/>
        <w:spacing w:after="0" w:line="238" w:lineRule="auto"/>
        <w:tabs>
          <w:tab w:leader="none" w:pos="140" w:val="left"/>
        </w:tabs>
        <w:numPr>
          <w:ilvl w:val="0"/>
          <w:numId w:val="38"/>
        </w:numPr>
        <w:rPr>
          <w:rFonts w:ascii="Arial" w:cs="Arial" w:eastAsia="Arial" w:hAnsi="Arial"/>
          <w:sz w:val="17"/>
          <w:szCs w:val="17"/>
          <w:color w:val="1CB6EA"/>
        </w:rPr>
      </w:pPr>
      <w:r>
        <w:rPr>
          <w:rFonts w:ascii="Arial" w:cs="Arial" w:eastAsia="Arial" w:hAnsi="Arial"/>
          <w:sz w:val="17"/>
          <w:szCs w:val="17"/>
          <w:color w:val="auto"/>
        </w:rPr>
        <w:t>the roles and responsibilities of the Board Chairman, the Vice Chair and, when the offices of Chairman and Chief Executive Officer are held by the same person, a lead independent director;</w:t>
      </w:r>
    </w:p>
    <w:p>
      <w:pPr>
        <w:spacing w:after="0" w:line="53" w:lineRule="exact"/>
        <w:rPr>
          <w:rFonts w:ascii="Arial" w:cs="Arial" w:eastAsia="Arial" w:hAnsi="Arial"/>
          <w:sz w:val="17"/>
          <w:szCs w:val="17"/>
          <w:color w:val="1CB6EA"/>
        </w:rPr>
      </w:pPr>
    </w:p>
    <w:p>
      <w:pPr>
        <w:ind w:left="140" w:hanging="132"/>
        <w:spacing w:after="0"/>
        <w:tabs>
          <w:tab w:leader="none" w:pos="140" w:val="left"/>
        </w:tabs>
        <w:numPr>
          <w:ilvl w:val="0"/>
          <w:numId w:val="38"/>
        </w:numPr>
        <w:rPr>
          <w:rFonts w:ascii="Arial" w:cs="Arial" w:eastAsia="Arial" w:hAnsi="Arial"/>
          <w:sz w:val="17"/>
          <w:szCs w:val="17"/>
          <w:color w:val="1CB6EA"/>
        </w:rPr>
      </w:pPr>
      <w:r>
        <w:rPr>
          <w:rFonts w:ascii="Arial" w:cs="Arial" w:eastAsia="Arial" w:hAnsi="Arial"/>
          <w:sz w:val="17"/>
          <w:szCs w:val="17"/>
          <w:color w:val="auto"/>
        </w:rPr>
        <w:t>director qualifications, including our director independence standards;</w:t>
      </w:r>
    </w:p>
    <w:p>
      <w:pPr>
        <w:spacing w:after="0" w:line="61" w:lineRule="exact"/>
        <w:rPr>
          <w:rFonts w:ascii="Arial" w:cs="Arial" w:eastAsia="Arial" w:hAnsi="Arial"/>
          <w:sz w:val="17"/>
          <w:szCs w:val="17"/>
          <w:color w:val="1CB6EA"/>
        </w:rPr>
      </w:pPr>
    </w:p>
    <w:p>
      <w:pPr>
        <w:jc w:val="both"/>
        <w:ind w:left="140" w:hanging="132"/>
        <w:spacing w:after="0" w:line="238" w:lineRule="auto"/>
        <w:tabs>
          <w:tab w:leader="none" w:pos="140" w:val="left"/>
        </w:tabs>
        <w:numPr>
          <w:ilvl w:val="0"/>
          <w:numId w:val="38"/>
        </w:numPr>
        <w:rPr>
          <w:rFonts w:ascii="Arial" w:cs="Arial" w:eastAsia="Arial" w:hAnsi="Arial"/>
          <w:sz w:val="17"/>
          <w:szCs w:val="17"/>
          <w:color w:val="00BBE6"/>
        </w:rPr>
      </w:pPr>
      <w:r>
        <w:rPr>
          <w:rFonts w:ascii="Arial" w:cs="Arial" w:eastAsia="Arial" w:hAnsi="Arial"/>
          <w:sz w:val="17"/>
          <w:szCs w:val="17"/>
          <w:color w:val="auto"/>
        </w:rPr>
        <w:t>the requirement to hold separate executive sessions of the non-management directors and of the independent directors and their frequency;</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38" w:right="20" w:hanging="138"/>
        <w:spacing w:after="0" w:line="243" w:lineRule="auto"/>
        <w:tabs>
          <w:tab w:leader="none" w:pos="138" w:val="left"/>
        </w:tabs>
        <w:numPr>
          <w:ilvl w:val="0"/>
          <w:numId w:val="39"/>
        </w:numPr>
        <w:rPr>
          <w:rFonts w:ascii="Arial" w:cs="Arial" w:eastAsia="Arial" w:hAnsi="Arial"/>
          <w:sz w:val="17"/>
          <w:szCs w:val="17"/>
          <w:color w:val="1CB6EA"/>
        </w:rPr>
      </w:pPr>
      <w:r>
        <w:rPr>
          <w:rFonts w:ascii="Arial" w:cs="Arial" w:eastAsia="Arial" w:hAnsi="Arial"/>
          <w:sz w:val="17"/>
          <w:szCs w:val="17"/>
          <w:color w:val="auto"/>
        </w:rPr>
        <w:t>how stockholders and interested parties may communicate with the non-management directors;</w:t>
      </w:r>
    </w:p>
    <w:p>
      <w:pPr>
        <w:spacing w:after="0" w:line="49" w:lineRule="exact"/>
        <w:rPr>
          <w:rFonts w:ascii="Arial" w:cs="Arial" w:eastAsia="Arial" w:hAnsi="Arial"/>
          <w:sz w:val="17"/>
          <w:szCs w:val="17"/>
          <w:color w:val="1CB6EA"/>
        </w:rPr>
      </w:pPr>
    </w:p>
    <w:p>
      <w:pPr>
        <w:ind w:left="138" w:right="20" w:hanging="138"/>
        <w:spacing w:after="0" w:line="243" w:lineRule="auto"/>
        <w:tabs>
          <w:tab w:leader="none" w:pos="138" w:val="left"/>
        </w:tabs>
        <w:numPr>
          <w:ilvl w:val="0"/>
          <w:numId w:val="39"/>
        </w:numPr>
        <w:rPr>
          <w:rFonts w:ascii="Arial" w:cs="Arial" w:eastAsia="Arial" w:hAnsi="Arial"/>
          <w:sz w:val="17"/>
          <w:szCs w:val="17"/>
          <w:color w:val="1CB6EA"/>
        </w:rPr>
      </w:pPr>
      <w:r>
        <w:rPr>
          <w:rFonts w:ascii="Arial" w:cs="Arial" w:eastAsia="Arial" w:hAnsi="Arial"/>
          <w:sz w:val="17"/>
          <w:szCs w:val="17"/>
          <w:color w:val="auto"/>
        </w:rPr>
        <w:t>stock ownership guidelines for directors and the Board’s policies for setting director compensation;</w:t>
      </w:r>
    </w:p>
    <w:p>
      <w:pPr>
        <w:spacing w:after="0" w:line="49" w:lineRule="exact"/>
        <w:rPr>
          <w:rFonts w:ascii="Arial" w:cs="Arial" w:eastAsia="Arial" w:hAnsi="Arial"/>
          <w:sz w:val="17"/>
          <w:szCs w:val="17"/>
          <w:color w:val="1CB6EA"/>
        </w:rPr>
      </w:pPr>
    </w:p>
    <w:p>
      <w:pPr>
        <w:ind w:left="138" w:hanging="138"/>
        <w:spacing w:after="0"/>
        <w:tabs>
          <w:tab w:leader="none" w:pos="138" w:val="left"/>
        </w:tabs>
        <w:numPr>
          <w:ilvl w:val="0"/>
          <w:numId w:val="39"/>
        </w:numPr>
        <w:rPr>
          <w:rFonts w:ascii="Arial" w:cs="Arial" w:eastAsia="Arial" w:hAnsi="Arial"/>
          <w:sz w:val="17"/>
          <w:szCs w:val="17"/>
          <w:color w:val="1CB6EA"/>
        </w:rPr>
      </w:pPr>
      <w:r>
        <w:rPr>
          <w:rFonts w:ascii="Arial" w:cs="Arial" w:eastAsia="Arial" w:hAnsi="Arial"/>
          <w:sz w:val="17"/>
          <w:szCs w:val="17"/>
          <w:color w:val="auto"/>
        </w:rPr>
        <w:t>director orientation and continuing education;</w:t>
      </w:r>
    </w:p>
    <w:p>
      <w:pPr>
        <w:spacing w:after="0" w:line="61" w:lineRule="exact"/>
        <w:rPr>
          <w:rFonts w:ascii="Arial" w:cs="Arial" w:eastAsia="Arial" w:hAnsi="Arial"/>
          <w:sz w:val="17"/>
          <w:szCs w:val="17"/>
          <w:color w:val="1CB6EA"/>
        </w:rPr>
      </w:pPr>
    </w:p>
    <w:p>
      <w:pPr>
        <w:ind w:left="138" w:right="20" w:hanging="138"/>
        <w:spacing w:after="0" w:line="243" w:lineRule="auto"/>
        <w:tabs>
          <w:tab w:leader="none" w:pos="138" w:val="left"/>
        </w:tabs>
        <w:numPr>
          <w:ilvl w:val="0"/>
          <w:numId w:val="39"/>
        </w:numPr>
        <w:rPr>
          <w:rFonts w:ascii="Arial" w:cs="Arial" w:eastAsia="Arial" w:hAnsi="Arial"/>
          <w:sz w:val="17"/>
          <w:szCs w:val="17"/>
          <w:color w:val="1CB6EA"/>
        </w:rPr>
      </w:pPr>
      <w:r>
        <w:rPr>
          <w:rFonts w:ascii="Arial" w:cs="Arial" w:eastAsia="Arial" w:hAnsi="Arial"/>
          <w:sz w:val="17"/>
          <w:szCs w:val="17"/>
          <w:color w:val="auto"/>
        </w:rPr>
        <w:t>policies regarding director access to management, employees and independent advisors;</w:t>
      </w:r>
    </w:p>
    <w:p>
      <w:pPr>
        <w:spacing w:after="0" w:line="49" w:lineRule="exact"/>
        <w:rPr>
          <w:rFonts w:ascii="Arial" w:cs="Arial" w:eastAsia="Arial" w:hAnsi="Arial"/>
          <w:sz w:val="17"/>
          <w:szCs w:val="17"/>
          <w:color w:val="1CB6EA"/>
        </w:rPr>
      </w:pPr>
    </w:p>
    <w:p>
      <w:pPr>
        <w:jc w:val="both"/>
        <w:ind w:left="138" w:right="20" w:hanging="138"/>
        <w:spacing w:after="0" w:line="238" w:lineRule="auto"/>
        <w:tabs>
          <w:tab w:leader="none" w:pos="138" w:val="left"/>
        </w:tabs>
        <w:numPr>
          <w:ilvl w:val="0"/>
          <w:numId w:val="39"/>
        </w:numPr>
        <w:rPr>
          <w:rFonts w:ascii="Arial" w:cs="Arial" w:eastAsia="Arial" w:hAnsi="Arial"/>
          <w:sz w:val="17"/>
          <w:szCs w:val="17"/>
          <w:color w:val="1CB6EA"/>
        </w:rPr>
      </w:pPr>
      <w:r>
        <w:rPr>
          <w:rFonts w:ascii="Arial" w:cs="Arial" w:eastAsia="Arial" w:hAnsi="Arial"/>
          <w:sz w:val="17"/>
          <w:szCs w:val="17"/>
          <w:color w:val="auto"/>
        </w:rPr>
        <w:t>the roles of the independent and non-management directors in reviewing the performance of our President and Chief Executive Officer and in executive succession planning; and</w:t>
      </w:r>
    </w:p>
    <w:p>
      <w:pPr>
        <w:spacing w:after="0" w:line="53" w:lineRule="exact"/>
        <w:rPr>
          <w:rFonts w:ascii="Arial" w:cs="Arial" w:eastAsia="Arial" w:hAnsi="Arial"/>
          <w:sz w:val="17"/>
          <w:szCs w:val="17"/>
          <w:color w:val="1CB6EA"/>
        </w:rPr>
      </w:pPr>
    </w:p>
    <w:p>
      <w:pPr>
        <w:ind w:left="138" w:right="20" w:hanging="138"/>
        <w:spacing w:after="0" w:line="243" w:lineRule="auto"/>
        <w:tabs>
          <w:tab w:leader="none" w:pos="138" w:val="left"/>
        </w:tabs>
        <w:numPr>
          <w:ilvl w:val="0"/>
          <w:numId w:val="39"/>
        </w:numPr>
        <w:rPr>
          <w:rFonts w:ascii="Arial" w:cs="Arial" w:eastAsia="Arial" w:hAnsi="Arial"/>
          <w:sz w:val="17"/>
          <w:szCs w:val="17"/>
          <w:color w:val="1CB6EA"/>
        </w:rPr>
      </w:pPr>
      <w:r>
        <w:rPr>
          <w:rFonts w:ascii="Arial" w:cs="Arial" w:eastAsia="Arial" w:hAnsi="Arial"/>
          <w:sz w:val="17"/>
          <w:szCs w:val="17"/>
          <w:color w:val="auto"/>
        </w:rPr>
        <w:t>the annual self-assessment by the Board and each Committee to evaluate their effectiveness.</w:t>
      </w:r>
    </w:p>
    <w:p>
      <w:pPr>
        <w:spacing w:after="0" w:line="250" w:lineRule="exact"/>
        <w:rPr>
          <w:sz w:val="20"/>
          <w:szCs w:val="20"/>
          <w:color w:val="auto"/>
        </w:rPr>
      </w:pPr>
    </w:p>
    <w:p>
      <w:pPr>
        <w:sectPr>
          <w:pgSz w:w="11900" w:h="16838" w:orient="portrait"/>
          <w:cols w:equalWidth="0" w:num="2">
            <w:col w:w="5480" w:space="462"/>
            <w:col w:w="5478"/>
          </w:cols>
          <w:pgMar w:left="240" w:top="125"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Committee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35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As discussed in more detail in the descriptions of our Board Committees under “Our Board of Directors — Board Committees,” each of our Board Committees operates under a written charter adopted by the Board. The charters set forth the purpose, objectives and responsibilities of the respective Committee and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discuss matters such as Committee membership requirements, number of meetings and the setting of meeting agendas. The charters are assessed annually by the Governance and Nominating Committee and the respective Committee and are updated by the Board as needed.</w:t>
      </w:r>
    </w:p>
    <w:p>
      <w:pPr>
        <w:spacing w:after="0" w:line="388"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Viacom Global Business Practices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34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GBPS encompasses our standards for ethical conduct that are expected of all directors and employees of Viacom and its subsidiaries.</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GBPS is updated periodically and reviewed with, and approved by, the Audit Committee.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20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GBPS has been distributed to our directors and employees worldwide. As part of our compliance and ethics programs, directors and employees receive regular training on the contents of the GBPS and, where permitted, are required to certify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420370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compliance with it. They are also required to disclose any conflicts or potential conflicts of interest on an ongoing basis and appropriately report on suspected violations of the GBPS. The GBPS addresses, among other things, topics such as:</w:t>
      </w:r>
    </w:p>
    <w:p>
      <w:pPr>
        <w:spacing w:after="0" w:line="68"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compliance with laws, rules and regulations;</w:t>
      </w:r>
    </w:p>
    <w:p>
      <w:pPr>
        <w:spacing w:after="0" w:line="61"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conflicts of interest and interference, including the disclosure of actual or potential conflicts;</w:t>
      </w:r>
    </w:p>
    <w:p>
      <w:pPr>
        <w:spacing w:after="0" w:line="49" w:lineRule="exact"/>
        <w:rPr>
          <w:rFonts w:ascii="Arial" w:cs="Arial" w:eastAsia="Arial" w:hAnsi="Arial"/>
          <w:sz w:val="17"/>
          <w:szCs w:val="17"/>
          <w:color w:val="1CB6EA"/>
        </w:rPr>
      </w:pPr>
    </w:p>
    <w:p>
      <w:pPr>
        <w:ind w:left="140" w:hanging="132"/>
        <w:spacing w:after="0"/>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confidentiality, transactions in securities and fair disclosure;</w:t>
      </w:r>
    </w:p>
    <w:p>
      <w:pPr>
        <w:spacing w:after="0" w:line="61" w:lineRule="exact"/>
        <w:rPr>
          <w:rFonts w:ascii="Arial" w:cs="Arial" w:eastAsia="Arial" w:hAnsi="Arial"/>
          <w:sz w:val="17"/>
          <w:szCs w:val="17"/>
          <w:color w:val="1CB6EA"/>
        </w:rPr>
      </w:pPr>
    </w:p>
    <w:p>
      <w:pPr>
        <w:ind w:left="140" w:hanging="132"/>
        <w:spacing w:after="0"/>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financial accounting and improper payments;</w:t>
      </w:r>
    </w:p>
    <w:p>
      <w:pPr>
        <w:spacing w:after="0" w:line="61"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our commitment to being an equal opportunity employer and providing a workplace environment free of harassment and improper bias;</w:t>
      </w:r>
    </w:p>
    <w:p>
      <w:pPr>
        <w:spacing w:after="0" w:line="49" w:lineRule="exact"/>
        <w:rPr>
          <w:rFonts w:ascii="Arial" w:cs="Arial" w:eastAsia="Arial" w:hAnsi="Arial"/>
          <w:sz w:val="17"/>
          <w:szCs w:val="17"/>
          <w:color w:val="1CB6EA"/>
        </w:rPr>
      </w:pPr>
    </w:p>
    <w:p>
      <w:pPr>
        <w:ind w:left="140" w:hanging="132"/>
        <w:spacing w:after="0"/>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fair dealing and relations with competitors, customers and suppliers;</w:t>
      </w:r>
    </w:p>
    <w:p>
      <w:pPr>
        <w:spacing w:after="0" w:line="61" w:lineRule="exact"/>
        <w:rPr>
          <w:rFonts w:ascii="Arial" w:cs="Arial" w:eastAsia="Arial" w:hAnsi="Arial"/>
          <w:sz w:val="17"/>
          <w:szCs w:val="17"/>
          <w:color w:val="1CB6EA"/>
        </w:rPr>
      </w:pPr>
    </w:p>
    <w:p>
      <w:pPr>
        <w:ind w:left="140" w:hanging="132"/>
        <w:spacing w:after="0"/>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connecting, communicating and sharing through social media;</w:t>
      </w:r>
    </w:p>
    <w:p>
      <w:pPr>
        <w:spacing w:after="0" w:line="61"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protection and proper use of company assets, information systems and electronic communications;</w:t>
      </w:r>
    </w:p>
    <w:p>
      <w:pPr>
        <w:spacing w:after="0" w:line="49" w:lineRule="exact"/>
        <w:rPr>
          <w:rFonts w:ascii="Arial" w:cs="Arial" w:eastAsia="Arial" w:hAnsi="Arial"/>
          <w:sz w:val="17"/>
          <w:szCs w:val="17"/>
          <w:color w:val="1CB6EA"/>
        </w:rPr>
      </w:pPr>
    </w:p>
    <w:p>
      <w:pPr>
        <w:ind w:left="140" w:hanging="132"/>
        <w:spacing w:after="0"/>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privacy, data security and information protection;</w:t>
      </w:r>
    </w:p>
    <w:p>
      <w:pPr>
        <w:spacing w:after="0" w:line="61" w:lineRule="exact"/>
        <w:rPr>
          <w:rFonts w:ascii="Arial" w:cs="Arial" w:eastAsia="Arial" w:hAnsi="Arial"/>
          <w:sz w:val="17"/>
          <w:szCs w:val="17"/>
          <w:color w:val="1CB6EA"/>
        </w:rPr>
      </w:pPr>
    </w:p>
    <w:p>
      <w:pPr>
        <w:ind w:left="140" w:right="20" w:hanging="132"/>
        <w:spacing w:after="0" w:line="243" w:lineRule="auto"/>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anti-corruption laws such as the Foreign Corrupt Practices Act and the UK Bribery Act;</w:t>
      </w:r>
    </w:p>
    <w:p>
      <w:pPr>
        <w:spacing w:after="0" w:line="49" w:lineRule="exact"/>
        <w:rPr>
          <w:rFonts w:ascii="Arial" w:cs="Arial" w:eastAsia="Arial" w:hAnsi="Arial"/>
          <w:sz w:val="17"/>
          <w:szCs w:val="17"/>
          <w:color w:val="1CB6EA"/>
        </w:rPr>
      </w:pPr>
    </w:p>
    <w:p>
      <w:pPr>
        <w:ind w:left="140" w:hanging="132"/>
        <w:spacing w:after="0"/>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export control and anti-boycott laws;</w:t>
      </w:r>
    </w:p>
    <w:p>
      <w:pPr>
        <w:spacing w:after="0" w:line="61" w:lineRule="exact"/>
        <w:rPr>
          <w:rFonts w:ascii="Arial" w:cs="Arial" w:eastAsia="Arial" w:hAnsi="Arial"/>
          <w:sz w:val="17"/>
          <w:szCs w:val="17"/>
          <w:color w:val="1CB6EA"/>
        </w:rPr>
      </w:pPr>
    </w:p>
    <w:p>
      <w:pPr>
        <w:ind w:left="140" w:hanging="132"/>
        <w:spacing w:after="0"/>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health, safety and the environment; and</w:t>
      </w:r>
    </w:p>
    <w:p>
      <w:pPr>
        <w:spacing w:after="0" w:line="61" w:lineRule="exact"/>
        <w:rPr>
          <w:rFonts w:ascii="Arial" w:cs="Arial" w:eastAsia="Arial" w:hAnsi="Arial"/>
          <w:sz w:val="17"/>
          <w:szCs w:val="17"/>
          <w:color w:val="1CB6EA"/>
        </w:rPr>
      </w:pPr>
    </w:p>
    <w:p>
      <w:pPr>
        <w:ind w:left="140" w:hanging="132"/>
        <w:spacing w:after="0"/>
        <w:tabs>
          <w:tab w:leader="none" w:pos="140" w:val="left"/>
        </w:tabs>
        <w:numPr>
          <w:ilvl w:val="0"/>
          <w:numId w:val="40"/>
        </w:numPr>
        <w:rPr>
          <w:rFonts w:ascii="Arial" w:cs="Arial" w:eastAsia="Arial" w:hAnsi="Arial"/>
          <w:sz w:val="17"/>
          <w:szCs w:val="17"/>
          <w:color w:val="1CB6EA"/>
        </w:rPr>
      </w:pPr>
      <w:r>
        <w:rPr>
          <w:rFonts w:ascii="Arial" w:cs="Arial" w:eastAsia="Arial" w:hAnsi="Arial"/>
          <w:sz w:val="17"/>
          <w:szCs w:val="17"/>
          <w:color w:val="auto"/>
        </w:rPr>
        <w:t>political contributions.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FFFFFF"/>
          <w:shd w:val="clear" w:color="auto" w:fill="1CB6EA"/>
        </w:rPr>
        <w:t>CORPORATE GOVERNANCE</w:t>
      </w:r>
    </w:p>
    <w:p>
      <w:pPr>
        <w:spacing w:after="0" w:line="238"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The GBPS also identifies numerous avenues for employees to report violations of the GBPS, matters of alleged financial impropriety and any other matters of concern, anonymously or with attribution, to the appropriate officers of Viacom and/or the Audit Committee. These avenues include telephone hotlines (in the United States and for numerous international locations), email contacts and reporting through various internal websites at Viacom and its business divisions. The GBPS makes clear that retaliation against an employee who makes a report in good faith will not be tolerated.</w:t>
      </w:r>
    </w:p>
    <w:p>
      <w:pPr>
        <w:spacing w:after="0" w:line="67"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Our Senior Vice President, Chief Audit and Compliance Officer, reports to the Audit Committee and has oversight responsibility for our compliance and ethics programs. Together with senior executives of various disciplines from Viacom and its business divisions, he regularly reviews and updates the GBPS policies, and generates more detailed policies and training for those officers and employees engaged in activities that warrant additional focus, such as conducting business internationally. We also require that our suppliers comply with pertinent elements of our business conduct policies.</w:t>
      </w:r>
    </w:p>
    <w:p>
      <w:pPr>
        <w:spacing w:after="0" w:line="5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 xml:space="preserve">Waivers of the GBPS for our executive officers and directors will be disclosed on our website at </w:t>
      </w:r>
      <w:r>
        <w:rPr>
          <w:rFonts w:ascii="Arial" w:cs="Arial" w:eastAsia="Arial" w:hAnsi="Arial"/>
          <w:sz w:val="17"/>
          <w:szCs w:val="17"/>
          <w:u w:val="single" w:color="auto"/>
          <w:color w:val="auto"/>
        </w:rPr>
        <w:t>www.viacom.com</w:t>
      </w:r>
      <w:r>
        <w:rPr>
          <w:rFonts w:ascii="Arial" w:cs="Arial" w:eastAsia="Arial" w:hAnsi="Arial"/>
          <w:sz w:val="17"/>
          <w:szCs w:val="17"/>
          <w:color w:val="auto"/>
        </w:rPr>
        <w:t xml:space="preserve"> or by Form 8-K filed with the SEC.</w:t>
      </w:r>
    </w:p>
    <w:p>
      <w:pPr>
        <w:spacing w:after="0" w:line="934" w:lineRule="exact"/>
        <w:rPr>
          <w:sz w:val="20"/>
          <w:szCs w:val="20"/>
          <w:color w:val="auto"/>
        </w:rPr>
      </w:pPr>
    </w:p>
    <w:p>
      <w:pPr>
        <w:sectPr>
          <w:pgSz w:w="11900" w:h="16838" w:orient="portrait"/>
          <w:cols w:equalWidth="0" w:num="2">
            <w:col w:w="5480" w:space="460"/>
            <w:col w:w="5500"/>
          </w:cols>
          <w:pgMar w:left="240" w:top="125" w:right="219" w:bottom="1440" w:gutter="0" w:footer="0" w:header="0"/>
        </w:sect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Supplemental Code of Ethics for Senior Financial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Supplemental Code of Ethics for Senior Financial Officers is applicable to our President and Chief Executive Officer, Chief Financial Officer and Chief Accounting Officer. The Supplemental Code of Ethics addresses matters specific to those senior financial positions at Viacom, including responsibility for the disclosures made in our filings with the SEC, reporting obligations with respect to certain matters and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general obligation to promote honest and ethical conduct within Viacom. As with all employees, the Senior Financial Officers are also required to comply with the GBPS.</w:t>
      </w:r>
    </w:p>
    <w:p>
      <w:pPr>
        <w:spacing w:after="0" w:line="67"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 xml:space="preserve">Amendments to or waivers of the Supplemental Code of Ethics for these officers will be disclosed on our website at </w:t>
      </w:r>
      <w:r>
        <w:rPr>
          <w:rFonts w:ascii="Arial" w:cs="Arial" w:eastAsia="Arial" w:hAnsi="Arial"/>
          <w:sz w:val="17"/>
          <w:szCs w:val="17"/>
          <w:u w:val="single" w:color="auto"/>
          <w:color w:val="auto"/>
        </w:rPr>
        <w:t>www.viacom.com</w:t>
      </w:r>
      <w:r>
        <w:rPr>
          <w:rFonts w:ascii="Arial" w:cs="Arial" w:eastAsia="Arial" w:hAnsi="Arial"/>
          <w:sz w:val="17"/>
          <w:szCs w:val="17"/>
          <w:color w:val="auto"/>
        </w:rPr>
        <w:t xml:space="preserve"> or by Form 8-K filed with the SEC.</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21</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OUR COMMITMENT TO CULTURE AND CORPORATE RESPONSIBILITY</w:t>
      </w:r>
    </w:p>
    <w:p>
      <w:pPr>
        <w:spacing w:after="0" w:line="160" w:lineRule="exact"/>
        <w:rPr>
          <w:sz w:val="20"/>
          <w:szCs w:val="20"/>
          <w:color w:val="auto"/>
        </w:rPr>
      </w:pPr>
    </w:p>
    <w:p>
      <w:pPr>
        <w:ind w:right="1480"/>
        <w:spacing w:after="0" w:line="274" w:lineRule="auto"/>
        <w:rPr>
          <w:sz w:val="20"/>
          <w:szCs w:val="20"/>
          <w:color w:val="auto"/>
        </w:rPr>
      </w:pPr>
      <w:r>
        <w:rPr>
          <w:rFonts w:ascii="Arial" w:cs="Arial" w:eastAsia="Arial" w:hAnsi="Arial"/>
          <w:sz w:val="40"/>
          <w:szCs w:val="40"/>
          <w:b w:val="1"/>
          <w:bCs w:val="1"/>
          <w:color w:val="1CB6EA"/>
        </w:rPr>
        <w:t>OUR COMMITMENT TO CULTURE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initiatives relating to culture and corporate responsibility are numerous and varied, and reflect our core values and beliefs — from our programs to support employees who volunteer in their communities, to our brands’ campaigns that empower our audiences to take action, to our environmental conservation efforts at our global offices, to our commitment to create and champion a diverse, multicultural workforce in a dynamic environment where all employees can achieve and contribute.</w:t>
      </w:r>
    </w:p>
    <w:p>
      <w:pPr>
        <w:spacing w:after="0" w:line="5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employees are fundamental to our success. Their creativity and energy fuel our business, and their commitment to volunteering, community activism and advocating for equality is the driving force behind so many of our social impact efforts. Our Office of Global Inclusion — with teams in New York, Los Angeles and London — works closely with our senior leaders, including those on our Global Inclusion Advisory Committee, to harness the diverse creativity of our workface to fuel their leadership growth and keep us connected to multicultural audiences around the world. We have engaged Employee Resource Groups (“ERGs”) that reach across our brands to provide a forum for employees to flourish personally and professionally while facilitating strong connections to the community. With locations worldwide, spanning various cultures and more than 50% of our workforce, our employee-led ERGs are a key catalyst to prioritize culture in our organization.</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Minority Supplier Diversity Program formally launched in 2018 and is quickly executing against our plans to increase procurement from gender and ethnically diverse businesses. Our Executive Vice President, Global Head of Inclusion Strategy, reports periodically to the Board on a variety of diversity and inclusion matters.</w:t>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also have a dedicated team driving our social impact and purpose-driven initiatives, under the global umbrella “Viacommunity.” By leveraging our diverse culture, Viacommunity offers programs that empower, engage and inspire our employees, audiences and company to make a real difference in our communities around the world. A few examples of our efforts follow:</w:t>
      </w:r>
    </w:p>
    <w:p>
      <w:pPr>
        <w:spacing w:after="0" w:line="54" w:lineRule="exact"/>
        <w:rPr>
          <w:sz w:val="20"/>
          <w:szCs w:val="20"/>
          <w:color w:val="auto"/>
        </w:rPr>
      </w:pPr>
    </w:p>
    <w:p>
      <w:pPr>
        <w:jc w:val="both"/>
        <w:ind w:left="140" w:hanging="132"/>
        <w:spacing w:after="0" w:line="236" w:lineRule="auto"/>
        <w:tabs>
          <w:tab w:leader="none" w:pos="140" w:val="left"/>
        </w:tabs>
        <w:numPr>
          <w:ilvl w:val="0"/>
          <w:numId w:val="41"/>
        </w:numPr>
        <w:rPr>
          <w:rFonts w:ascii="Arial" w:cs="Arial" w:eastAsia="Arial" w:hAnsi="Arial"/>
          <w:sz w:val="17"/>
          <w:szCs w:val="17"/>
          <w:color w:val="1CB6EA"/>
        </w:rPr>
      </w:pPr>
      <w:r>
        <w:rPr>
          <w:rFonts w:ascii="Arial" w:cs="Arial" w:eastAsia="Arial" w:hAnsi="Arial"/>
          <w:sz w:val="17"/>
          <w:szCs w:val="17"/>
          <w:color w:val="auto"/>
        </w:rPr>
        <w:t>Viacommunity Day, our global day of service, offers over 100 opportunities for thousands of employees across Viacom, in 25 regions, to join together to volunteer in our communities each year. From beautifying local parks to mentoring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22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both"/>
        <w:ind w:left="138" w:right="20"/>
        <w:spacing w:after="0" w:line="238" w:lineRule="auto"/>
        <w:rPr>
          <w:sz w:val="20"/>
          <w:szCs w:val="20"/>
          <w:color w:val="auto"/>
        </w:rPr>
      </w:pPr>
      <w:r>
        <w:rPr>
          <w:rFonts w:ascii="Arial" w:cs="Arial" w:eastAsia="Arial" w:hAnsi="Arial"/>
          <w:sz w:val="17"/>
          <w:szCs w:val="17"/>
          <w:color w:val="auto"/>
        </w:rPr>
        <w:t>youth in schools to assembling kits for those in need and promoting many other types of volunteer activities, Viacommunity Day celebrated its 22nd year in 2018.</w:t>
      </w:r>
    </w:p>
    <w:p>
      <w:pPr>
        <w:spacing w:after="0" w:line="53" w:lineRule="exact"/>
        <w:rPr>
          <w:sz w:val="20"/>
          <w:szCs w:val="20"/>
          <w:color w:val="auto"/>
        </w:rPr>
      </w:pPr>
    </w:p>
    <w:p>
      <w:pPr>
        <w:jc w:val="both"/>
        <w:ind w:left="138" w:right="20" w:hanging="138"/>
        <w:spacing w:after="0" w:line="235" w:lineRule="auto"/>
        <w:tabs>
          <w:tab w:leader="none" w:pos="138" w:val="left"/>
        </w:tabs>
        <w:numPr>
          <w:ilvl w:val="0"/>
          <w:numId w:val="42"/>
        </w:numPr>
        <w:rPr>
          <w:rFonts w:ascii="Arial" w:cs="Arial" w:eastAsia="Arial" w:hAnsi="Arial"/>
          <w:sz w:val="17"/>
          <w:szCs w:val="17"/>
          <w:color w:val="1CB6EA"/>
        </w:rPr>
      </w:pPr>
      <w:r>
        <w:rPr>
          <w:rFonts w:ascii="Arial" w:cs="Arial" w:eastAsia="Arial" w:hAnsi="Arial"/>
          <w:sz w:val="17"/>
          <w:szCs w:val="17"/>
          <w:color w:val="auto"/>
        </w:rPr>
        <w:t>For over eight years, Nickelodeon’s Helping And Leading Others (“HALO”) initiative celebrates the extraordinary impact that kids can have in their neighborhoods and beyond — as activists, fundraisers, visionaries and volunteers. To date, 100 kids have been honored as HALO award winners and $500,000 has been donated to non-profit organizations in the form of scholarships and seed grants.</w:t>
      </w:r>
    </w:p>
    <w:p>
      <w:pPr>
        <w:spacing w:after="0" w:line="53" w:lineRule="exact"/>
        <w:rPr>
          <w:rFonts w:ascii="Arial" w:cs="Arial" w:eastAsia="Arial" w:hAnsi="Arial"/>
          <w:sz w:val="17"/>
          <w:szCs w:val="17"/>
          <w:color w:val="1CB6EA"/>
        </w:rPr>
      </w:pPr>
    </w:p>
    <w:p>
      <w:pPr>
        <w:jc w:val="both"/>
        <w:ind w:left="138" w:right="20" w:hanging="138"/>
        <w:spacing w:after="0" w:line="235" w:lineRule="auto"/>
        <w:tabs>
          <w:tab w:leader="none" w:pos="138" w:val="left"/>
        </w:tabs>
        <w:numPr>
          <w:ilvl w:val="0"/>
          <w:numId w:val="42"/>
        </w:numPr>
        <w:rPr>
          <w:rFonts w:ascii="Arial" w:cs="Arial" w:eastAsia="Arial" w:hAnsi="Arial"/>
          <w:sz w:val="17"/>
          <w:szCs w:val="17"/>
          <w:color w:val="1CB6EA"/>
        </w:rPr>
      </w:pPr>
      <w:r>
        <w:rPr>
          <w:rFonts w:ascii="Arial" w:cs="Arial" w:eastAsia="Arial" w:hAnsi="Arial"/>
          <w:sz w:val="17"/>
          <w:szCs w:val="17"/>
          <w:color w:val="auto"/>
        </w:rPr>
        <w:t>For 15 years, Nickelodeon’s Worldwide Day of Play has championed active play as essential for all kids. Emphasizing participation in underserved communities, and with the help of an alliance of more than 40 youth and sports partners, Nickelodeon engages more than 1 million kids and families annually through on-the-ground events.</w:t>
      </w:r>
    </w:p>
    <w:p>
      <w:pPr>
        <w:spacing w:after="0" w:line="55" w:lineRule="exact"/>
        <w:rPr>
          <w:rFonts w:ascii="Arial" w:cs="Arial" w:eastAsia="Arial" w:hAnsi="Arial"/>
          <w:sz w:val="17"/>
          <w:szCs w:val="17"/>
          <w:color w:val="1CB6EA"/>
        </w:rPr>
      </w:pPr>
    </w:p>
    <w:p>
      <w:pPr>
        <w:jc w:val="both"/>
        <w:ind w:left="138" w:right="20" w:hanging="138"/>
        <w:spacing w:after="0" w:line="234" w:lineRule="auto"/>
        <w:tabs>
          <w:tab w:leader="none" w:pos="138" w:val="left"/>
        </w:tabs>
        <w:numPr>
          <w:ilvl w:val="0"/>
          <w:numId w:val="42"/>
        </w:numPr>
        <w:rPr>
          <w:rFonts w:ascii="Arial" w:cs="Arial" w:eastAsia="Arial" w:hAnsi="Arial"/>
          <w:sz w:val="17"/>
          <w:szCs w:val="17"/>
          <w:color w:val="1CB6EA"/>
        </w:rPr>
      </w:pPr>
      <w:r>
        <w:rPr>
          <w:rFonts w:ascii="Arial" w:cs="Arial" w:eastAsia="Arial" w:hAnsi="Arial"/>
          <w:sz w:val="17"/>
          <w:szCs w:val="17"/>
          <w:color w:val="auto"/>
        </w:rPr>
        <w:t>Since 2014, our Unlimited Potential (“UP”) program has connected Viacom employees in New York City with promising high school students for mentoring and other forms of career and college readiness. The students meet with a supportive adult and are able to see a large media company firsthand, while building real and marketable skills. To date, more than 250 employees have given their time, energy and insights as UP mentors, and more than 200 young people have received mentoring.</w:t>
      </w:r>
    </w:p>
    <w:p>
      <w:pPr>
        <w:spacing w:after="0" w:line="55" w:lineRule="exact"/>
        <w:rPr>
          <w:rFonts w:ascii="Arial" w:cs="Arial" w:eastAsia="Arial" w:hAnsi="Arial"/>
          <w:sz w:val="17"/>
          <w:szCs w:val="17"/>
          <w:color w:val="1CB6EA"/>
        </w:rPr>
      </w:pPr>
    </w:p>
    <w:p>
      <w:pPr>
        <w:jc w:val="both"/>
        <w:ind w:left="138" w:hanging="138"/>
        <w:spacing w:after="0" w:line="235" w:lineRule="auto"/>
        <w:tabs>
          <w:tab w:leader="none" w:pos="138" w:val="left"/>
        </w:tabs>
        <w:numPr>
          <w:ilvl w:val="0"/>
          <w:numId w:val="42"/>
        </w:numPr>
        <w:rPr>
          <w:rFonts w:ascii="Arial" w:cs="Arial" w:eastAsia="Arial" w:hAnsi="Arial"/>
          <w:sz w:val="17"/>
          <w:szCs w:val="17"/>
          <w:color w:val="1CB6EA"/>
        </w:rPr>
      </w:pPr>
      <w:r>
        <w:rPr>
          <w:rFonts w:ascii="Arial" w:cs="Arial" w:eastAsia="Arial" w:hAnsi="Arial"/>
          <w:sz w:val="17"/>
          <w:szCs w:val="17"/>
          <w:color w:val="auto"/>
        </w:rPr>
        <w:t>In partnership with Viacom, the Get Schooled Foundation leverages the power of pop culture to inspire and empower students to graduate from high school and succeed in college. Get Schooled partners with over 2,000 middle and high schools, and engages close to two million students, nationwide.</w:t>
      </w:r>
    </w:p>
    <w:p>
      <w:pPr>
        <w:spacing w:after="0" w:line="55" w:lineRule="exact"/>
        <w:rPr>
          <w:rFonts w:ascii="Arial" w:cs="Arial" w:eastAsia="Arial" w:hAnsi="Arial"/>
          <w:sz w:val="17"/>
          <w:szCs w:val="17"/>
          <w:color w:val="1CB6EA"/>
        </w:rPr>
      </w:pPr>
    </w:p>
    <w:p>
      <w:pPr>
        <w:jc w:val="both"/>
        <w:ind w:left="138" w:hanging="138"/>
        <w:spacing w:after="0" w:line="234" w:lineRule="auto"/>
        <w:tabs>
          <w:tab w:leader="none" w:pos="138" w:val="left"/>
        </w:tabs>
        <w:numPr>
          <w:ilvl w:val="0"/>
          <w:numId w:val="42"/>
        </w:numPr>
        <w:rPr>
          <w:rFonts w:ascii="Arial" w:cs="Arial" w:eastAsia="Arial" w:hAnsi="Arial"/>
          <w:sz w:val="17"/>
          <w:szCs w:val="17"/>
          <w:color w:val="1CB6EA"/>
        </w:rPr>
      </w:pPr>
      <w:r>
        <w:rPr>
          <w:rFonts w:ascii="Arial" w:cs="Arial" w:eastAsia="Arial" w:hAnsi="Arial"/>
          <w:sz w:val="17"/>
          <w:szCs w:val="17"/>
          <w:color w:val="auto"/>
        </w:rPr>
        <w:t>For 20 years, the MTV Staying Alive Foundation has worked around the world to stop the spread of HIV among young people. MTV Staying Alive uses original content to deliver information about HIV and sexual reproductive health and rights to vast audiences. To date, MTV Staying Alive has funded 208 youth-led sexual health organizations, trained 21,000 peer educators, awarded more than $6 million in grants, distributed 9.5 million condoms and helped 260,000 people get tested for HIV.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695325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2"/>
            <w:col w:w="5478"/>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At Viacom, we strive to support sustainable living and business. We recently removed plastic bottles and straws from all in-house catering at our locations throughout the United States and provided thousands of employees with reusable metal water bottles and unlimited access to filtered water. At our headquarters in New York, there will now be approximately 520,000 fewer plastic bottles and 80,000 fewer plastic straws used each year — equivalent to about 20,000 pounds of plastic.</w:t>
      </w:r>
    </w:p>
    <w:p>
      <w:pPr>
        <w:spacing w:after="0" w:line="5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Through its long-running initiative “Green. It’s paramount to us,” Paramount tries to boost sustainability in every aspect of its work. The studio plays an active part in the industry-wide coalition that drafted the Green Production Guide and other tools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FFFFFF"/>
        </w:rPr>
        <w:t>OUR COMMITMENT TO CULTURE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-118745</wp:posOffset>
            </wp:positionV>
            <wp:extent cx="315595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55950" cy="154305"/>
                    </a:xfrm>
                    <a:prstGeom prst="rect">
                      <a:avLst/>
                    </a:prstGeom>
                    <a:noFill/>
                  </pic:spPr>
                </pic:pic>
              </a:graphicData>
            </a:graphic>
          </wp:anchor>
        </w:drawing>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designed to promote sustainable practices on set, and has also taken steps to make its facilities greener, including by installing a low-carbon alternative energy plant that saves more than 10 million KW hours of electricity per year.</w:t>
      </w:r>
    </w:p>
    <w:p>
      <w:pPr>
        <w:spacing w:after="0" w:line="5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By making our facilities more efficient, we are also working to save energy, water and waste. For example, our Burbank and Hollywood locations both achieved the U.S. Green Building Council’s LEED Gold certification. We are continuing to install energy-efficient equipment and LED fixtures in place of older lighting, and we’re monitoring our usage, year over year, to find even more ways to reduce our footprint.</w:t>
      </w:r>
    </w:p>
    <w:p>
      <w:pPr>
        <w:spacing w:after="0" w:line="6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continue to explore ways to strengthen our culture and corporate responsibility framework.</w:t>
      </w:r>
    </w:p>
    <w:p>
      <w:pPr>
        <w:spacing w:after="0" w:line="299" w:lineRule="exact"/>
        <w:rPr>
          <w:sz w:val="20"/>
          <w:szCs w:val="20"/>
          <w:color w:val="auto"/>
        </w:rPr>
      </w:pPr>
    </w:p>
    <w:tbl>
      <w:tblPr>
        <w:tblLayout w:type="fixed"/>
        <w:tblInd w:w="980" w:type="dxa"/>
        <w:tblCellMar>
          <w:top w:w="0" w:type="dxa"/>
          <w:left w:w="0" w:type="dxa"/>
          <w:bottom w:w="0" w:type="dxa"/>
          <w:right w:w="0" w:type="dxa"/>
        </w:tblCellMar>
      </w:tblPr>
      <w:tr>
        <w:trPr>
          <w:trHeight w:val="419"/>
        </w:trPr>
        <w:tc>
          <w:tcPr>
            <w:tcW w:w="130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1CB6EA"/>
              </w:rPr>
              <w:t>VIACOM INC.</w:t>
            </w:r>
          </w:p>
        </w:tc>
        <w:tc>
          <w:tcPr>
            <w:tcW w:w="320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64770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DIRECTOR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39"/>
          <w:szCs w:val="39"/>
          <w:b w:val="1"/>
          <w:bCs w:val="1"/>
          <w:color w:val="1CB6EA"/>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Directors who are not employees of Viacom or any of its subsidiaries (the “Outside Directors”) are entitled to receive compensation for their service on the Board and are eligible to participate in certain director plans, as discussed below. Mses. Falcone Sorrell, McHale, Norville, Redstone and Seligman, and Messrs. May, Nelson and Phillips, are Outside Directors.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director compensation programs are overseen by our Governance and Nominating Committee, which makes recommendations at least every other year to the Board on the appropriate amount and structure of director compensation in light of then current competitive practice and other factors.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Governance and Nominating Committee receives advice from Pearl Meyer, the Compensation Committee’s independent compensation consultant, on director compensation matters, including our director compensation plans. In November 2017, the Governance and Nominating Committee, in consultation with Pearl Meyer, reviewed our director compensation program and determined not to recommend any changes to the Board at that time. The Governance and Nominating Committee again determined in November 2018 not to recommend to the Board any changes to our director compensation program.</w:t>
      </w:r>
    </w:p>
    <w:p>
      <w:pPr>
        <w:spacing w:after="0" w:line="657"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Outside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Cash Compensation</w:t>
      </w:r>
    </w:p>
    <w:p>
      <w:pPr>
        <w:sectPr>
          <w:pgSz w:w="11900" w:h="16838" w:orient="portrait"/>
          <w:cols w:equalWidth="0" w:num="1">
            <w:col w:w="11440"/>
          </w:cols>
          <w:pgMar w:left="240" w:top="125" w:right="21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We pay cash compensation to our Outside Directors as follows:</w:t>
      </w:r>
    </w:p>
    <w:p>
      <w:pPr>
        <w:spacing w:after="0" w:line="61" w:lineRule="exact"/>
        <w:rPr>
          <w:sz w:val="20"/>
          <w:szCs w:val="20"/>
          <w:color w:val="auto"/>
        </w:rPr>
      </w:pPr>
    </w:p>
    <w:p>
      <w:pPr>
        <w:jc w:val="both"/>
        <w:ind w:left="140" w:hanging="132"/>
        <w:spacing w:after="0" w:line="236" w:lineRule="auto"/>
        <w:tabs>
          <w:tab w:leader="none" w:pos="140" w:val="left"/>
        </w:tabs>
        <w:numPr>
          <w:ilvl w:val="0"/>
          <w:numId w:val="43"/>
        </w:numPr>
        <w:rPr>
          <w:rFonts w:ascii="Arial" w:cs="Arial" w:eastAsia="Arial" w:hAnsi="Arial"/>
          <w:sz w:val="17"/>
          <w:szCs w:val="17"/>
          <w:color w:val="1CB6EA"/>
        </w:rPr>
      </w:pPr>
      <w:r>
        <w:rPr>
          <w:rFonts w:ascii="Arial" w:cs="Arial" w:eastAsia="Arial" w:hAnsi="Arial"/>
          <w:sz w:val="17"/>
          <w:szCs w:val="17"/>
          <w:color w:val="auto"/>
        </w:rPr>
        <w:t>Our Chair receives an annual Board retainer of $300,000, our Vice Chair receives an annual retainer of $200,000 and all other Outside Directors receive an annual retainer of $100,000, in each case payable in equal installments quarterly in advance.</w:t>
      </w:r>
    </w:p>
    <w:p>
      <w:pPr>
        <w:spacing w:after="0" w:line="54"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43"/>
        </w:numPr>
        <w:rPr>
          <w:rFonts w:ascii="Arial" w:cs="Arial" w:eastAsia="Arial" w:hAnsi="Arial"/>
          <w:sz w:val="17"/>
          <w:szCs w:val="17"/>
          <w:color w:val="1CB6EA"/>
        </w:rPr>
      </w:pPr>
      <w:r>
        <w:rPr>
          <w:rFonts w:ascii="Arial" w:cs="Arial" w:eastAsia="Arial" w:hAnsi="Arial"/>
          <w:sz w:val="17"/>
          <w:szCs w:val="17"/>
          <w:color w:val="auto"/>
        </w:rPr>
        <w:t>The Chairs of the Audit and Compensation Committees each receive an annual retainer of</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both"/>
        <w:ind w:left="138" w:right="20"/>
        <w:spacing w:after="0" w:line="238" w:lineRule="auto"/>
        <w:rPr>
          <w:sz w:val="20"/>
          <w:szCs w:val="20"/>
          <w:color w:val="auto"/>
        </w:rPr>
      </w:pPr>
      <w:r>
        <w:rPr>
          <w:rFonts w:ascii="Arial" w:cs="Arial" w:eastAsia="Arial" w:hAnsi="Arial"/>
          <w:sz w:val="17"/>
          <w:szCs w:val="17"/>
          <w:color w:val="auto"/>
        </w:rPr>
        <w:t>$20,000, payable in equal installments quarterly in advance, and the members of those committees receive a per meeting attendance fee of $2,000.</w:t>
      </w:r>
    </w:p>
    <w:p>
      <w:pPr>
        <w:spacing w:after="0" w:line="53" w:lineRule="exact"/>
        <w:rPr>
          <w:sz w:val="20"/>
          <w:szCs w:val="20"/>
          <w:color w:val="auto"/>
        </w:rPr>
      </w:pPr>
    </w:p>
    <w:p>
      <w:pPr>
        <w:jc w:val="both"/>
        <w:ind w:left="138" w:right="40" w:hanging="138"/>
        <w:spacing w:after="0" w:line="236" w:lineRule="auto"/>
        <w:tabs>
          <w:tab w:leader="none" w:pos="138" w:val="left"/>
        </w:tabs>
        <w:numPr>
          <w:ilvl w:val="0"/>
          <w:numId w:val="44"/>
        </w:numPr>
        <w:rPr>
          <w:rFonts w:ascii="Arial" w:cs="Arial" w:eastAsia="Arial" w:hAnsi="Arial"/>
          <w:sz w:val="17"/>
          <w:szCs w:val="17"/>
          <w:color w:val="00BBE6"/>
        </w:rPr>
      </w:pPr>
      <w:r>
        <w:rPr>
          <w:rFonts w:ascii="Arial" w:cs="Arial" w:eastAsia="Arial" w:hAnsi="Arial"/>
          <w:sz w:val="17"/>
          <w:szCs w:val="17"/>
          <w:color w:val="auto"/>
        </w:rPr>
        <w:t>The Chair of the Governance and Nominating Committee receives an annual retainer of $15,000, payable in equal installments quarterly in advance, and the members of that committee receive a per meeting attendance fee of $1,500.</w:t>
      </w:r>
    </w:p>
    <w:p>
      <w:pPr>
        <w:spacing w:after="0" w:line="205" w:lineRule="exact"/>
        <w:rPr>
          <w:sz w:val="20"/>
          <w:szCs w:val="20"/>
          <w:color w:val="auto"/>
        </w:rPr>
      </w:pPr>
    </w:p>
    <w:p>
      <w:pPr>
        <w:sectPr>
          <w:pgSz w:w="11900" w:h="16838" w:orient="portrait"/>
          <w:cols w:equalWidth="0" w:num="2">
            <w:col w:w="5480" w:space="462"/>
            <w:col w:w="5498"/>
          </w:cols>
          <w:pgMar w:left="240" w:top="125" w:right="21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ectPr>
          <w:pgSz w:w="11900" w:h="16838" w:orient="portrait"/>
          <w:cols w:equalWidth="0" w:num="1">
            <w:col w:w="11440"/>
          </w:cols>
          <w:pgMar w:left="240" w:top="125" w:right="219" w:bottom="1440" w:gutter="0" w:footer="0" w:header="0"/>
          <w:type w:val="continuous"/>
        </w:sectPr>
      </w:pPr>
    </w:p>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Under the Viacom Inc. Deferred Compensation Plan for Outside Directors, Outside Directors may elect to defer their Board and Committee cash retainers and meeting fees for the upcoming calendar year. Deferred amounts are credited during a calendar quarter to an interest-bearing income account or a stock unit account in accordance with the director’s prior election.</w:t>
      </w:r>
    </w:p>
    <w:p>
      <w:pPr>
        <w:spacing w:after="0" w:line="5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Amounts credited to an income account bear interest at the prime rate in effect at the beginning of each calendar quarter and are paid in cash upon a director’s retirement from the Board.</w:t>
      </w:r>
    </w:p>
    <w:p>
      <w:pPr>
        <w:spacing w:after="0" w:line="6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Amounts credited to a stock unit account are deferred into a fixed number of fully-vested RSUs based on the value of our Class B common stock on the first day of the relevant calendar quarter. The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awarded RSUs will be settled in shares of Class B common stock.</w:t>
      </w:r>
    </w:p>
    <w:p>
      <w:pPr>
        <w:spacing w:after="0" w:line="61"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Whether paid in cash or in shares of Class B common stock, deferred amounts will be paid in either a lump sum or in three or five annual installments based on the director’s prior election, with the lump sum or initial annual installment becoming payable on the later of six months after the director leaves the Board or January 15 of the following year.</w:t>
      </w:r>
    </w:p>
    <w:p>
      <w:pPr>
        <w:spacing w:after="0" w:line="69"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For more information on the RSUs related to deferred cash compensation held by our Outside Directors as of December 15, 2018, see footnote (4) to the “Security Ownership of Certain Beneficial Owners and Management” table.</w:t>
      </w:r>
    </w:p>
    <w:p>
      <w:pPr>
        <w:spacing w:after="0" w:line="579"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24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Equity Compensation</w:t>
      </w:r>
    </w:p>
    <w:p>
      <w:pPr>
        <w:spacing w:after="0" w:line="26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Pursuant to the Viacom Inc. 2011 RSU Plan for Outside Directors, as amended and restated as of October 31, 2016, on January 31 of each year, our Outside Directors automatically receive an annual grant of restricted share units (“RSUs”) equal in value to $175,000 based on the closing price of our Class B common stock on NASDAQ on the date of grant. The RSUs vest one year from the date of grant and are payable in shares of Class B common stock upon vesting unless the Outside Director elects to defer settlement of the RSUs to a future date. Deferred RSUs will be paid in either a lump sum or in three or five annual installments based on the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FFFFFF"/>
          <w:shd w:val="clear" w:color="auto" w:fill="1CB6EA"/>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director’s prior election, with the lump sum or initial annual installment becoming payable on the later of six months after the director leaves the Board or January 31 of the following year. For more information on the RSUs related to deferred annual grants of RSUs held by our Outside Directors as of December 15, 2018, see footnote (4) to the “Security Ownership of Certain Beneficial Owners and Management” table.</w:t>
      </w:r>
    </w:p>
    <w:p>
      <w:pPr>
        <w:spacing w:after="0" w:line="9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Dividend equivalents are credited on the RSUs each time we pay a regular cash dividend on our Class B common stock until the RSUs are settled.</w:t>
      </w:r>
    </w:p>
    <w:p>
      <w:pPr>
        <w:spacing w:after="0" w:line="281" w:lineRule="exact"/>
        <w:rPr>
          <w:sz w:val="20"/>
          <w:szCs w:val="20"/>
          <w:color w:val="auto"/>
        </w:rPr>
      </w:pPr>
    </w:p>
    <w:p>
      <w:pPr>
        <w:sectPr>
          <w:pgSz w:w="11900" w:h="16838" w:orient="portrait"/>
          <w:cols w:equalWidth="0" w:num="2">
            <w:col w:w="5480" w:space="460"/>
            <w:col w:w="5500"/>
          </w:cols>
          <w:pgMar w:left="240" w:top="125" w:right="21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Stock Ownership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7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Under our Corporate Governance Guidelines, directors are expected to own shares of Viacom stock worth three times the standard annual Board retainer (or $300,000) within three years of becoming</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a director. RSUs received under the Deferred Compensation Plan for Outside Directors and the RSU Plan for Outside Directors count toward fulfilling the requirement.</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generally do not provide perquisites to our directors.</w:t>
      </w:r>
    </w:p>
    <w:p>
      <w:pPr>
        <w:spacing w:after="0" w:line="1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believe it is in our best interest for directors to participate in certain events throughout the year, and the Board has established a policy under which directors are allocated tickets without charge to attend specific events that have been designated as having a business purpose. Travel expenses to such events are reimbursed by us in accordance with our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ind w:right="40"/>
        <w:spacing w:after="0" w:line="243" w:lineRule="auto"/>
        <w:rPr>
          <w:sz w:val="20"/>
          <w:szCs w:val="20"/>
          <w:color w:val="auto"/>
        </w:rPr>
      </w:pPr>
      <w:r>
        <w:rPr>
          <w:rFonts w:ascii="Arial" w:cs="Arial" w:eastAsia="Arial" w:hAnsi="Arial"/>
          <w:sz w:val="17"/>
          <w:szCs w:val="17"/>
          <w:color w:val="auto"/>
        </w:rPr>
        <w:t>normal travel policies. The Governance and Nominating Committee is responsible for oversight of this policy.</w:t>
      </w:r>
    </w:p>
    <w:p>
      <w:pPr>
        <w:spacing w:after="0" w:line="90"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Occasionally, a director’s spouse may accompany him or her to Viacom events at our request. This policy involves a de minimis or no incremental cost to us, and we believe it serves a legitimate business purpose.</w:t>
      </w:r>
    </w:p>
    <w:p>
      <w:pPr>
        <w:spacing w:after="0" w:line="39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25</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DIRECTOR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Fiscal Year 2018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on compensation for services as an Outside Director for fiscal year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Fees Earned</w:t>
            </w: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9"/>
        </w:trPr>
        <w:tc>
          <w:tcPr>
            <w:tcW w:w="3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or</w:t>
            </w:r>
          </w:p>
        </w:tc>
        <w:tc>
          <w:tcPr>
            <w:tcW w:w="600" w:type="dxa"/>
            <w:vAlign w:val="bottom"/>
          </w:tcPr>
          <w:p>
            <w:pPr>
              <w:spacing w:after="0"/>
              <w:rPr>
                <w:sz w:val="13"/>
                <w:szCs w:val="13"/>
                <w:color w:val="auto"/>
              </w:rPr>
            </w:pPr>
          </w:p>
        </w:tc>
        <w:tc>
          <w:tcPr>
            <w:tcW w:w="1440" w:type="dxa"/>
            <w:vAlign w:val="bottom"/>
          </w:tcPr>
          <w:p>
            <w:pPr>
              <w:jc w:val="right"/>
              <w:ind w:right="529"/>
              <w:spacing w:after="0" w:line="159" w:lineRule="exact"/>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Compensation</w:t>
            </w: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9"/>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Paid in Cash</w:t>
            </w:r>
            <w:r>
              <w:rPr>
                <w:rFonts w:ascii="Arial" w:cs="Arial" w:eastAsia="Arial" w:hAnsi="Arial"/>
                <w:sz w:val="20"/>
                <w:szCs w:val="20"/>
                <w:b w:val="1"/>
                <w:bCs w:val="1"/>
                <w:color w:val="auto"/>
                <w:vertAlign w:val="superscript"/>
              </w:rPr>
              <w:t>(1)</w:t>
            </w:r>
          </w:p>
        </w:tc>
        <w:tc>
          <w:tcPr>
            <w:tcW w:w="6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89"/>
              <w:spacing w:after="0" w:line="17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20"/>
                <w:szCs w:val="20"/>
                <w:b w:val="1"/>
                <w:bCs w:val="1"/>
                <w:color w:val="auto"/>
                <w:vertAlign w:val="superscript"/>
              </w:rPr>
              <w:t>(2)</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Earnings</w:t>
            </w:r>
            <w:r>
              <w:rPr>
                <w:rFonts w:ascii="Arial" w:cs="Arial" w:eastAsia="Arial" w:hAnsi="Arial"/>
                <w:sz w:val="20"/>
                <w:szCs w:val="20"/>
                <w:b w:val="1"/>
                <w:bCs w:val="1"/>
                <w:color w:val="auto"/>
                <w:vertAlign w:val="superscript"/>
              </w:rPr>
              <w:t>(3)</w:t>
            </w: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169"/>
        </w:trPr>
        <w:tc>
          <w:tcPr>
            <w:tcW w:w="3060" w:type="dxa"/>
            <w:vAlign w:val="bottom"/>
            <w:shd w:val="clear" w:color="auto" w:fill="D8D8D8"/>
          </w:tcPr>
          <w:p>
            <w:pPr>
              <w:spacing w:after="0" w:line="169" w:lineRule="exact"/>
              <w:rPr>
                <w:sz w:val="20"/>
                <w:szCs w:val="20"/>
                <w:color w:val="auto"/>
              </w:rPr>
            </w:pPr>
            <w:r>
              <w:rPr>
                <w:rFonts w:ascii="Arial" w:cs="Arial" w:eastAsia="Arial" w:hAnsi="Arial"/>
                <w:sz w:val="12"/>
                <w:szCs w:val="12"/>
                <w:color w:val="auto"/>
              </w:rPr>
              <w:t xml:space="preserve">Cristiana Falcone Sorrell </w:t>
            </w:r>
            <w:r>
              <w:rPr>
                <w:rFonts w:ascii="Arial" w:cs="Arial" w:eastAsia="Arial" w:hAnsi="Arial"/>
                <w:sz w:val="19"/>
                <w:szCs w:val="19"/>
                <w:color w:val="auto"/>
                <w:vertAlign w:val="superscript"/>
              </w:rPr>
              <w:t>(4)</w:t>
            </w:r>
          </w:p>
        </w:tc>
        <w:tc>
          <w:tcPr>
            <w:tcW w:w="134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8D8D8"/>
          </w:tcPr>
          <w:p>
            <w:pPr>
              <w:jc w:val="right"/>
              <w:ind w:right="189"/>
              <w:spacing w:after="0"/>
              <w:rPr>
                <w:sz w:val="20"/>
                <w:szCs w:val="20"/>
                <w:color w:val="auto"/>
              </w:rPr>
            </w:pPr>
            <w:r>
              <w:rPr>
                <w:rFonts w:ascii="Arial" w:cs="Arial" w:eastAsia="Arial" w:hAnsi="Arial"/>
                <w:sz w:val="14"/>
                <w:szCs w:val="14"/>
                <w:color w:val="auto"/>
              </w:rPr>
              <w:t>104,535</w:t>
            </w:r>
          </w:p>
        </w:tc>
        <w:tc>
          <w:tcPr>
            <w:tcW w:w="600" w:type="dxa"/>
            <w:vAlign w:val="bottom"/>
            <w:shd w:val="clear" w:color="auto" w:fill="D8D8D8"/>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174,987</w:t>
            </w:r>
          </w:p>
        </w:tc>
        <w:tc>
          <w:tcPr>
            <w:tcW w:w="4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D8D8"/>
          </w:tcPr>
          <w:p>
            <w:pPr>
              <w:jc w:val="right"/>
              <w:ind w:right="189"/>
              <w:spacing w:after="0"/>
              <w:rPr>
                <w:sz w:val="20"/>
                <w:szCs w:val="20"/>
                <w:color w:val="auto"/>
              </w:rPr>
            </w:pPr>
            <w:r>
              <w:rPr>
                <w:rFonts w:ascii="Arial" w:cs="Arial" w:eastAsia="Arial" w:hAnsi="Arial"/>
                <w:sz w:val="14"/>
                <w:szCs w:val="14"/>
                <w:color w:val="auto"/>
              </w:rPr>
              <w:t>3,822</w:t>
            </w:r>
          </w:p>
        </w:tc>
        <w:tc>
          <w:tcPr>
            <w:tcW w:w="540" w:type="dxa"/>
            <w:vAlign w:val="bottom"/>
            <w:shd w:val="clear" w:color="auto" w:fill="D8D8D8"/>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283,344</w:t>
            </w:r>
          </w:p>
        </w:tc>
      </w:tr>
      <w:tr>
        <w:trPr>
          <w:trHeight w:val="176"/>
        </w:trPr>
        <w:tc>
          <w:tcPr>
            <w:tcW w:w="3060" w:type="dxa"/>
            <w:vAlign w:val="bottom"/>
          </w:tcPr>
          <w:p>
            <w:pPr>
              <w:spacing w:after="0" w:line="176" w:lineRule="exact"/>
              <w:rPr>
                <w:sz w:val="20"/>
                <w:szCs w:val="20"/>
                <w:color w:val="auto"/>
              </w:rPr>
            </w:pPr>
            <w:r>
              <w:rPr>
                <w:rFonts w:ascii="Arial" w:cs="Arial" w:eastAsia="Arial" w:hAnsi="Arial"/>
                <w:sz w:val="12"/>
                <w:szCs w:val="12"/>
                <w:color w:val="auto"/>
              </w:rPr>
              <w:t xml:space="preserve">Kenneth B. Lerer </w:t>
            </w:r>
            <w:r>
              <w:rPr>
                <w:rFonts w:ascii="Arial" w:cs="Arial" w:eastAsia="Arial" w:hAnsi="Arial"/>
                <w:sz w:val="20"/>
                <w:szCs w:val="20"/>
                <w:color w:val="auto"/>
                <w:vertAlign w:val="superscript"/>
              </w:rPr>
              <w:t>(5)</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89"/>
              <w:spacing w:after="0"/>
              <w:rPr>
                <w:sz w:val="20"/>
                <w:szCs w:val="20"/>
                <w:color w:val="auto"/>
              </w:rPr>
            </w:pPr>
            <w:r>
              <w:rPr>
                <w:rFonts w:ascii="Arial" w:cs="Arial" w:eastAsia="Arial" w:hAnsi="Arial"/>
                <w:sz w:val="14"/>
                <w:szCs w:val="14"/>
                <w:color w:val="auto"/>
              </w:rPr>
              <w:t>45,146</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174,987</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220,133</w:t>
            </w:r>
          </w:p>
        </w:tc>
      </w:tr>
      <w:tr>
        <w:trPr>
          <w:trHeight w:val="176"/>
        </w:trPr>
        <w:tc>
          <w:tcPr>
            <w:tcW w:w="3060" w:type="dxa"/>
            <w:vAlign w:val="bottom"/>
            <w:shd w:val="clear" w:color="auto" w:fill="D8D8D8"/>
          </w:tcPr>
          <w:p>
            <w:pPr>
              <w:spacing w:after="0" w:line="176" w:lineRule="exact"/>
              <w:rPr>
                <w:sz w:val="20"/>
                <w:szCs w:val="20"/>
                <w:color w:val="auto"/>
              </w:rPr>
            </w:pPr>
            <w:r>
              <w:rPr>
                <w:rFonts w:ascii="Arial" w:cs="Arial" w:eastAsia="Arial" w:hAnsi="Arial"/>
                <w:sz w:val="12"/>
                <w:szCs w:val="12"/>
                <w:color w:val="auto"/>
              </w:rPr>
              <w:t xml:space="preserve">Thomas J. May, Chair </w:t>
            </w:r>
            <w:r>
              <w:rPr>
                <w:rFonts w:ascii="Arial" w:cs="Arial" w:eastAsia="Arial" w:hAnsi="Arial"/>
                <w:sz w:val="20"/>
                <w:szCs w:val="20"/>
                <w:color w:val="auto"/>
                <w:vertAlign w:val="superscript"/>
              </w:rPr>
              <w:t>(6)</w:t>
            </w:r>
          </w:p>
        </w:tc>
        <w:tc>
          <w:tcPr>
            <w:tcW w:w="134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8D8D8"/>
          </w:tcPr>
          <w:p>
            <w:pPr>
              <w:jc w:val="right"/>
              <w:ind w:right="189"/>
              <w:spacing w:after="0"/>
              <w:rPr>
                <w:sz w:val="20"/>
                <w:szCs w:val="20"/>
                <w:color w:val="auto"/>
              </w:rPr>
            </w:pPr>
            <w:r>
              <w:rPr>
                <w:rFonts w:ascii="Arial" w:cs="Arial" w:eastAsia="Arial" w:hAnsi="Arial"/>
                <w:sz w:val="14"/>
                <w:szCs w:val="14"/>
                <w:color w:val="auto"/>
              </w:rPr>
              <w:t>488,035</w:t>
            </w:r>
          </w:p>
        </w:tc>
        <w:tc>
          <w:tcPr>
            <w:tcW w:w="600" w:type="dxa"/>
            <w:vAlign w:val="bottom"/>
            <w:shd w:val="clear" w:color="auto" w:fill="D8D8D8"/>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174,987</w:t>
            </w:r>
          </w:p>
        </w:tc>
        <w:tc>
          <w:tcPr>
            <w:tcW w:w="4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D8D8"/>
          </w:tcPr>
          <w:p>
            <w:pPr>
              <w:jc w:val="right"/>
              <w:ind w:right="189"/>
              <w:spacing w:after="0"/>
              <w:rPr>
                <w:sz w:val="20"/>
                <w:szCs w:val="20"/>
                <w:color w:val="auto"/>
              </w:rPr>
            </w:pPr>
            <w:r>
              <w:rPr>
                <w:rFonts w:ascii="Arial" w:cs="Arial" w:eastAsia="Arial" w:hAnsi="Arial"/>
                <w:sz w:val="14"/>
                <w:szCs w:val="14"/>
                <w:color w:val="auto"/>
              </w:rPr>
              <w:t>—</w:t>
            </w:r>
          </w:p>
        </w:tc>
        <w:tc>
          <w:tcPr>
            <w:tcW w:w="540" w:type="dxa"/>
            <w:vAlign w:val="bottom"/>
            <w:shd w:val="clear" w:color="auto" w:fill="D8D8D8"/>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663,022</w:t>
            </w:r>
          </w:p>
        </w:tc>
      </w:tr>
      <w:tr>
        <w:trPr>
          <w:trHeight w:val="176"/>
        </w:trPr>
        <w:tc>
          <w:tcPr>
            <w:tcW w:w="3060" w:type="dxa"/>
            <w:vAlign w:val="bottom"/>
          </w:tcPr>
          <w:p>
            <w:pPr>
              <w:spacing w:after="0" w:line="176" w:lineRule="exact"/>
              <w:rPr>
                <w:sz w:val="20"/>
                <w:szCs w:val="20"/>
                <w:color w:val="auto"/>
              </w:rPr>
            </w:pPr>
            <w:r>
              <w:rPr>
                <w:rFonts w:ascii="Arial" w:cs="Arial" w:eastAsia="Arial" w:hAnsi="Arial"/>
                <w:sz w:val="12"/>
                <w:szCs w:val="12"/>
                <w:color w:val="auto"/>
              </w:rPr>
              <w:t xml:space="preserve">Judith A. McHale </w:t>
            </w:r>
            <w:r>
              <w:rPr>
                <w:rFonts w:ascii="Arial" w:cs="Arial" w:eastAsia="Arial" w:hAnsi="Arial"/>
                <w:sz w:val="20"/>
                <w:szCs w:val="20"/>
                <w:color w:val="auto"/>
                <w:vertAlign w:val="superscript"/>
              </w:rPr>
              <w:t>(7)</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89"/>
              <w:spacing w:after="0"/>
              <w:rPr>
                <w:sz w:val="20"/>
                <w:szCs w:val="20"/>
                <w:color w:val="auto"/>
              </w:rPr>
            </w:pPr>
            <w:r>
              <w:rPr>
                <w:rFonts w:ascii="Arial" w:cs="Arial" w:eastAsia="Arial" w:hAnsi="Arial"/>
                <w:sz w:val="14"/>
                <w:szCs w:val="14"/>
                <w:color w:val="auto"/>
              </w:rPr>
              <w:t>294,035</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174,987</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469,022</w:t>
            </w:r>
          </w:p>
        </w:tc>
      </w:tr>
      <w:tr>
        <w:trPr>
          <w:trHeight w:val="176"/>
        </w:trPr>
        <w:tc>
          <w:tcPr>
            <w:tcW w:w="3060" w:type="dxa"/>
            <w:vAlign w:val="bottom"/>
            <w:shd w:val="clear" w:color="auto" w:fill="D8D8D8"/>
          </w:tcPr>
          <w:p>
            <w:pPr>
              <w:spacing w:after="0" w:line="176" w:lineRule="exact"/>
              <w:rPr>
                <w:sz w:val="20"/>
                <w:szCs w:val="20"/>
                <w:color w:val="auto"/>
              </w:rPr>
            </w:pPr>
            <w:r>
              <w:rPr>
                <w:rFonts w:ascii="Arial" w:cs="Arial" w:eastAsia="Arial" w:hAnsi="Arial"/>
                <w:sz w:val="12"/>
                <w:szCs w:val="12"/>
                <w:color w:val="auto"/>
              </w:rPr>
              <w:t xml:space="preserve">Ronald L. Nelson </w:t>
            </w:r>
            <w:r>
              <w:rPr>
                <w:rFonts w:ascii="Arial" w:cs="Arial" w:eastAsia="Arial" w:hAnsi="Arial"/>
                <w:sz w:val="20"/>
                <w:szCs w:val="20"/>
                <w:color w:val="auto"/>
                <w:vertAlign w:val="superscript"/>
              </w:rPr>
              <w:t>(8)</w:t>
            </w:r>
          </w:p>
        </w:tc>
        <w:tc>
          <w:tcPr>
            <w:tcW w:w="134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8D8D8"/>
          </w:tcPr>
          <w:p>
            <w:pPr>
              <w:jc w:val="right"/>
              <w:ind w:right="189"/>
              <w:spacing w:after="0"/>
              <w:rPr>
                <w:sz w:val="20"/>
                <w:szCs w:val="20"/>
                <w:color w:val="auto"/>
              </w:rPr>
            </w:pPr>
            <w:r>
              <w:rPr>
                <w:rFonts w:ascii="Arial" w:cs="Arial" w:eastAsia="Arial" w:hAnsi="Arial"/>
                <w:sz w:val="14"/>
                <w:szCs w:val="14"/>
                <w:color w:val="auto"/>
              </w:rPr>
              <w:t>284,035</w:t>
            </w:r>
          </w:p>
        </w:tc>
        <w:tc>
          <w:tcPr>
            <w:tcW w:w="600" w:type="dxa"/>
            <w:vAlign w:val="bottom"/>
            <w:shd w:val="clear" w:color="auto" w:fill="D8D8D8"/>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174,987</w:t>
            </w:r>
          </w:p>
        </w:tc>
        <w:tc>
          <w:tcPr>
            <w:tcW w:w="4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D8D8"/>
          </w:tcPr>
          <w:p>
            <w:pPr>
              <w:jc w:val="right"/>
              <w:ind w:right="189"/>
              <w:spacing w:after="0"/>
              <w:rPr>
                <w:sz w:val="20"/>
                <w:szCs w:val="20"/>
                <w:color w:val="auto"/>
              </w:rPr>
            </w:pPr>
            <w:r>
              <w:rPr>
                <w:rFonts w:ascii="Arial" w:cs="Arial" w:eastAsia="Arial" w:hAnsi="Arial"/>
                <w:sz w:val="14"/>
                <w:szCs w:val="14"/>
                <w:color w:val="auto"/>
              </w:rPr>
              <w:t>—</w:t>
            </w:r>
          </w:p>
        </w:tc>
        <w:tc>
          <w:tcPr>
            <w:tcW w:w="540" w:type="dxa"/>
            <w:vAlign w:val="bottom"/>
            <w:shd w:val="clear" w:color="auto" w:fill="D8D8D8"/>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459,022</w:t>
            </w:r>
          </w:p>
        </w:tc>
      </w:tr>
      <w:tr>
        <w:trPr>
          <w:trHeight w:val="176"/>
        </w:trPr>
        <w:tc>
          <w:tcPr>
            <w:tcW w:w="3060" w:type="dxa"/>
            <w:vAlign w:val="bottom"/>
          </w:tcPr>
          <w:p>
            <w:pPr>
              <w:spacing w:after="0" w:line="176" w:lineRule="exact"/>
              <w:rPr>
                <w:sz w:val="20"/>
                <w:szCs w:val="20"/>
                <w:color w:val="auto"/>
              </w:rPr>
            </w:pPr>
            <w:r>
              <w:rPr>
                <w:rFonts w:ascii="Arial" w:cs="Arial" w:eastAsia="Arial" w:hAnsi="Arial"/>
                <w:sz w:val="12"/>
                <w:szCs w:val="12"/>
                <w:color w:val="auto"/>
              </w:rPr>
              <w:t xml:space="preserve">Deborah Norville </w:t>
            </w:r>
            <w:r>
              <w:rPr>
                <w:rFonts w:ascii="Arial" w:cs="Arial" w:eastAsia="Arial" w:hAnsi="Arial"/>
                <w:sz w:val="20"/>
                <w:szCs w:val="20"/>
                <w:color w:val="auto"/>
                <w:vertAlign w:val="superscript"/>
              </w:rPr>
              <w:t>(9)</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89"/>
              <w:spacing w:after="0"/>
              <w:rPr>
                <w:sz w:val="20"/>
                <w:szCs w:val="20"/>
                <w:color w:val="auto"/>
              </w:rPr>
            </w:pPr>
            <w:r>
              <w:rPr>
                <w:rFonts w:ascii="Arial" w:cs="Arial" w:eastAsia="Arial" w:hAnsi="Arial"/>
                <w:sz w:val="14"/>
                <w:szCs w:val="14"/>
                <w:color w:val="auto"/>
              </w:rPr>
              <w:t>118,035</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174,987</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89"/>
              <w:spacing w:after="0"/>
              <w:rPr>
                <w:sz w:val="20"/>
                <w:szCs w:val="20"/>
                <w:color w:val="auto"/>
              </w:rPr>
            </w:pPr>
            <w:r>
              <w:rPr>
                <w:rFonts w:ascii="Arial" w:cs="Arial" w:eastAsia="Arial" w:hAnsi="Arial"/>
                <w:sz w:val="14"/>
                <w:szCs w:val="14"/>
                <w:color w:val="auto"/>
              </w:rPr>
              <w:t>80</w:t>
            </w:r>
          </w:p>
        </w:tc>
        <w:tc>
          <w:tcPr>
            <w:tcW w:w="5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293,102</w:t>
            </w:r>
          </w:p>
        </w:tc>
      </w:tr>
      <w:tr>
        <w:trPr>
          <w:trHeight w:val="176"/>
        </w:trPr>
        <w:tc>
          <w:tcPr>
            <w:tcW w:w="3060" w:type="dxa"/>
            <w:vAlign w:val="bottom"/>
            <w:shd w:val="clear" w:color="auto" w:fill="D8D8D8"/>
          </w:tcPr>
          <w:p>
            <w:pPr>
              <w:spacing w:after="0" w:line="176" w:lineRule="exact"/>
              <w:rPr>
                <w:sz w:val="20"/>
                <w:szCs w:val="20"/>
                <w:color w:val="auto"/>
              </w:rPr>
            </w:pPr>
            <w:r>
              <w:rPr>
                <w:rFonts w:ascii="Arial" w:cs="Arial" w:eastAsia="Arial" w:hAnsi="Arial"/>
                <w:sz w:val="12"/>
                <w:szCs w:val="12"/>
                <w:color w:val="auto"/>
              </w:rPr>
              <w:t xml:space="preserve">Charles E. Phillips, Jr. </w:t>
            </w:r>
            <w:r>
              <w:rPr>
                <w:rFonts w:ascii="Arial" w:cs="Arial" w:eastAsia="Arial" w:hAnsi="Arial"/>
                <w:sz w:val="20"/>
                <w:szCs w:val="20"/>
                <w:color w:val="auto"/>
                <w:vertAlign w:val="superscript"/>
              </w:rPr>
              <w:t>(10)</w:t>
            </w:r>
          </w:p>
        </w:tc>
        <w:tc>
          <w:tcPr>
            <w:tcW w:w="134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8D8D8"/>
          </w:tcPr>
          <w:p>
            <w:pPr>
              <w:jc w:val="right"/>
              <w:ind w:right="189"/>
              <w:spacing w:after="0"/>
              <w:rPr>
                <w:sz w:val="20"/>
                <w:szCs w:val="20"/>
                <w:color w:val="auto"/>
              </w:rPr>
            </w:pPr>
            <w:r>
              <w:rPr>
                <w:rFonts w:ascii="Arial" w:cs="Arial" w:eastAsia="Arial" w:hAnsi="Arial"/>
                <w:sz w:val="14"/>
                <w:szCs w:val="14"/>
                <w:color w:val="auto"/>
              </w:rPr>
              <w:t>114,035</w:t>
            </w:r>
          </w:p>
        </w:tc>
        <w:tc>
          <w:tcPr>
            <w:tcW w:w="600" w:type="dxa"/>
            <w:vAlign w:val="bottom"/>
            <w:shd w:val="clear" w:color="auto" w:fill="D8D8D8"/>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174,987</w:t>
            </w:r>
          </w:p>
        </w:tc>
        <w:tc>
          <w:tcPr>
            <w:tcW w:w="4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D8D8"/>
          </w:tcPr>
          <w:p>
            <w:pPr>
              <w:jc w:val="right"/>
              <w:ind w:right="189"/>
              <w:spacing w:after="0"/>
              <w:rPr>
                <w:sz w:val="20"/>
                <w:szCs w:val="20"/>
                <w:color w:val="auto"/>
              </w:rPr>
            </w:pPr>
            <w:r>
              <w:rPr>
                <w:rFonts w:ascii="Arial" w:cs="Arial" w:eastAsia="Arial" w:hAnsi="Arial"/>
                <w:sz w:val="14"/>
                <w:szCs w:val="14"/>
                <w:color w:val="auto"/>
              </w:rPr>
              <w:t>3,519</w:t>
            </w:r>
          </w:p>
        </w:tc>
        <w:tc>
          <w:tcPr>
            <w:tcW w:w="540" w:type="dxa"/>
            <w:vAlign w:val="bottom"/>
            <w:shd w:val="clear" w:color="auto" w:fill="D8D8D8"/>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292,541</w:t>
            </w:r>
          </w:p>
        </w:tc>
      </w:tr>
      <w:tr>
        <w:trPr>
          <w:trHeight w:val="176"/>
        </w:trPr>
        <w:tc>
          <w:tcPr>
            <w:tcW w:w="3060" w:type="dxa"/>
            <w:vAlign w:val="bottom"/>
          </w:tcPr>
          <w:p>
            <w:pPr>
              <w:spacing w:after="0" w:line="176" w:lineRule="exact"/>
              <w:rPr>
                <w:sz w:val="20"/>
                <w:szCs w:val="20"/>
                <w:color w:val="auto"/>
              </w:rPr>
            </w:pPr>
            <w:r>
              <w:rPr>
                <w:rFonts w:ascii="Arial" w:cs="Arial" w:eastAsia="Arial" w:hAnsi="Arial"/>
                <w:sz w:val="12"/>
                <w:szCs w:val="12"/>
                <w:color w:val="auto"/>
              </w:rPr>
              <w:t xml:space="preserve">Shari Redstone, Vice Chair </w:t>
            </w:r>
            <w:r>
              <w:rPr>
                <w:rFonts w:ascii="Arial" w:cs="Arial" w:eastAsia="Arial" w:hAnsi="Arial"/>
                <w:sz w:val="20"/>
                <w:szCs w:val="20"/>
                <w:color w:val="auto"/>
                <w:vertAlign w:val="superscript"/>
              </w:rPr>
              <w:t>(11)</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89"/>
              <w:spacing w:after="0"/>
              <w:rPr>
                <w:sz w:val="20"/>
                <w:szCs w:val="20"/>
                <w:color w:val="auto"/>
              </w:rPr>
            </w:pPr>
            <w:r>
              <w:rPr>
                <w:rFonts w:ascii="Arial" w:cs="Arial" w:eastAsia="Arial" w:hAnsi="Arial"/>
                <w:sz w:val="14"/>
                <w:szCs w:val="14"/>
                <w:color w:val="auto"/>
              </w:rPr>
              <w:t>200,035</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174,987</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375,022</w:t>
            </w:r>
          </w:p>
        </w:tc>
      </w:tr>
      <w:tr>
        <w:trPr>
          <w:trHeight w:val="176"/>
        </w:trPr>
        <w:tc>
          <w:tcPr>
            <w:tcW w:w="3060" w:type="dxa"/>
            <w:vAlign w:val="bottom"/>
            <w:tcBorders>
              <w:bottom w:val="single" w:sz="8" w:color="auto"/>
            </w:tcBorders>
            <w:shd w:val="clear" w:color="auto" w:fill="D8D8D8"/>
          </w:tcPr>
          <w:p>
            <w:pPr>
              <w:spacing w:after="0" w:line="176" w:lineRule="exact"/>
              <w:rPr>
                <w:sz w:val="20"/>
                <w:szCs w:val="20"/>
                <w:color w:val="auto"/>
              </w:rPr>
            </w:pPr>
            <w:r>
              <w:rPr>
                <w:rFonts w:ascii="Arial" w:cs="Arial" w:eastAsia="Arial" w:hAnsi="Arial"/>
                <w:sz w:val="12"/>
                <w:szCs w:val="12"/>
                <w:color w:val="auto"/>
              </w:rPr>
              <w:t xml:space="preserve">Nicole Seligman </w:t>
            </w:r>
            <w:r>
              <w:rPr>
                <w:rFonts w:ascii="Arial" w:cs="Arial" w:eastAsia="Arial" w:hAnsi="Arial"/>
                <w:sz w:val="20"/>
                <w:szCs w:val="20"/>
                <w:color w:val="auto"/>
                <w:vertAlign w:val="superscript"/>
              </w:rPr>
              <w:t>(12)</w:t>
            </w:r>
          </w:p>
        </w:tc>
        <w:tc>
          <w:tcPr>
            <w:tcW w:w="1340" w:type="dxa"/>
            <w:vAlign w:val="bottom"/>
            <w:tcBorders>
              <w:bottom w:val="single" w:sz="8" w:color="auto"/>
            </w:tcBorders>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D8D8D8"/>
          </w:tcPr>
          <w:p>
            <w:pPr>
              <w:jc w:val="right"/>
              <w:ind w:right="189"/>
              <w:spacing w:after="0"/>
              <w:rPr>
                <w:sz w:val="20"/>
                <w:szCs w:val="20"/>
                <w:color w:val="auto"/>
              </w:rPr>
            </w:pPr>
            <w:r>
              <w:rPr>
                <w:rFonts w:ascii="Arial" w:cs="Arial" w:eastAsia="Arial" w:hAnsi="Arial"/>
                <w:sz w:val="14"/>
                <w:szCs w:val="14"/>
                <w:color w:val="auto"/>
              </w:rPr>
              <w:t>303,035</w:t>
            </w:r>
          </w:p>
        </w:tc>
        <w:tc>
          <w:tcPr>
            <w:tcW w:w="600" w:type="dxa"/>
            <w:vAlign w:val="bottom"/>
            <w:tcBorders>
              <w:bottom w:val="single" w:sz="8" w:color="auto"/>
            </w:tcBorders>
            <w:shd w:val="clear" w:color="auto" w:fill="D8D8D8"/>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D8D8D8"/>
          </w:tcPr>
          <w:p>
            <w:pPr>
              <w:jc w:val="right"/>
              <w:ind w:right="169"/>
              <w:spacing w:after="0"/>
              <w:rPr>
                <w:sz w:val="20"/>
                <w:szCs w:val="20"/>
                <w:color w:val="auto"/>
              </w:rPr>
            </w:pPr>
            <w:r>
              <w:rPr>
                <w:rFonts w:ascii="Arial" w:cs="Arial" w:eastAsia="Arial" w:hAnsi="Arial"/>
                <w:sz w:val="14"/>
                <w:szCs w:val="14"/>
                <w:color w:val="auto"/>
              </w:rPr>
              <w:t>174,987</w:t>
            </w:r>
          </w:p>
        </w:tc>
        <w:tc>
          <w:tcPr>
            <w:tcW w:w="440" w:type="dxa"/>
            <w:vAlign w:val="bottom"/>
            <w:tcBorders>
              <w:bottom w:val="single" w:sz="8" w:color="auto"/>
            </w:tcBorders>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8D8D8"/>
          </w:tcPr>
          <w:p>
            <w:pPr>
              <w:jc w:val="right"/>
              <w:ind w:right="18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8D8D8"/>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8D8D8"/>
          </w:tcPr>
          <w:p>
            <w:pPr>
              <w:jc w:val="right"/>
              <w:ind w:right="148"/>
              <w:spacing w:after="0"/>
              <w:rPr>
                <w:sz w:val="20"/>
                <w:szCs w:val="20"/>
                <w:color w:val="auto"/>
              </w:rPr>
            </w:pPr>
            <w:r>
              <w:rPr>
                <w:rFonts w:ascii="Arial" w:cs="Arial" w:eastAsia="Arial" w:hAnsi="Arial"/>
                <w:sz w:val="14"/>
                <w:szCs w:val="14"/>
                <w:color w:val="auto"/>
              </w:rPr>
              <w:t>478,022</w:t>
            </w:r>
          </w:p>
        </w:tc>
      </w:tr>
    </w:tbl>
    <w:p>
      <w:pPr>
        <w:spacing w:after="0" w:line="53"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Includes director fees for service on a non-standing committee in fiscal year 2018.</w:t>
      </w:r>
    </w:p>
    <w:p>
      <w:pPr>
        <w:spacing w:after="0" w:line="1" w:lineRule="exact"/>
        <w:rPr>
          <w:rFonts w:ascii="Arial" w:cs="Arial" w:eastAsia="Arial" w:hAnsi="Arial"/>
          <w:sz w:val="11"/>
          <w:szCs w:val="11"/>
          <w:i w:val="1"/>
          <w:iCs w:val="1"/>
          <w:color w:val="auto"/>
        </w:rPr>
      </w:pPr>
    </w:p>
    <w:p>
      <w:pPr>
        <w:jc w:val="both"/>
        <w:ind w:left="440" w:right="20" w:hanging="432"/>
        <w:spacing w:after="0" w:line="258"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2"/>
          <w:szCs w:val="12"/>
          <w:i w:val="1"/>
          <w:iCs w:val="1"/>
          <w:color w:val="auto"/>
        </w:rPr>
        <w:t>Reflects the grant date fair value of the $175,000 annual RSU award, calculated in accordance with FASB ASC Topic 718 — Stock Compensation. Grant date fair value assumptions are consistent with those disclosed in the Equity-Based Compensation Note to our Consolidated Financial Statements in our Annual Report on Form 10-K for the fiscal year ended September 30, 2018. The stock award to Mr. Lerer was forfeited upon his departure from the Board effective March 8, 2018 (the date of our 2018 Annual Meeting of Stockholders).</w:t>
      </w:r>
    </w:p>
    <w:p>
      <w:pPr>
        <w:jc w:val="both"/>
        <w:ind w:left="440" w:right="20" w:hanging="432"/>
        <w:spacing w:after="0" w:line="221"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Reflects nonqualified deferred compensation only. Interest accrues on the amounts deferred under our Deferred Compensation Plan for Outside Directors at the prime rate in effect at Citibank N.A. at the beginning of each calendar quarter. The prime rate generally represents an interest rate that is more than 120% of the long-term applicable federal rate published by the Internal Revenue Service and therefore is deemed to be preferential for purposes of this table. Accordingly, we have indicated above the difference in the amount of interest accrued for each director in fiscal year 2018 compared to the interest that would have been accrued at 120% of the long-term applicable federal rate.</w:t>
      </w:r>
    </w:p>
    <w:p>
      <w:pPr>
        <w:spacing w:after="0" w:line="1" w:lineRule="exact"/>
        <w:rPr>
          <w:rFonts w:ascii="Arial" w:cs="Arial" w:eastAsia="Arial" w:hAnsi="Arial"/>
          <w:sz w:val="11"/>
          <w:szCs w:val="11"/>
          <w:i w:val="1"/>
          <w:iCs w:val="1"/>
          <w:color w:val="auto"/>
        </w:rPr>
      </w:pPr>
    </w:p>
    <w:p>
      <w:pPr>
        <w:ind w:left="440" w:right="20" w:hanging="432"/>
        <w:spacing w:after="0" w:line="221"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Ms. Falcone Sorrell deferred receipt of her cash director fees in fiscal year 2018. As of September 30, 2018, Ms. Falcone Sorrell held a total of 25,588 RSUs (including vested but deferred RSUs) for shares of Class B common stock.</w:t>
      </w:r>
    </w:p>
    <w:p>
      <w:pPr>
        <w:jc w:val="both"/>
        <w:ind w:left="440" w:right="20" w:hanging="432"/>
        <w:spacing w:after="0" w:line="221"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Mr. Lerer served as a member of the Board until March 8, 2018 (the date of our 2018 Annual Meeting of Stockholders). Mr. Lerer did not defer receipt of his cash director fees in fiscal year 2018. Mr. Lerer forfeited the stock award he received in fiscal year 2018 upon his departure from the Board. As of September 30, 2018, Mr. Lerer did not hold any outstanding equity.</w:t>
      </w:r>
    </w:p>
    <w:p>
      <w:pPr>
        <w:ind w:left="440" w:right="20" w:hanging="432"/>
        <w:spacing w:after="0" w:line="221"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Mr. May did not defer receipt of his cash director fees in fiscal year 2018. As of September 30, 2018, Mr. May held a total of 9,515 RSUs (including vested but deferred RSUs) for shares of Class B common stock.</w:t>
      </w:r>
    </w:p>
    <w:p>
      <w:pPr>
        <w:ind w:left="440" w:hanging="432"/>
        <w:spacing w:after="0"/>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2"/>
          <w:szCs w:val="12"/>
          <w:i w:val="1"/>
          <w:iCs w:val="1"/>
          <w:color w:val="auto"/>
        </w:rPr>
        <w:t>Ms. McHale did not defer receipt of her cash director fees in fiscal year 2018. As of September 30, 2018, Ms. McHale held a total of 5,236 RSUs for shares of Class B common stock.</w:t>
      </w:r>
    </w:p>
    <w:p>
      <w:pPr>
        <w:spacing w:after="0" w:line="10" w:lineRule="exact"/>
        <w:rPr>
          <w:rFonts w:ascii="Arial" w:cs="Arial" w:eastAsia="Arial" w:hAnsi="Arial"/>
          <w:sz w:val="11"/>
          <w:szCs w:val="11"/>
          <w:i w:val="1"/>
          <w:iCs w:val="1"/>
          <w:color w:val="auto"/>
        </w:rPr>
      </w:pPr>
    </w:p>
    <w:p>
      <w:pPr>
        <w:ind w:left="440" w:right="20" w:hanging="432"/>
        <w:spacing w:after="0" w:line="221"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Mr. Nelson did not defer receipt of his cash director fees in fiscal year 2018. As of September 30, 2018, Mr. Nelson held a total of 9,515 RSUs (including vested but deferred RSUs) for shares of Class B common stock.</w:t>
      </w:r>
    </w:p>
    <w:p>
      <w:pPr>
        <w:ind w:left="440" w:right="20" w:hanging="432"/>
        <w:spacing w:after="0" w:line="221"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Ms. Norville deferred receipt of her cash director fees in fiscal year 2018. As of September 30, 2018, Ms. Norville held a total of 33,645 RSUs (including vested but deferred RSUs) for shares of Class B common stock.</w:t>
      </w:r>
    </w:p>
    <w:p>
      <w:pPr>
        <w:ind w:left="440" w:right="20" w:hanging="432"/>
        <w:spacing w:after="0" w:line="221"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Mr. Phillips deferred receipt of his cash director fees in fiscal year 2018. As of September 30, 2018, Mr. Phillips held a total of 5,155 stock options for shares of Class B common stock and 63,896 RSUs (including vested but deferred RSUs) for shares of Class B common stock.</w:t>
      </w:r>
    </w:p>
    <w:p>
      <w:pPr>
        <w:ind w:left="440" w:right="40" w:hanging="432"/>
        <w:spacing w:after="0" w:line="221"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Ms. Redstone deferred receipt of her cash director fees in fiscal year 2018. As of September 30, 2018, Ms. Redstone held a total of 107,998 RSUs (including vested but deferred RSUs) for shares of Class B common stock.</w:t>
      </w:r>
    </w:p>
    <w:p>
      <w:pPr>
        <w:ind w:left="440" w:right="40" w:hanging="432"/>
        <w:spacing w:after="0" w:line="231" w:lineRule="auto"/>
        <w:tabs>
          <w:tab w:leader="none" w:pos="440" w:val="left"/>
        </w:tabs>
        <w:numPr>
          <w:ilvl w:val="0"/>
          <w:numId w:val="45"/>
        </w:numPr>
        <w:rPr>
          <w:rFonts w:ascii="Arial" w:cs="Arial" w:eastAsia="Arial" w:hAnsi="Arial"/>
          <w:sz w:val="11"/>
          <w:szCs w:val="11"/>
          <w:i w:val="1"/>
          <w:iCs w:val="1"/>
          <w:color w:val="auto"/>
        </w:rPr>
      </w:pPr>
      <w:r>
        <w:rPr>
          <w:rFonts w:ascii="Arial" w:cs="Arial" w:eastAsia="Arial" w:hAnsi="Arial"/>
          <w:sz w:val="14"/>
          <w:szCs w:val="14"/>
          <w:i w:val="1"/>
          <w:iCs w:val="1"/>
          <w:color w:val="auto"/>
        </w:rPr>
        <w:t>Ms. Seligman did not defer receipt of her cash director fees in fiscal year 2018. As of September 30, 2018, Ms. Seligman held a total of 9,515 RSUs (including vested but deferred RSUs) for shares of Class B common stock.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26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FFFFFF"/>
          <w:shd w:val="clear" w:color="auto" w:fill="1CB6EA"/>
        </w:rPr>
        <w:t>SECURITY OWNERSHIP OF CERTAIN BENEFICIAL OWNERS AND MANAGEMENT</w:t>
      </w:r>
    </w:p>
    <w:p>
      <w:pPr>
        <w:spacing w:after="0" w:line="133" w:lineRule="exact"/>
        <w:rPr>
          <w:sz w:val="20"/>
          <w:szCs w:val="20"/>
          <w:color w:val="auto"/>
        </w:rPr>
      </w:pPr>
    </w:p>
    <w:p>
      <w:pPr>
        <w:ind w:right="1880"/>
        <w:spacing w:after="0" w:line="274" w:lineRule="auto"/>
        <w:rPr>
          <w:sz w:val="20"/>
          <w:szCs w:val="20"/>
          <w:color w:val="auto"/>
        </w:rPr>
      </w:pPr>
      <w:r>
        <w:rPr>
          <w:rFonts w:ascii="Arial" w:cs="Arial" w:eastAsia="Arial" w:hAnsi="Arial"/>
          <w:sz w:val="40"/>
          <w:szCs w:val="40"/>
          <w:b w:val="1"/>
          <w:bCs w:val="1"/>
          <w:color w:val="1CB6EA"/>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table below presents as of December 15, 2018, unless otherwise indicated, information concerning the beneficial ownership of our Class A and Class B common stock by (i) each director and director nominee, (ii) each of our named executive officers (“NEOs”) during fiscal year 2018 and (iii) our current directors and executive officers as a group. “Option Shares” reflects stock options to purchase shares that were unexercised but exercisable, either currently or within a period of 60 days from December 15, 2018, and are excluded from the column “Number of Equity Shares.” Each person has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sole voting and investment power over the shares reported, except as noted. The table also includes information concerning the beneficial ownership by each person, or group of affiliated persons, who is known by us to beneficially own 5% or more of our Class A common stock.</w:t>
      </w:r>
    </w:p>
    <w:p>
      <w:pPr>
        <w:spacing w:after="0" w:line="6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As of December 15, 2018, there were 49,430,905 shares of our Class A common stock outstanding and 353,448,290 shares of our Class B common stock outstanding.</w:t>
      </w:r>
    </w:p>
    <w:p>
      <w:pPr>
        <w:spacing w:after="0" w:line="496"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27</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Borders>
              <w:bottom w:val="single" w:sz="8" w:color="1CB6EA"/>
            </w:tcBorders>
            <w:gridSpan w:val="2"/>
            <w:shd w:val="clear" w:color="auto" w:fill="1CB6EA"/>
          </w:tcPr>
          <w:p>
            <w:pPr>
              <w:ind w:left="40"/>
              <w:spacing w:after="0"/>
              <w:rPr>
                <w:sz w:val="20"/>
                <w:szCs w:val="20"/>
                <w:color w:val="auto"/>
              </w:rPr>
            </w:pPr>
            <w:r>
              <w:rPr>
                <w:rFonts w:ascii="Arial" w:cs="Arial" w:eastAsia="Arial" w:hAnsi="Arial"/>
                <w:sz w:val="14"/>
                <w:szCs w:val="14"/>
                <w:b w:val="1"/>
                <w:bCs w:val="1"/>
                <w:color w:val="FFFFFF"/>
                <w:shd w:val="clear" w:color="auto" w:fill="1CB6EA"/>
              </w:rPr>
              <w:t>SECURITY OWNERSHIP OF CERTAIN BENEFICIAL OWNERS AND MANAGEMENT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2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Beneficial Ownership of Equity Securities</w:t>
            </w: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1780" w:type="dxa"/>
            <w:vAlign w:val="bottom"/>
            <w:gridSpan w:val="2"/>
          </w:tcPr>
          <w:p>
            <w:pPr>
              <w:jc w:val="right"/>
              <w:ind w:right="480"/>
              <w:spacing w:after="0" w:line="159" w:lineRule="exact"/>
              <w:rPr>
                <w:sz w:val="20"/>
                <w:szCs w:val="20"/>
                <w:color w:val="auto"/>
              </w:rPr>
            </w:pPr>
            <w:r>
              <w:rPr>
                <w:rFonts w:ascii="Arial" w:cs="Arial" w:eastAsia="Arial" w:hAnsi="Arial"/>
                <w:sz w:val="14"/>
                <w:szCs w:val="14"/>
                <w:b w:val="1"/>
                <w:bCs w:val="1"/>
                <w:color w:val="auto"/>
              </w:rPr>
              <w:t>Title of Equity</w:t>
            </w:r>
          </w:p>
        </w:tc>
        <w:tc>
          <w:tcPr>
            <w:tcW w:w="1240" w:type="dxa"/>
            <w:vAlign w:val="bottom"/>
          </w:tcPr>
          <w:p>
            <w:pPr>
              <w:jc w:val="right"/>
              <w:ind w:right="188"/>
              <w:spacing w:after="0" w:line="159"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3"/>
                <w:szCs w:val="13"/>
                <w:color w:val="auto"/>
              </w:rPr>
            </w:pPr>
          </w:p>
        </w:tc>
        <w:tc>
          <w:tcPr>
            <w:tcW w:w="980" w:type="dxa"/>
            <w:vAlign w:val="bottom"/>
          </w:tcPr>
          <w:p>
            <w:pPr>
              <w:jc w:val="right"/>
              <w:ind w:right="308"/>
              <w:spacing w:after="0" w:line="159" w:lineRule="exact"/>
              <w:rPr>
                <w:sz w:val="20"/>
                <w:szCs w:val="20"/>
                <w:color w:val="auto"/>
              </w:rPr>
            </w:pPr>
            <w:r>
              <w:rPr>
                <w:rFonts w:ascii="Arial" w:cs="Arial" w:eastAsia="Arial" w:hAnsi="Arial"/>
                <w:sz w:val="14"/>
                <w:szCs w:val="14"/>
                <w:b w:val="1"/>
                <w:bCs w:val="1"/>
                <w:color w:val="auto"/>
              </w:rPr>
              <w:t>Option</w:t>
            </w:r>
          </w:p>
        </w:tc>
        <w:tc>
          <w:tcPr>
            <w:tcW w:w="1360" w:type="dxa"/>
            <w:vAlign w:val="bottom"/>
          </w:tcPr>
          <w:p>
            <w:pPr>
              <w:jc w:val="right"/>
              <w:ind w:right="288"/>
              <w:spacing w:after="0" w:line="159" w:lineRule="exact"/>
              <w:rPr>
                <w:sz w:val="20"/>
                <w:szCs w:val="20"/>
                <w:color w:val="auto"/>
              </w:rPr>
            </w:pPr>
            <w:r>
              <w:rPr>
                <w:rFonts w:ascii="Arial" w:cs="Arial" w:eastAsia="Arial" w:hAnsi="Arial"/>
                <w:sz w:val="14"/>
                <w:szCs w:val="14"/>
                <w:b w:val="1"/>
                <w:bCs w:val="1"/>
                <w:color w:val="auto"/>
              </w:rPr>
              <w:t>Percentage</w:t>
            </w:r>
          </w:p>
        </w:tc>
        <w:tc>
          <w:tcPr>
            <w:tcW w:w="1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Stock</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Security</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Equity Shares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13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of Class</w:t>
            </w:r>
          </w:p>
        </w:tc>
        <w:tc>
          <w:tcPr>
            <w:tcW w:w="124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 xml:space="preserve">Equivalents </w:t>
            </w:r>
            <w:r>
              <w:rPr>
                <w:rFonts w:ascii="Arial" w:cs="Arial" w:eastAsia="Arial" w:hAnsi="Arial"/>
                <w:sz w:val="20"/>
                <w:szCs w:val="20"/>
                <w:b w:val="1"/>
                <w:bCs w:val="1"/>
                <w:color w:val="auto"/>
                <w:vertAlign w:val="superscript"/>
              </w:rPr>
              <w:t>(9)</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60" w:type="dxa"/>
            <w:vAlign w:val="bottom"/>
            <w:shd w:val="clear" w:color="auto" w:fill="DCDDDE"/>
          </w:tcPr>
          <w:p>
            <w:pPr>
              <w:spacing w:after="0"/>
              <w:rPr>
                <w:sz w:val="20"/>
                <w:szCs w:val="20"/>
                <w:color w:val="auto"/>
              </w:rPr>
            </w:pPr>
            <w:r>
              <w:rPr>
                <w:rFonts w:ascii="Arial" w:cs="Arial" w:eastAsia="Arial" w:hAnsi="Arial"/>
                <w:sz w:val="14"/>
                <w:szCs w:val="14"/>
                <w:color w:val="auto"/>
              </w:rPr>
              <w:t>Robert M. Bakish</w:t>
            </w: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CDDDE"/>
          </w:tcPr>
          <w:p>
            <w:pPr>
              <w:jc w:val="right"/>
              <w:ind w:right="19"/>
              <w:spacing w:after="0"/>
              <w:rPr>
                <w:sz w:val="20"/>
                <w:szCs w:val="20"/>
                <w:color w:val="auto"/>
              </w:rPr>
            </w:pPr>
            <w:r>
              <w:rPr>
                <w:rFonts w:ascii="Arial" w:cs="Arial" w:eastAsia="Arial" w:hAnsi="Arial"/>
                <w:sz w:val="12"/>
                <w:szCs w:val="12"/>
                <w:color w:val="auto"/>
              </w:rPr>
              <w:t>(1)</w:t>
            </w: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60" w:type="dxa"/>
            <w:vAlign w:val="bottom"/>
            <w:shd w:val="clear" w:color="auto" w:fill="DCDDDE"/>
          </w:tcPr>
          <w:p>
            <w:pPr>
              <w:spacing w:after="0"/>
              <w:rPr>
                <w:sz w:val="12"/>
                <w:szCs w:val="12"/>
                <w:color w:val="auto"/>
              </w:rPr>
            </w:pPr>
          </w:p>
        </w:tc>
        <w:tc>
          <w:tcPr>
            <w:tcW w:w="1780" w:type="dxa"/>
            <w:vAlign w:val="bottom"/>
            <w:gridSpan w:val="2"/>
            <w:vMerge w:val="restart"/>
            <w:shd w:val="clear" w:color="auto" w:fill="DCDDDE"/>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vMerge w:val="restart"/>
            <w:shd w:val="clear" w:color="auto" w:fill="DCDDDE"/>
          </w:tcPr>
          <w:p>
            <w:pPr>
              <w:jc w:val="right"/>
              <w:spacing w:after="0"/>
              <w:rPr>
                <w:sz w:val="20"/>
                <w:szCs w:val="20"/>
                <w:color w:val="auto"/>
              </w:rPr>
            </w:pPr>
            <w:r>
              <w:rPr>
                <w:rFonts w:ascii="Arial" w:cs="Arial" w:eastAsia="Arial" w:hAnsi="Arial"/>
                <w:sz w:val="14"/>
                <w:szCs w:val="14"/>
                <w:color w:val="auto"/>
              </w:rPr>
              <w:t>159,428</w:t>
            </w:r>
          </w:p>
        </w:tc>
        <w:tc>
          <w:tcPr>
            <w:tcW w:w="300" w:type="dxa"/>
            <w:vAlign w:val="bottom"/>
            <w:vMerge w:val="continue"/>
            <w:shd w:val="clear" w:color="auto" w:fill="DCDDDE"/>
          </w:tcPr>
          <w:p>
            <w:pPr>
              <w:spacing w:after="0"/>
              <w:rPr>
                <w:sz w:val="12"/>
                <w:szCs w:val="12"/>
                <w:color w:val="auto"/>
              </w:rPr>
            </w:pPr>
          </w:p>
        </w:tc>
        <w:tc>
          <w:tcPr>
            <w:tcW w:w="980" w:type="dxa"/>
            <w:vAlign w:val="bottom"/>
            <w:vMerge w:val="restart"/>
            <w:shd w:val="clear" w:color="auto" w:fill="DCDDDE"/>
          </w:tcPr>
          <w:p>
            <w:pPr>
              <w:jc w:val="right"/>
              <w:ind w:right="168"/>
              <w:spacing w:after="0"/>
              <w:rPr>
                <w:sz w:val="20"/>
                <w:szCs w:val="20"/>
                <w:color w:val="auto"/>
              </w:rPr>
            </w:pPr>
            <w:r>
              <w:rPr>
                <w:rFonts w:ascii="Arial" w:cs="Arial" w:eastAsia="Arial" w:hAnsi="Arial"/>
                <w:sz w:val="14"/>
                <w:szCs w:val="14"/>
                <w:color w:val="auto"/>
              </w:rPr>
              <w:t>697,745</w:t>
            </w:r>
          </w:p>
        </w:tc>
        <w:tc>
          <w:tcPr>
            <w:tcW w:w="1360" w:type="dxa"/>
            <w:vAlign w:val="bottom"/>
            <w:vMerge w:val="restart"/>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260" w:type="dxa"/>
            <w:vAlign w:val="bottom"/>
            <w:tcBorders>
              <w:bottom w:val="single" w:sz="8" w:color="DCDDDE"/>
            </w:tcBorders>
            <w:shd w:val="clear" w:color="auto" w:fill="DCDDDE"/>
          </w:tcPr>
          <w:p>
            <w:pPr>
              <w:spacing w:after="0"/>
              <w:rPr>
                <w:sz w:val="10"/>
                <w:szCs w:val="10"/>
                <w:color w:val="auto"/>
              </w:rPr>
            </w:pPr>
          </w:p>
        </w:tc>
        <w:tc>
          <w:tcPr>
            <w:tcW w:w="1780" w:type="dxa"/>
            <w:vAlign w:val="bottom"/>
            <w:tcBorders>
              <w:bottom w:val="single" w:sz="8" w:color="DCDDDE"/>
            </w:tcBorders>
            <w:gridSpan w:val="2"/>
            <w:vMerge w:val="continue"/>
            <w:shd w:val="clear" w:color="auto" w:fill="DCDDDE"/>
          </w:tcPr>
          <w:p>
            <w:pPr>
              <w:spacing w:after="0"/>
              <w:rPr>
                <w:sz w:val="10"/>
                <w:szCs w:val="10"/>
                <w:color w:val="auto"/>
              </w:rPr>
            </w:pPr>
          </w:p>
        </w:tc>
        <w:tc>
          <w:tcPr>
            <w:tcW w:w="1240" w:type="dxa"/>
            <w:vAlign w:val="bottom"/>
            <w:tcBorders>
              <w:bottom w:val="single" w:sz="8" w:color="DCDDDE"/>
            </w:tcBorders>
            <w:vMerge w:val="continue"/>
            <w:shd w:val="clear" w:color="auto" w:fill="DCDDDE"/>
          </w:tcPr>
          <w:p>
            <w:pPr>
              <w:spacing w:after="0"/>
              <w:rPr>
                <w:sz w:val="10"/>
                <w:szCs w:val="10"/>
                <w:color w:val="auto"/>
              </w:rPr>
            </w:pPr>
          </w:p>
        </w:tc>
        <w:tc>
          <w:tcPr>
            <w:tcW w:w="300" w:type="dxa"/>
            <w:vAlign w:val="bottom"/>
            <w:tcBorders>
              <w:bottom w:val="single" w:sz="8" w:color="DCDDDE"/>
            </w:tcBorders>
            <w:shd w:val="clear" w:color="auto" w:fill="DCDDDE"/>
          </w:tcPr>
          <w:p>
            <w:pPr>
              <w:jc w:val="right"/>
              <w:ind w:right="19"/>
              <w:spacing w:after="0" w:line="118" w:lineRule="exact"/>
              <w:rPr>
                <w:sz w:val="20"/>
                <w:szCs w:val="20"/>
                <w:color w:val="auto"/>
              </w:rPr>
            </w:pPr>
            <w:r>
              <w:rPr>
                <w:rFonts w:ascii="Arial" w:cs="Arial" w:eastAsia="Arial" w:hAnsi="Arial"/>
                <w:sz w:val="12"/>
                <w:szCs w:val="12"/>
                <w:color w:val="auto"/>
              </w:rPr>
              <w:t>(2)</w:t>
            </w:r>
          </w:p>
        </w:tc>
        <w:tc>
          <w:tcPr>
            <w:tcW w:w="980" w:type="dxa"/>
            <w:vAlign w:val="bottom"/>
            <w:tcBorders>
              <w:bottom w:val="single" w:sz="8" w:color="DCDDDE"/>
            </w:tcBorders>
            <w:vMerge w:val="continue"/>
            <w:shd w:val="clear" w:color="auto" w:fill="DCDDDE"/>
          </w:tcPr>
          <w:p>
            <w:pPr>
              <w:spacing w:after="0"/>
              <w:rPr>
                <w:sz w:val="10"/>
                <w:szCs w:val="10"/>
                <w:color w:val="auto"/>
              </w:rPr>
            </w:pPr>
          </w:p>
        </w:tc>
        <w:tc>
          <w:tcPr>
            <w:tcW w:w="1360" w:type="dxa"/>
            <w:vAlign w:val="bottom"/>
            <w:tcBorders>
              <w:bottom w:val="single" w:sz="8" w:color="DCDDDE"/>
            </w:tcBorders>
            <w:vMerge w:val="continue"/>
            <w:shd w:val="clear" w:color="auto" w:fill="DCDDDE"/>
          </w:tcPr>
          <w:p>
            <w:pPr>
              <w:spacing w:after="0"/>
              <w:rPr>
                <w:sz w:val="10"/>
                <w:szCs w:val="10"/>
                <w:color w:val="auto"/>
              </w:rPr>
            </w:pPr>
          </w:p>
        </w:tc>
        <w:tc>
          <w:tcPr>
            <w:tcW w:w="1240" w:type="dxa"/>
            <w:vAlign w:val="bottom"/>
            <w:tcBorders>
              <w:bottom w:val="single" w:sz="8" w:color="DCDDDE"/>
            </w:tcBorders>
            <w:vMerge w:val="continue"/>
            <w:shd w:val="clear" w:color="auto" w:fill="DCDDDE"/>
          </w:tcPr>
          <w:p>
            <w:pPr>
              <w:spacing w:after="0"/>
              <w:rPr>
                <w:sz w:val="10"/>
                <w:szCs w:val="10"/>
                <w:color w:val="auto"/>
              </w:rPr>
            </w:pPr>
          </w:p>
        </w:tc>
        <w:tc>
          <w:tcPr>
            <w:tcW w:w="260" w:type="dxa"/>
            <w:vAlign w:val="bottom"/>
            <w:tcBorders>
              <w:bottom w:val="single" w:sz="8" w:color="DCDDDE"/>
            </w:tcBorders>
            <w:shd w:val="clear" w:color="auto" w:fill="DCDDD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4"/>
                <w:szCs w:val="14"/>
                <w:color w:val="auto"/>
              </w:rPr>
              <w:t>Christa A. D’Alimonte</w:t>
            </w: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3"/>
                <w:szCs w:val="13"/>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5,365</w:t>
            </w:r>
          </w:p>
        </w:tc>
        <w:tc>
          <w:tcPr>
            <w:tcW w:w="300" w:type="dxa"/>
            <w:vAlign w:val="bottom"/>
          </w:tcPr>
          <w:p>
            <w:pPr>
              <w:spacing w:after="0"/>
              <w:rPr>
                <w:sz w:val="13"/>
                <w:szCs w:val="13"/>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40,619</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20"/>
                <w:szCs w:val="20"/>
                <w:color w:val="auto"/>
              </w:rPr>
            </w:pPr>
            <w:r>
              <w:rPr>
                <w:rFonts w:ascii="Arial" w:cs="Arial" w:eastAsia="Arial" w:hAnsi="Arial"/>
                <w:sz w:val="14"/>
                <w:szCs w:val="14"/>
                <w:color w:val="auto"/>
              </w:rPr>
              <w:t>Wade C. Davis</w:t>
            </w: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CDDDE"/>
          </w:tcPr>
          <w:p>
            <w:pPr>
              <w:jc w:val="right"/>
              <w:ind w:right="19"/>
              <w:spacing w:after="0"/>
              <w:rPr>
                <w:sz w:val="20"/>
                <w:szCs w:val="20"/>
                <w:color w:val="auto"/>
              </w:rPr>
            </w:pPr>
            <w:r>
              <w:rPr>
                <w:rFonts w:ascii="Arial" w:cs="Arial" w:eastAsia="Arial" w:hAnsi="Arial"/>
                <w:sz w:val="12"/>
                <w:szCs w:val="12"/>
                <w:color w:val="auto"/>
              </w:rPr>
              <w:t>(2)</w:t>
            </w: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260" w:type="dxa"/>
            <w:vAlign w:val="bottom"/>
            <w:shd w:val="clear" w:color="auto" w:fill="DCDDDE"/>
          </w:tcPr>
          <w:p>
            <w:pPr>
              <w:spacing w:after="0"/>
              <w:rPr>
                <w:sz w:val="12"/>
                <w:szCs w:val="12"/>
                <w:color w:val="auto"/>
              </w:rPr>
            </w:pPr>
          </w:p>
        </w:tc>
        <w:tc>
          <w:tcPr>
            <w:tcW w:w="1780" w:type="dxa"/>
            <w:vAlign w:val="bottom"/>
            <w:gridSpan w:val="2"/>
            <w:vMerge w:val="restart"/>
            <w:shd w:val="clear" w:color="auto" w:fill="DCDDDE"/>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vMerge w:val="restart"/>
            <w:shd w:val="clear" w:color="auto" w:fill="DCDDDE"/>
          </w:tcPr>
          <w:p>
            <w:pPr>
              <w:jc w:val="right"/>
              <w:spacing w:after="0"/>
              <w:rPr>
                <w:sz w:val="20"/>
                <w:szCs w:val="20"/>
                <w:color w:val="auto"/>
              </w:rPr>
            </w:pPr>
            <w:r>
              <w:rPr>
                <w:rFonts w:ascii="Arial" w:cs="Arial" w:eastAsia="Arial" w:hAnsi="Arial"/>
                <w:sz w:val="14"/>
                <w:szCs w:val="14"/>
                <w:color w:val="auto"/>
              </w:rPr>
              <w:t>70,239</w:t>
            </w:r>
          </w:p>
        </w:tc>
        <w:tc>
          <w:tcPr>
            <w:tcW w:w="300" w:type="dxa"/>
            <w:vAlign w:val="bottom"/>
            <w:vMerge w:val="continue"/>
            <w:shd w:val="clear" w:color="auto" w:fill="DCDDDE"/>
          </w:tcPr>
          <w:p>
            <w:pPr>
              <w:spacing w:after="0"/>
              <w:rPr>
                <w:sz w:val="12"/>
                <w:szCs w:val="12"/>
                <w:color w:val="auto"/>
              </w:rPr>
            </w:pPr>
          </w:p>
        </w:tc>
        <w:tc>
          <w:tcPr>
            <w:tcW w:w="980" w:type="dxa"/>
            <w:vAlign w:val="bottom"/>
            <w:vMerge w:val="restart"/>
            <w:shd w:val="clear" w:color="auto" w:fill="DCDDDE"/>
          </w:tcPr>
          <w:p>
            <w:pPr>
              <w:jc w:val="right"/>
              <w:ind w:right="168"/>
              <w:spacing w:after="0"/>
              <w:rPr>
                <w:sz w:val="20"/>
                <w:szCs w:val="20"/>
                <w:color w:val="auto"/>
              </w:rPr>
            </w:pPr>
            <w:r>
              <w:rPr>
                <w:rFonts w:ascii="Arial" w:cs="Arial" w:eastAsia="Arial" w:hAnsi="Arial"/>
                <w:sz w:val="14"/>
                <w:szCs w:val="14"/>
                <w:color w:val="auto"/>
              </w:rPr>
              <w:t>241,659</w:t>
            </w:r>
          </w:p>
        </w:tc>
        <w:tc>
          <w:tcPr>
            <w:tcW w:w="1360" w:type="dxa"/>
            <w:vAlign w:val="bottom"/>
            <w:vMerge w:val="restart"/>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CDDDE"/>
          </w:tcPr>
          <w:p>
            <w:pPr>
              <w:jc w:val="right"/>
              <w:spacing w:after="0"/>
              <w:rPr>
                <w:sz w:val="20"/>
                <w:szCs w:val="20"/>
                <w:color w:val="auto"/>
              </w:rPr>
            </w:pPr>
            <w:r>
              <w:rPr>
                <w:rFonts w:ascii="Arial" w:cs="Arial" w:eastAsia="Arial" w:hAnsi="Arial"/>
                <w:sz w:val="14"/>
                <w:szCs w:val="14"/>
                <w:color w:val="auto"/>
              </w:rPr>
              <w:t>1,572</w:t>
            </w:r>
          </w:p>
        </w:tc>
        <w:tc>
          <w:tcPr>
            <w:tcW w:w="260" w:type="dxa"/>
            <w:vAlign w:val="bottom"/>
            <w:shd w:val="clear" w:color="auto" w:fill="DCDDD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260" w:type="dxa"/>
            <w:vAlign w:val="bottom"/>
            <w:tcBorders>
              <w:bottom w:val="single" w:sz="8" w:color="DCDDDE"/>
            </w:tcBorders>
            <w:shd w:val="clear" w:color="auto" w:fill="DCDDDE"/>
          </w:tcPr>
          <w:p>
            <w:pPr>
              <w:spacing w:after="0"/>
              <w:rPr>
                <w:sz w:val="10"/>
                <w:szCs w:val="10"/>
                <w:color w:val="auto"/>
              </w:rPr>
            </w:pPr>
          </w:p>
        </w:tc>
        <w:tc>
          <w:tcPr>
            <w:tcW w:w="1780" w:type="dxa"/>
            <w:vAlign w:val="bottom"/>
            <w:tcBorders>
              <w:bottom w:val="single" w:sz="8" w:color="DCDDDE"/>
            </w:tcBorders>
            <w:gridSpan w:val="2"/>
            <w:vMerge w:val="continue"/>
            <w:shd w:val="clear" w:color="auto" w:fill="DCDDDE"/>
          </w:tcPr>
          <w:p>
            <w:pPr>
              <w:spacing w:after="0"/>
              <w:rPr>
                <w:sz w:val="10"/>
                <w:szCs w:val="10"/>
                <w:color w:val="auto"/>
              </w:rPr>
            </w:pPr>
          </w:p>
        </w:tc>
        <w:tc>
          <w:tcPr>
            <w:tcW w:w="1240" w:type="dxa"/>
            <w:vAlign w:val="bottom"/>
            <w:tcBorders>
              <w:bottom w:val="single" w:sz="8" w:color="DCDDDE"/>
            </w:tcBorders>
            <w:vMerge w:val="continue"/>
            <w:shd w:val="clear" w:color="auto" w:fill="DCDDDE"/>
          </w:tcPr>
          <w:p>
            <w:pPr>
              <w:spacing w:after="0"/>
              <w:rPr>
                <w:sz w:val="10"/>
                <w:szCs w:val="10"/>
                <w:color w:val="auto"/>
              </w:rPr>
            </w:pPr>
          </w:p>
        </w:tc>
        <w:tc>
          <w:tcPr>
            <w:tcW w:w="300" w:type="dxa"/>
            <w:vAlign w:val="bottom"/>
            <w:tcBorders>
              <w:bottom w:val="single" w:sz="8" w:color="DCDDDE"/>
            </w:tcBorders>
            <w:shd w:val="clear" w:color="auto" w:fill="DCDDDE"/>
          </w:tcPr>
          <w:p>
            <w:pPr>
              <w:jc w:val="right"/>
              <w:ind w:right="19"/>
              <w:spacing w:after="0" w:line="118" w:lineRule="exact"/>
              <w:rPr>
                <w:sz w:val="20"/>
                <w:szCs w:val="20"/>
                <w:color w:val="auto"/>
              </w:rPr>
            </w:pPr>
            <w:r>
              <w:rPr>
                <w:rFonts w:ascii="Arial" w:cs="Arial" w:eastAsia="Arial" w:hAnsi="Arial"/>
                <w:sz w:val="12"/>
                <w:szCs w:val="12"/>
                <w:color w:val="auto"/>
              </w:rPr>
              <w:t>(3)</w:t>
            </w:r>
          </w:p>
        </w:tc>
        <w:tc>
          <w:tcPr>
            <w:tcW w:w="980" w:type="dxa"/>
            <w:vAlign w:val="bottom"/>
            <w:tcBorders>
              <w:bottom w:val="single" w:sz="8" w:color="DCDDDE"/>
            </w:tcBorders>
            <w:vMerge w:val="continue"/>
            <w:shd w:val="clear" w:color="auto" w:fill="DCDDDE"/>
          </w:tcPr>
          <w:p>
            <w:pPr>
              <w:spacing w:after="0"/>
              <w:rPr>
                <w:sz w:val="10"/>
                <w:szCs w:val="10"/>
                <w:color w:val="auto"/>
              </w:rPr>
            </w:pPr>
          </w:p>
        </w:tc>
        <w:tc>
          <w:tcPr>
            <w:tcW w:w="1360" w:type="dxa"/>
            <w:vAlign w:val="bottom"/>
            <w:tcBorders>
              <w:bottom w:val="single" w:sz="8" w:color="DCDDDE"/>
            </w:tcBorders>
            <w:vMerge w:val="continue"/>
            <w:shd w:val="clear" w:color="auto" w:fill="DCDDDE"/>
          </w:tcPr>
          <w:p>
            <w:pPr>
              <w:spacing w:after="0"/>
              <w:rPr>
                <w:sz w:val="10"/>
                <w:szCs w:val="10"/>
                <w:color w:val="auto"/>
              </w:rPr>
            </w:pPr>
          </w:p>
        </w:tc>
        <w:tc>
          <w:tcPr>
            <w:tcW w:w="1240" w:type="dxa"/>
            <w:vAlign w:val="bottom"/>
            <w:tcBorders>
              <w:bottom w:val="single" w:sz="8" w:color="DCDDDE"/>
            </w:tcBorders>
            <w:vMerge w:val="continue"/>
            <w:shd w:val="clear" w:color="auto" w:fill="DCDDDE"/>
          </w:tcPr>
          <w:p>
            <w:pPr>
              <w:spacing w:after="0"/>
              <w:rPr>
                <w:sz w:val="10"/>
                <w:szCs w:val="10"/>
                <w:color w:val="auto"/>
              </w:rPr>
            </w:pPr>
          </w:p>
        </w:tc>
        <w:tc>
          <w:tcPr>
            <w:tcW w:w="260" w:type="dxa"/>
            <w:vAlign w:val="bottom"/>
            <w:tcBorders>
              <w:bottom w:val="single" w:sz="8" w:color="DCDDDE"/>
            </w:tcBorders>
            <w:shd w:val="clear" w:color="auto" w:fill="DCDDDE"/>
          </w:tcPr>
          <w:p>
            <w:pPr>
              <w:jc w:val="right"/>
              <w:spacing w:after="0" w:line="118"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4"/>
                <w:szCs w:val="14"/>
                <w:color w:val="auto"/>
              </w:rPr>
              <w:t>Cristiana Falcone Sorrell</w:t>
            </w: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3"/>
                <w:szCs w:val="13"/>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9"/>
              <w:spacing w:after="0"/>
              <w:rPr>
                <w:sz w:val="20"/>
                <w:szCs w:val="20"/>
                <w:color w:val="auto"/>
              </w:rPr>
            </w:pPr>
            <w:r>
              <w:rPr>
                <w:rFonts w:ascii="Arial" w:cs="Arial" w:eastAsia="Arial" w:hAnsi="Arial"/>
                <w:sz w:val="12"/>
                <w:szCs w:val="12"/>
                <w:color w:val="auto"/>
              </w:rPr>
              <w:t>(4)</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20,601</w:t>
            </w:r>
          </w:p>
        </w:tc>
        <w:tc>
          <w:tcPr>
            <w:tcW w:w="2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20"/>
                <w:szCs w:val="20"/>
                <w:color w:val="auto"/>
              </w:rPr>
            </w:pPr>
            <w:r>
              <w:rPr>
                <w:rFonts w:ascii="Arial" w:cs="Arial" w:eastAsia="Arial" w:hAnsi="Arial"/>
                <w:sz w:val="14"/>
                <w:szCs w:val="14"/>
                <w:color w:val="auto"/>
              </w:rPr>
              <w:t>Doretha (DeDe) F. Lea</w:t>
            </w: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CDDDE"/>
          </w:tcPr>
          <w:p>
            <w:pPr>
              <w:jc w:val="right"/>
              <w:ind w:right="19"/>
              <w:spacing w:after="0"/>
              <w:rPr>
                <w:sz w:val="20"/>
                <w:szCs w:val="20"/>
                <w:color w:val="auto"/>
              </w:rPr>
            </w:pPr>
            <w:r>
              <w:rPr>
                <w:rFonts w:ascii="Arial" w:cs="Arial" w:eastAsia="Arial" w:hAnsi="Arial"/>
                <w:sz w:val="12"/>
                <w:szCs w:val="12"/>
                <w:color w:val="auto"/>
              </w:rPr>
              <w:t>(2)</w:t>
            </w: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260" w:type="dxa"/>
            <w:vAlign w:val="bottom"/>
            <w:shd w:val="clear" w:color="auto" w:fill="DCDDDE"/>
          </w:tcPr>
          <w:p>
            <w:pPr>
              <w:spacing w:after="0"/>
              <w:rPr>
                <w:sz w:val="12"/>
                <w:szCs w:val="12"/>
                <w:color w:val="auto"/>
              </w:rPr>
            </w:pPr>
          </w:p>
        </w:tc>
        <w:tc>
          <w:tcPr>
            <w:tcW w:w="1780" w:type="dxa"/>
            <w:vAlign w:val="bottom"/>
            <w:gridSpan w:val="2"/>
            <w:vMerge w:val="restart"/>
            <w:shd w:val="clear" w:color="auto" w:fill="DCDDDE"/>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vMerge w:val="restart"/>
            <w:shd w:val="clear" w:color="auto" w:fill="DCDDDE"/>
          </w:tcPr>
          <w:p>
            <w:pPr>
              <w:jc w:val="right"/>
              <w:spacing w:after="0"/>
              <w:rPr>
                <w:sz w:val="20"/>
                <w:szCs w:val="20"/>
                <w:color w:val="auto"/>
              </w:rPr>
            </w:pPr>
            <w:r>
              <w:rPr>
                <w:rFonts w:ascii="Arial" w:cs="Arial" w:eastAsia="Arial" w:hAnsi="Arial"/>
                <w:sz w:val="14"/>
                <w:szCs w:val="14"/>
                <w:color w:val="auto"/>
              </w:rPr>
              <w:t>32,923</w:t>
            </w:r>
          </w:p>
        </w:tc>
        <w:tc>
          <w:tcPr>
            <w:tcW w:w="300" w:type="dxa"/>
            <w:vAlign w:val="bottom"/>
            <w:vMerge w:val="continue"/>
            <w:shd w:val="clear" w:color="auto" w:fill="DCDDDE"/>
          </w:tcPr>
          <w:p>
            <w:pPr>
              <w:spacing w:after="0"/>
              <w:rPr>
                <w:sz w:val="12"/>
                <w:szCs w:val="12"/>
                <w:color w:val="auto"/>
              </w:rPr>
            </w:pPr>
          </w:p>
        </w:tc>
        <w:tc>
          <w:tcPr>
            <w:tcW w:w="980" w:type="dxa"/>
            <w:vAlign w:val="bottom"/>
            <w:vMerge w:val="restart"/>
            <w:shd w:val="clear" w:color="auto" w:fill="DCDDDE"/>
          </w:tcPr>
          <w:p>
            <w:pPr>
              <w:jc w:val="right"/>
              <w:ind w:right="168"/>
              <w:spacing w:after="0"/>
              <w:rPr>
                <w:sz w:val="20"/>
                <w:szCs w:val="20"/>
                <w:color w:val="auto"/>
              </w:rPr>
            </w:pPr>
            <w:r>
              <w:rPr>
                <w:rFonts w:ascii="Arial" w:cs="Arial" w:eastAsia="Arial" w:hAnsi="Arial"/>
                <w:sz w:val="14"/>
                <w:szCs w:val="14"/>
                <w:color w:val="auto"/>
              </w:rPr>
              <w:t>97,986</w:t>
            </w:r>
          </w:p>
        </w:tc>
        <w:tc>
          <w:tcPr>
            <w:tcW w:w="1360" w:type="dxa"/>
            <w:vAlign w:val="bottom"/>
            <w:vMerge w:val="restart"/>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CDDDE"/>
          </w:tcPr>
          <w:p>
            <w:pPr>
              <w:jc w:val="right"/>
              <w:spacing w:after="0"/>
              <w:rPr>
                <w:sz w:val="20"/>
                <w:szCs w:val="20"/>
                <w:color w:val="auto"/>
              </w:rPr>
            </w:pPr>
            <w:r>
              <w:rPr>
                <w:rFonts w:ascii="Arial" w:cs="Arial" w:eastAsia="Arial" w:hAnsi="Arial"/>
                <w:sz w:val="14"/>
                <w:szCs w:val="14"/>
                <w:color w:val="auto"/>
              </w:rPr>
              <w:t>1,124</w:t>
            </w:r>
          </w:p>
        </w:tc>
        <w:tc>
          <w:tcPr>
            <w:tcW w:w="260" w:type="dxa"/>
            <w:vAlign w:val="bottom"/>
            <w:shd w:val="clear" w:color="auto" w:fill="DCDDD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260" w:type="dxa"/>
            <w:vAlign w:val="bottom"/>
            <w:tcBorders>
              <w:bottom w:val="single" w:sz="8" w:color="DCDDDE"/>
            </w:tcBorders>
            <w:shd w:val="clear" w:color="auto" w:fill="DCDDDE"/>
          </w:tcPr>
          <w:p>
            <w:pPr>
              <w:spacing w:after="0"/>
              <w:rPr>
                <w:sz w:val="10"/>
                <w:szCs w:val="10"/>
                <w:color w:val="auto"/>
              </w:rPr>
            </w:pPr>
          </w:p>
        </w:tc>
        <w:tc>
          <w:tcPr>
            <w:tcW w:w="1780" w:type="dxa"/>
            <w:vAlign w:val="bottom"/>
            <w:tcBorders>
              <w:bottom w:val="single" w:sz="8" w:color="DCDDDE"/>
            </w:tcBorders>
            <w:gridSpan w:val="2"/>
            <w:vMerge w:val="continue"/>
            <w:shd w:val="clear" w:color="auto" w:fill="DCDDDE"/>
          </w:tcPr>
          <w:p>
            <w:pPr>
              <w:spacing w:after="0"/>
              <w:rPr>
                <w:sz w:val="10"/>
                <w:szCs w:val="10"/>
                <w:color w:val="auto"/>
              </w:rPr>
            </w:pPr>
          </w:p>
        </w:tc>
        <w:tc>
          <w:tcPr>
            <w:tcW w:w="1240" w:type="dxa"/>
            <w:vAlign w:val="bottom"/>
            <w:tcBorders>
              <w:bottom w:val="single" w:sz="8" w:color="DCDDDE"/>
            </w:tcBorders>
            <w:vMerge w:val="continue"/>
            <w:shd w:val="clear" w:color="auto" w:fill="DCDDDE"/>
          </w:tcPr>
          <w:p>
            <w:pPr>
              <w:spacing w:after="0"/>
              <w:rPr>
                <w:sz w:val="10"/>
                <w:szCs w:val="10"/>
                <w:color w:val="auto"/>
              </w:rPr>
            </w:pPr>
          </w:p>
        </w:tc>
        <w:tc>
          <w:tcPr>
            <w:tcW w:w="300" w:type="dxa"/>
            <w:vAlign w:val="bottom"/>
            <w:tcBorders>
              <w:bottom w:val="single" w:sz="8" w:color="DCDDDE"/>
            </w:tcBorders>
            <w:shd w:val="clear" w:color="auto" w:fill="DCDDDE"/>
          </w:tcPr>
          <w:p>
            <w:pPr>
              <w:jc w:val="right"/>
              <w:ind w:right="19"/>
              <w:spacing w:after="0" w:line="118" w:lineRule="exact"/>
              <w:rPr>
                <w:sz w:val="20"/>
                <w:szCs w:val="20"/>
                <w:color w:val="auto"/>
              </w:rPr>
            </w:pPr>
            <w:r>
              <w:rPr>
                <w:rFonts w:ascii="Arial" w:cs="Arial" w:eastAsia="Arial" w:hAnsi="Arial"/>
                <w:sz w:val="12"/>
                <w:szCs w:val="12"/>
                <w:color w:val="auto"/>
              </w:rPr>
              <w:t>(3)</w:t>
            </w:r>
          </w:p>
        </w:tc>
        <w:tc>
          <w:tcPr>
            <w:tcW w:w="980" w:type="dxa"/>
            <w:vAlign w:val="bottom"/>
            <w:tcBorders>
              <w:bottom w:val="single" w:sz="8" w:color="DCDDDE"/>
            </w:tcBorders>
            <w:vMerge w:val="continue"/>
            <w:shd w:val="clear" w:color="auto" w:fill="DCDDDE"/>
          </w:tcPr>
          <w:p>
            <w:pPr>
              <w:spacing w:after="0"/>
              <w:rPr>
                <w:sz w:val="10"/>
                <w:szCs w:val="10"/>
                <w:color w:val="auto"/>
              </w:rPr>
            </w:pPr>
          </w:p>
        </w:tc>
        <w:tc>
          <w:tcPr>
            <w:tcW w:w="1360" w:type="dxa"/>
            <w:vAlign w:val="bottom"/>
            <w:tcBorders>
              <w:bottom w:val="single" w:sz="8" w:color="DCDDDE"/>
            </w:tcBorders>
            <w:vMerge w:val="continue"/>
            <w:shd w:val="clear" w:color="auto" w:fill="DCDDDE"/>
          </w:tcPr>
          <w:p>
            <w:pPr>
              <w:spacing w:after="0"/>
              <w:rPr>
                <w:sz w:val="10"/>
                <w:szCs w:val="10"/>
                <w:color w:val="auto"/>
              </w:rPr>
            </w:pPr>
          </w:p>
        </w:tc>
        <w:tc>
          <w:tcPr>
            <w:tcW w:w="1240" w:type="dxa"/>
            <w:vAlign w:val="bottom"/>
            <w:tcBorders>
              <w:bottom w:val="single" w:sz="8" w:color="DCDDDE"/>
            </w:tcBorders>
            <w:vMerge w:val="continue"/>
            <w:shd w:val="clear" w:color="auto" w:fill="DCDDDE"/>
          </w:tcPr>
          <w:p>
            <w:pPr>
              <w:spacing w:after="0"/>
              <w:rPr>
                <w:sz w:val="10"/>
                <w:szCs w:val="10"/>
                <w:color w:val="auto"/>
              </w:rPr>
            </w:pPr>
          </w:p>
        </w:tc>
        <w:tc>
          <w:tcPr>
            <w:tcW w:w="260" w:type="dxa"/>
            <w:vAlign w:val="bottom"/>
            <w:tcBorders>
              <w:bottom w:val="single" w:sz="8" w:color="DCDDDE"/>
            </w:tcBorders>
            <w:shd w:val="clear" w:color="auto" w:fill="DCDDDE"/>
          </w:tcPr>
          <w:p>
            <w:pPr>
              <w:jc w:val="right"/>
              <w:spacing w:after="0" w:line="118"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4"/>
                <w:szCs w:val="14"/>
                <w:color w:val="auto"/>
              </w:rPr>
              <w:t>Thomas J. May</w:t>
            </w: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3"/>
                <w:szCs w:val="13"/>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9"/>
              <w:spacing w:after="0"/>
              <w:rPr>
                <w:sz w:val="20"/>
                <w:szCs w:val="20"/>
                <w:color w:val="auto"/>
              </w:rPr>
            </w:pPr>
            <w:r>
              <w:rPr>
                <w:rFonts w:ascii="Arial" w:cs="Arial" w:eastAsia="Arial" w:hAnsi="Arial"/>
                <w:sz w:val="12"/>
                <w:szCs w:val="12"/>
                <w:color w:val="auto"/>
              </w:rPr>
              <w:t>(4)</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4,332</w:t>
            </w:r>
          </w:p>
        </w:tc>
        <w:tc>
          <w:tcPr>
            <w:tcW w:w="2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20"/>
                <w:szCs w:val="20"/>
                <w:color w:val="auto"/>
              </w:rPr>
            </w:pPr>
            <w:r>
              <w:rPr>
                <w:rFonts w:ascii="Arial" w:cs="Arial" w:eastAsia="Arial" w:hAnsi="Arial"/>
                <w:sz w:val="14"/>
                <w:szCs w:val="14"/>
                <w:color w:val="auto"/>
              </w:rPr>
              <w:t>Judith A. McHale</w:t>
            </w: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15</w:t>
            </w:r>
          </w:p>
        </w:tc>
        <w:tc>
          <w:tcPr>
            <w:tcW w:w="300" w:type="dxa"/>
            <w:vAlign w:val="bottom"/>
            <w:shd w:val="clear" w:color="auto" w:fill="DCDDDE"/>
          </w:tcPr>
          <w:p>
            <w:pPr>
              <w:spacing w:after="0"/>
              <w:rPr>
                <w:sz w:val="15"/>
                <w:szCs w:val="15"/>
                <w:color w:val="auto"/>
              </w:rPr>
            </w:pP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15"/>
                <w:szCs w:val="15"/>
                <w:color w:val="auto"/>
              </w:rPr>
            </w:pP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4,313</w:t>
            </w:r>
          </w:p>
        </w:tc>
        <w:tc>
          <w:tcPr>
            <w:tcW w:w="300" w:type="dxa"/>
            <w:vAlign w:val="bottom"/>
            <w:shd w:val="clear" w:color="auto" w:fill="DCDDDE"/>
          </w:tcPr>
          <w:p>
            <w:pPr>
              <w:spacing w:after="0"/>
              <w:rPr>
                <w:sz w:val="15"/>
                <w:szCs w:val="15"/>
                <w:color w:val="auto"/>
              </w:rPr>
            </w:pP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4"/>
                <w:szCs w:val="14"/>
                <w:color w:val="auto"/>
              </w:rPr>
              <w:t>Scott M. Mills</w:t>
            </w: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3"/>
                <w:szCs w:val="13"/>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42,055</w:t>
            </w:r>
          </w:p>
        </w:tc>
        <w:tc>
          <w:tcPr>
            <w:tcW w:w="300" w:type="dxa"/>
            <w:vAlign w:val="bottom"/>
          </w:tcPr>
          <w:p>
            <w:pPr>
              <w:spacing w:after="0"/>
              <w:rPr>
                <w:sz w:val="13"/>
                <w:szCs w:val="13"/>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272,276</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20"/>
                <w:szCs w:val="20"/>
                <w:color w:val="auto"/>
              </w:rPr>
            </w:pPr>
            <w:r>
              <w:rPr>
                <w:rFonts w:ascii="Arial" w:cs="Arial" w:eastAsia="Arial" w:hAnsi="Arial"/>
                <w:sz w:val="14"/>
                <w:szCs w:val="14"/>
                <w:color w:val="auto"/>
              </w:rPr>
              <w:t>Ronald L. Nelson</w:t>
            </w: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CDDDE"/>
          </w:tcPr>
          <w:p>
            <w:pPr>
              <w:spacing w:after="0"/>
              <w:rPr>
                <w:sz w:val="15"/>
                <w:szCs w:val="15"/>
                <w:color w:val="auto"/>
              </w:rPr>
            </w:pP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15"/>
                <w:szCs w:val="15"/>
                <w:color w:val="auto"/>
              </w:rPr>
            </w:pP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20,000</w:t>
            </w:r>
          </w:p>
        </w:tc>
        <w:tc>
          <w:tcPr>
            <w:tcW w:w="300" w:type="dxa"/>
            <w:vAlign w:val="bottom"/>
            <w:shd w:val="clear" w:color="auto" w:fill="DCDDDE"/>
          </w:tcPr>
          <w:p>
            <w:pPr>
              <w:jc w:val="right"/>
              <w:ind w:right="19"/>
              <w:spacing w:after="0"/>
              <w:rPr>
                <w:sz w:val="20"/>
                <w:szCs w:val="20"/>
                <w:color w:val="auto"/>
              </w:rPr>
            </w:pPr>
            <w:r>
              <w:rPr>
                <w:rFonts w:ascii="Arial" w:cs="Arial" w:eastAsia="Arial" w:hAnsi="Arial"/>
                <w:sz w:val="12"/>
                <w:szCs w:val="12"/>
                <w:color w:val="auto"/>
              </w:rPr>
              <w:t>(4)</w:t>
            </w: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4,332</w:t>
            </w:r>
          </w:p>
        </w:tc>
        <w:tc>
          <w:tcPr>
            <w:tcW w:w="260" w:type="dxa"/>
            <w:vAlign w:val="bottom"/>
            <w:shd w:val="clear" w:color="auto" w:fill="DCDDDE"/>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4"/>
                <w:szCs w:val="14"/>
                <w:color w:val="auto"/>
              </w:rPr>
              <w:t>Deborah Norville</w:t>
            </w: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3"/>
                <w:szCs w:val="13"/>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219</w:t>
            </w:r>
          </w:p>
        </w:tc>
        <w:tc>
          <w:tcPr>
            <w:tcW w:w="300" w:type="dxa"/>
            <w:vAlign w:val="bottom"/>
          </w:tcPr>
          <w:p>
            <w:pPr>
              <w:jc w:val="right"/>
              <w:ind w:right="19"/>
              <w:spacing w:after="0"/>
              <w:rPr>
                <w:sz w:val="20"/>
                <w:szCs w:val="20"/>
                <w:color w:val="auto"/>
              </w:rPr>
            </w:pPr>
            <w:r>
              <w:rPr>
                <w:rFonts w:ascii="Arial" w:cs="Arial" w:eastAsia="Arial" w:hAnsi="Arial"/>
                <w:sz w:val="12"/>
                <w:szCs w:val="12"/>
                <w:color w:val="auto"/>
              </w:rPr>
              <w:t>(4)</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29,646</w:t>
            </w:r>
          </w:p>
        </w:tc>
        <w:tc>
          <w:tcPr>
            <w:tcW w:w="2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20"/>
                <w:szCs w:val="20"/>
                <w:color w:val="auto"/>
              </w:rPr>
            </w:pPr>
            <w:r>
              <w:rPr>
                <w:rFonts w:ascii="Arial" w:cs="Arial" w:eastAsia="Arial" w:hAnsi="Arial"/>
                <w:sz w:val="14"/>
                <w:szCs w:val="14"/>
                <w:color w:val="auto"/>
              </w:rPr>
              <w:t>Charles E. Phillips, Jr.</w:t>
            </w: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CDDDE"/>
          </w:tcPr>
          <w:p>
            <w:pPr>
              <w:spacing w:after="0"/>
              <w:rPr>
                <w:sz w:val="15"/>
                <w:szCs w:val="15"/>
                <w:color w:val="auto"/>
              </w:rPr>
            </w:pP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15"/>
                <w:szCs w:val="15"/>
                <w:color w:val="auto"/>
              </w:rPr>
            </w:pP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4,098</w:t>
            </w:r>
          </w:p>
        </w:tc>
        <w:tc>
          <w:tcPr>
            <w:tcW w:w="300" w:type="dxa"/>
            <w:vAlign w:val="bottom"/>
            <w:shd w:val="clear" w:color="auto" w:fill="DCDDDE"/>
          </w:tcPr>
          <w:p>
            <w:pPr>
              <w:jc w:val="right"/>
              <w:ind w:right="19"/>
              <w:spacing w:after="0"/>
              <w:rPr>
                <w:sz w:val="20"/>
                <w:szCs w:val="20"/>
                <w:color w:val="auto"/>
              </w:rPr>
            </w:pPr>
            <w:r>
              <w:rPr>
                <w:rFonts w:ascii="Arial" w:cs="Arial" w:eastAsia="Arial" w:hAnsi="Arial"/>
                <w:sz w:val="12"/>
                <w:szCs w:val="12"/>
                <w:color w:val="auto"/>
              </w:rPr>
              <w:t>(4)</w:t>
            </w: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5,155</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60,207</w:t>
            </w:r>
          </w:p>
        </w:tc>
        <w:tc>
          <w:tcPr>
            <w:tcW w:w="260" w:type="dxa"/>
            <w:vAlign w:val="bottom"/>
            <w:shd w:val="clear" w:color="auto" w:fill="DCDDDE"/>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4"/>
                <w:szCs w:val="14"/>
                <w:color w:val="auto"/>
              </w:rPr>
              <w:t>Shari Redstone</w:t>
            </w: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2"/>
                <w:szCs w:val="12"/>
                <w:color w:val="auto"/>
              </w:rPr>
              <w:t>(1)</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3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(4)</w:t>
            </w: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105,553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00" w:type="dxa"/>
            <w:vAlign w:val="bottom"/>
          </w:tcPr>
          <w:p>
            <w:pPr>
              <w:jc w:val="right"/>
              <w:ind w:right="19"/>
              <w:spacing w:after="0"/>
              <w:rPr>
                <w:sz w:val="20"/>
                <w:szCs w:val="20"/>
                <w:color w:val="auto"/>
              </w:rPr>
            </w:pPr>
            <w:r>
              <w:rPr>
                <w:rFonts w:ascii="Arial" w:cs="Arial" w:eastAsia="Arial" w:hAnsi="Arial"/>
                <w:sz w:val="12"/>
                <w:szCs w:val="12"/>
                <w:color w:val="auto"/>
              </w:rPr>
              <w:t>(5)</w:t>
            </w:r>
          </w:p>
        </w:tc>
        <w:tc>
          <w:tcPr>
            <w:tcW w:w="98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20"/>
                <w:szCs w:val="20"/>
                <w:color w:val="auto"/>
              </w:rPr>
            </w:pPr>
            <w:r>
              <w:rPr>
                <w:rFonts w:ascii="Arial" w:cs="Arial" w:eastAsia="Arial" w:hAnsi="Arial"/>
                <w:sz w:val="14"/>
                <w:szCs w:val="14"/>
                <w:color w:val="auto"/>
              </w:rPr>
              <w:t>Nicole Seligman</w:t>
            </w: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CDDDE"/>
          </w:tcPr>
          <w:p>
            <w:pPr>
              <w:jc w:val="right"/>
              <w:ind w:right="19"/>
              <w:spacing w:after="0"/>
              <w:rPr>
                <w:sz w:val="20"/>
                <w:szCs w:val="20"/>
                <w:color w:val="auto"/>
              </w:rPr>
            </w:pPr>
            <w:r>
              <w:rPr>
                <w:rFonts w:ascii="Arial" w:cs="Arial" w:eastAsia="Arial" w:hAnsi="Arial"/>
                <w:sz w:val="12"/>
                <w:szCs w:val="12"/>
                <w:color w:val="auto"/>
              </w:rPr>
              <w:t>(1)</w:t>
            </w: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260" w:type="dxa"/>
            <w:vAlign w:val="bottom"/>
            <w:shd w:val="clear" w:color="auto" w:fill="DCDDDE"/>
          </w:tcPr>
          <w:p>
            <w:pPr>
              <w:spacing w:after="0"/>
              <w:rPr>
                <w:sz w:val="12"/>
                <w:szCs w:val="12"/>
                <w:color w:val="auto"/>
              </w:rPr>
            </w:pPr>
          </w:p>
        </w:tc>
        <w:tc>
          <w:tcPr>
            <w:tcW w:w="1780" w:type="dxa"/>
            <w:vAlign w:val="bottom"/>
            <w:gridSpan w:val="2"/>
            <w:vMerge w:val="restart"/>
            <w:shd w:val="clear" w:color="auto" w:fill="DCDDDE"/>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vMerge w:val="restart"/>
            <w:shd w:val="clear" w:color="auto" w:fill="DCDDDE"/>
          </w:tcPr>
          <w:p>
            <w:pPr>
              <w:jc w:val="right"/>
              <w:spacing w:after="0"/>
              <w:rPr>
                <w:sz w:val="20"/>
                <w:szCs w:val="20"/>
                <w:color w:val="auto"/>
              </w:rPr>
            </w:pPr>
            <w:r>
              <w:rPr>
                <w:rFonts w:ascii="Arial" w:cs="Arial" w:eastAsia="Arial" w:hAnsi="Arial"/>
                <w:sz w:val="14"/>
                <w:szCs w:val="14"/>
                <w:color w:val="auto"/>
              </w:rPr>
              <w:t>500</w:t>
            </w:r>
          </w:p>
        </w:tc>
        <w:tc>
          <w:tcPr>
            <w:tcW w:w="300" w:type="dxa"/>
            <w:vAlign w:val="bottom"/>
            <w:vMerge w:val="continue"/>
            <w:shd w:val="clear" w:color="auto" w:fill="DCDDDE"/>
          </w:tcPr>
          <w:p>
            <w:pPr>
              <w:spacing w:after="0"/>
              <w:rPr>
                <w:sz w:val="12"/>
                <w:szCs w:val="12"/>
                <w:color w:val="auto"/>
              </w:rPr>
            </w:pPr>
          </w:p>
        </w:tc>
        <w:tc>
          <w:tcPr>
            <w:tcW w:w="980" w:type="dxa"/>
            <w:vAlign w:val="bottom"/>
            <w:vMerge w:val="restart"/>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CDDDE"/>
          </w:tcPr>
          <w:p>
            <w:pPr>
              <w:jc w:val="right"/>
              <w:spacing w:after="0"/>
              <w:rPr>
                <w:sz w:val="20"/>
                <w:szCs w:val="20"/>
                <w:color w:val="auto"/>
              </w:rPr>
            </w:pPr>
            <w:r>
              <w:rPr>
                <w:rFonts w:ascii="Arial" w:cs="Arial" w:eastAsia="Arial" w:hAnsi="Arial"/>
                <w:sz w:val="14"/>
                <w:szCs w:val="14"/>
                <w:color w:val="auto"/>
              </w:rPr>
              <w:t>4,332</w:t>
            </w:r>
          </w:p>
        </w:tc>
        <w:tc>
          <w:tcPr>
            <w:tcW w:w="260" w:type="dxa"/>
            <w:vAlign w:val="bottom"/>
            <w:shd w:val="clear" w:color="auto" w:fill="DCDDD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260" w:type="dxa"/>
            <w:vAlign w:val="bottom"/>
            <w:tcBorders>
              <w:bottom w:val="single" w:sz="8" w:color="DCDDDE"/>
            </w:tcBorders>
            <w:shd w:val="clear" w:color="auto" w:fill="DCDDDE"/>
          </w:tcPr>
          <w:p>
            <w:pPr>
              <w:spacing w:after="0"/>
              <w:rPr>
                <w:sz w:val="10"/>
                <w:szCs w:val="10"/>
                <w:color w:val="auto"/>
              </w:rPr>
            </w:pPr>
          </w:p>
        </w:tc>
        <w:tc>
          <w:tcPr>
            <w:tcW w:w="1780" w:type="dxa"/>
            <w:vAlign w:val="bottom"/>
            <w:tcBorders>
              <w:bottom w:val="single" w:sz="8" w:color="DCDDDE"/>
            </w:tcBorders>
            <w:gridSpan w:val="2"/>
            <w:vMerge w:val="continue"/>
            <w:shd w:val="clear" w:color="auto" w:fill="DCDDDE"/>
          </w:tcPr>
          <w:p>
            <w:pPr>
              <w:spacing w:after="0"/>
              <w:rPr>
                <w:sz w:val="10"/>
                <w:szCs w:val="10"/>
                <w:color w:val="auto"/>
              </w:rPr>
            </w:pPr>
          </w:p>
        </w:tc>
        <w:tc>
          <w:tcPr>
            <w:tcW w:w="1240" w:type="dxa"/>
            <w:vAlign w:val="bottom"/>
            <w:tcBorders>
              <w:bottom w:val="single" w:sz="8" w:color="DCDDDE"/>
            </w:tcBorders>
            <w:vMerge w:val="continue"/>
            <w:shd w:val="clear" w:color="auto" w:fill="DCDDDE"/>
          </w:tcPr>
          <w:p>
            <w:pPr>
              <w:spacing w:after="0"/>
              <w:rPr>
                <w:sz w:val="10"/>
                <w:szCs w:val="10"/>
                <w:color w:val="auto"/>
              </w:rPr>
            </w:pPr>
          </w:p>
        </w:tc>
        <w:tc>
          <w:tcPr>
            <w:tcW w:w="300" w:type="dxa"/>
            <w:vAlign w:val="bottom"/>
            <w:tcBorders>
              <w:bottom w:val="single" w:sz="8" w:color="DCDDDE"/>
            </w:tcBorders>
            <w:shd w:val="clear" w:color="auto" w:fill="DCDDDE"/>
          </w:tcPr>
          <w:p>
            <w:pPr>
              <w:jc w:val="right"/>
              <w:ind w:right="19"/>
              <w:spacing w:after="0" w:line="118" w:lineRule="exact"/>
              <w:rPr>
                <w:sz w:val="20"/>
                <w:szCs w:val="20"/>
                <w:color w:val="auto"/>
              </w:rPr>
            </w:pPr>
            <w:r>
              <w:rPr>
                <w:rFonts w:ascii="Arial" w:cs="Arial" w:eastAsia="Arial" w:hAnsi="Arial"/>
                <w:sz w:val="12"/>
                <w:szCs w:val="12"/>
                <w:color w:val="auto"/>
              </w:rPr>
              <w:t>(4)</w:t>
            </w:r>
          </w:p>
        </w:tc>
        <w:tc>
          <w:tcPr>
            <w:tcW w:w="980" w:type="dxa"/>
            <w:vAlign w:val="bottom"/>
            <w:tcBorders>
              <w:bottom w:val="single" w:sz="8" w:color="DCDDDE"/>
            </w:tcBorders>
            <w:vMerge w:val="continue"/>
            <w:shd w:val="clear" w:color="auto" w:fill="DCDDDE"/>
          </w:tcPr>
          <w:p>
            <w:pPr>
              <w:spacing w:after="0"/>
              <w:rPr>
                <w:sz w:val="10"/>
                <w:szCs w:val="10"/>
                <w:color w:val="auto"/>
              </w:rPr>
            </w:pPr>
          </w:p>
        </w:tc>
        <w:tc>
          <w:tcPr>
            <w:tcW w:w="1360" w:type="dxa"/>
            <w:vAlign w:val="bottom"/>
            <w:tcBorders>
              <w:bottom w:val="single" w:sz="8" w:color="DCDDDE"/>
            </w:tcBorders>
            <w:vMerge w:val="continue"/>
            <w:shd w:val="clear" w:color="auto" w:fill="DCDDDE"/>
          </w:tcPr>
          <w:p>
            <w:pPr>
              <w:spacing w:after="0"/>
              <w:rPr>
                <w:sz w:val="10"/>
                <w:szCs w:val="10"/>
                <w:color w:val="auto"/>
              </w:rPr>
            </w:pPr>
          </w:p>
        </w:tc>
        <w:tc>
          <w:tcPr>
            <w:tcW w:w="1240" w:type="dxa"/>
            <w:vAlign w:val="bottom"/>
            <w:tcBorders>
              <w:bottom w:val="single" w:sz="8" w:color="DCDDDE"/>
            </w:tcBorders>
            <w:vMerge w:val="continue"/>
            <w:shd w:val="clear" w:color="auto" w:fill="DCDDDE"/>
          </w:tcPr>
          <w:p>
            <w:pPr>
              <w:spacing w:after="0"/>
              <w:rPr>
                <w:sz w:val="10"/>
                <w:szCs w:val="10"/>
                <w:color w:val="auto"/>
              </w:rPr>
            </w:pPr>
          </w:p>
        </w:tc>
        <w:tc>
          <w:tcPr>
            <w:tcW w:w="260" w:type="dxa"/>
            <w:vAlign w:val="bottom"/>
            <w:tcBorders>
              <w:bottom w:val="single" w:sz="8" w:color="DCDDDE"/>
            </w:tcBorders>
            <w:shd w:val="clear" w:color="auto" w:fill="DCDDDE"/>
          </w:tcPr>
          <w:p>
            <w:pPr>
              <w:jc w:val="right"/>
              <w:spacing w:after="0" w:line="118"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4"/>
                <w:szCs w:val="14"/>
                <w:color w:val="auto"/>
              </w:rPr>
              <w:t>Current directors and executive officers</w:t>
            </w: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20"/>
                <w:szCs w:val="20"/>
                <w:color w:val="auto"/>
              </w:rPr>
            </w:pPr>
            <w:r>
              <w:rPr>
                <w:rFonts w:ascii="Arial" w:cs="Arial" w:eastAsia="Arial" w:hAnsi="Arial"/>
                <w:sz w:val="14"/>
                <w:szCs w:val="14"/>
                <w:color w:val="auto"/>
              </w:rPr>
              <w:t>as a group (12 persons)</w:t>
            </w: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298,585</w:t>
            </w:r>
          </w:p>
        </w:tc>
        <w:tc>
          <w:tcPr>
            <w:tcW w:w="300" w:type="dxa"/>
            <w:vAlign w:val="bottom"/>
          </w:tcPr>
          <w:p>
            <w:pPr>
              <w:jc w:val="right"/>
              <w:ind w:right="19"/>
              <w:spacing w:after="0"/>
              <w:rPr>
                <w:sz w:val="20"/>
                <w:szCs w:val="20"/>
                <w:color w:val="auto"/>
              </w:rPr>
            </w:pPr>
            <w:r>
              <w:rPr>
                <w:rFonts w:ascii="Arial" w:cs="Arial" w:eastAsia="Arial" w:hAnsi="Arial"/>
                <w:sz w:val="12"/>
                <w:szCs w:val="12"/>
                <w:color w:val="auto"/>
              </w:rPr>
              <w:t>(2)</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1,083,164</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231,699</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line="176" w:lineRule="exact"/>
              <w:rPr>
                <w:sz w:val="20"/>
                <w:szCs w:val="20"/>
                <w:color w:val="auto"/>
              </w:rPr>
            </w:pPr>
            <w:r>
              <w:rPr>
                <w:rFonts w:ascii="Arial" w:cs="Arial" w:eastAsia="Arial" w:hAnsi="Arial"/>
                <w:sz w:val="12"/>
                <w:szCs w:val="12"/>
                <w:color w:val="auto"/>
              </w:rPr>
              <w:t xml:space="preserve">Sumner M. Redstone </w:t>
            </w:r>
            <w:r>
              <w:rPr>
                <w:rFonts w:ascii="Arial" w:cs="Arial" w:eastAsia="Arial" w:hAnsi="Arial"/>
                <w:sz w:val="20"/>
                <w:szCs w:val="20"/>
                <w:color w:val="auto"/>
                <w:vertAlign w:val="superscript"/>
              </w:rPr>
              <w:t>(6)</w:t>
            </w: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39,442,372</w:t>
            </w:r>
          </w:p>
        </w:tc>
        <w:tc>
          <w:tcPr>
            <w:tcW w:w="300" w:type="dxa"/>
            <w:vAlign w:val="bottom"/>
            <w:shd w:val="clear" w:color="auto" w:fill="DCDDDE"/>
          </w:tcPr>
          <w:p>
            <w:pPr>
              <w:jc w:val="right"/>
              <w:ind w:right="19"/>
              <w:spacing w:after="0"/>
              <w:rPr>
                <w:sz w:val="20"/>
                <w:szCs w:val="20"/>
                <w:color w:val="auto"/>
              </w:rPr>
            </w:pPr>
            <w:r>
              <w:rPr>
                <w:rFonts w:ascii="Arial" w:cs="Arial" w:eastAsia="Arial" w:hAnsi="Arial"/>
                <w:sz w:val="12"/>
                <w:szCs w:val="12"/>
                <w:color w:val="auto"/>
              </w:rPr>
              <w:t>(7)</w:t>
            </w: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28"/>
              <w:spacing w:after="0"/>
              <w:rPr>
                <w:sz w:val="20"/>
                <w:szCs w:val="20"/>
                <w:color w:val="auto"/>
              </w:rPr>
            </w:pPr>
            <w:r>
              <w:rPr>
                <w:rFonts w:ascii="Arial" w:cs="Arial" w:eastAsia="Arial" w:hAnsi="Arial"/>
                <w:sz w:val="14"/>
                <w:szCs w:val="14"/>
                <w:color w:val="auto"/>
              </w:rPr>
              <w:t>79.8%</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rPr>
                <w:sz w:val="15"/>
                <w:szCs w:val="15"/>
                <w:color w:val="auto"/>
              </w:rPr>
            </w:pP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371,300</w:t>
            </w:r>
          </w:p>
        </w:tc>
        <w:tc>
          <w:tcPr>
            <w:tcW w:w="300" w:type="dxa"/>
            <w:vAlign w:val="bottom"/>
            <w:shd w:val="clear" w:color="auto" w:fill="DCDDDE"/>
          </w:tcPr>
          <w:p>
            <w:pPr>
              <w:jc w:val="right"/>
              <w:ind w:right="19"/>
              <w:spacing w:after="0"/>
              <w:rPr>
                <w:sz w:val="20"/>
                <w:szCs w:val="20"/>
                <w:color w:val="auto"/>
              </w:rPr>
            </w:pPr>
            <w:r>
              <w:rPr>
                <w:rFonts w:ascii="Arial" w:cs="Arial" w:eastAsia="Arial" w:hAnsi="Arial"/>
                <w:sz w:val="12"/>
                <w:szCs w:val="12"/>
                <w:color w:val="auto"/>
              </w:rPr>
              <w:t>(7)</w:t>
            </w: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4"/>
                <w:szCs w:val="14"/>
                <w:color w:val="auto"/>
              </w:rPr>
              <w:t>National Amusements, Inc.</w:t>
            </w: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39,442,332</w:t>
            </w:r>
          </w:p>
        </w:tc>
        <w:tc>
          <w:tcPr>
            <w:tcW w:w="300" w:type="dxa"/>
            <w:vAlign w:val="bottom"/>
          </w:tcPr>
          <w:p>
            <w:pPr>
              <w:jc w:val="right"/>
              <w:ind w:right="19"/>
              <w:spacing w:after="0"/>
              <w:rPr>
                <w:sz w:val="20"/>
                <w:szCs w:val="20"/>
                <w:color w:val="auto"/>
              </w:rPr>
            </w:pPr>
            <w:r>
              <w:rPr>
                <w:rFonts w:ascii="Arial" w:cs="Arial" w:eastAsia="Arial" w:hAnsi="Arial"/>
                <w:sz w:val="12"/>
                <w:szCs w:val="12"/>
                <w:color w:val="auto"/>
              </w:rPr>
              <w:t>(7)</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79.8%</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3"/>
                <w:szCs w:val="13"/>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4"/>
                <w:szCs w:val="14"/>
                <w:color w:val="auto"/>
              </w:rPr>
              <w:t>Class B common stock</w:t>
            </w:r>
          </w:p>
        </w:tc>
        <w:tc>
          <w:tcPr>
            <w:tcW w:w="1240" w:type="dxa"/>
            <w:vAlign w:val="bottom"/>
          </w:tcPr>
          <w:p>
            <w:pPr>
              <w:jc w:val="right"/>
              <w:spacing w:after="0"/>
              <w:rPr>
                <w:sz w:val="20"/>
                <w:szCs w:val="20"/>
                <w:color w:val="auto"/>
              </w:rPr>
            </w:pPr>
            <w:r>
              <w:rPr>
                <w:rFonts w:ascii="Arial" w:cs="Arial" w:eastAsia="Arial" w:hAnsi="Arial"/>
                <w:sz w:val="14"/>
                <w:szCs w:val="14"/>
                <w:color w:val="auto"/>
              </w:rPr>
              <w:t>371,300</w:t>
            </w:r>
          </w:p>
        </w:tc>
        <w:tc>
          <w:tcPr>
            <w:tcW w:w="300" w:type="dxa"/>
            <w:vAlign w:val="bottom"/>
          </w:tcPr>
          <w:p>
            <w:pPr>
              <w:jc w:val="right"/>
              <w:ind w:right="19"/>
              <w:spacing w:after="0"/>
              <w:rPr>
                <w:sz w:val="20"/>
                <w:szCs w:val="20"/>
                <w:color w:val="auto"/>
              </w:rPr>
            </w:pPr>
            <w:r>
              <w:rPr>
                <w:rFonts w:ascii="Arial" w:cs="Arial" w:eastAsia="Arial" w:hAnsi="Arial"/>
                <w:sz w:val="12"/>
                <w:szCs w:val="12"/>
                <w:color w:val="auto"/>
              </w:rPr>
              <w:t>(7)</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DCDDDE"/>
          </w:tcPr>
          <w:p>
            <w:pPr>
              <w:spacing w:after="0" w:line="176" w:lineRule="exact"/>
              <w:rPr>
                <w:sz w:val="20"/>
                <w:szCs w:val="20"/>
                <w:color w:val="auto"/>
              </w:rPr>
            </w:pPr>
            <w:r>
              <w:rPr>
                <w:rFonts w:ascii="Arial" w:cs="Arial" w:eastAsia="Arial" w:hAnsi="Arial"/>
                <w:sz w:val="12"/>
                <w:szCs w:val="12"/>
                <w:color w:val="auto"/>
              </w:rPr>
              <w:t xml:space="preserve">Mario J. Gabelli </w:t>
            </w:r>
            <w:r>
              <w:rPr>
                <w:rFonts w:ascii="Arial" w:cs="Arial" w:eastAsia="Arial" w:hAnsi="Arial"/>
                <w:sz w:val="20"/>
                <w:szCs w:val="20"/>
                <w:color w:val="auto"/>
                <w:vertAlign w:val="superscript"/>
              </w:rPr>
              <w:t>(8)</w:t>
            </w:r>
          </w:p>
        </w:tc>
        <w:tc>
          <w:tcPr>
            <w:tcW w:w="1780" w:type="dxa"/>
            <w:vAlign w:val="bottom"/>
            <w:gridSpan w:val="2"/>
            <w:shd w:val="clear" w:color="auto" w:fill="DCDDDE"/>
          </w:tcPr>
          <w:p>
            <w:pPr>
              <w:jc w:val="right"/>
              <w:ind w:right="140"/>
              <w:spacing w:after="0"/>
              <w:rPr>
                <w:sz w:val="20"/>
                <w:szCs w:val="20"/>
                <w:color w:val="auto"/>
              </w:rPr>
            </w:pPr>
            <w:r>
              <w:rPr>
                <w:rFonts w:ascii="Arial" w:cs="Arial" w:eastAsia="Arial" w:hAnsi="Arial"/>
                <w:sz w:val="14"/>
                <w:szCs w:val="14"/>
                <w:color w:val="auto"/>
              </w:rPr>
              <w:t>Class A common stock</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5,033,625</w:t>
            </w:r>
          </w:p>
        </w:tc>
        <w:tc>
          <w:tcPr>
            <w:tcW w:w="300" w:type="dxa"/>
            <w:vAlign w:val="bottom"/>
            <w:shd w:val="clear" w:color="auto" w:fill="DCDDDE"/>
          </w:tcPr>
          <w:p>
            <w:pPr>
              <w:spacing w:after="0"/>
              <w:rPr>
                <w:sz w:val="15"/>
                <w:szCs w:val="15"/>
                <w:color w:val="auto"/>
              </w:rPr>
            </w:pPr>
          </w:p>
        </w:tc>
        <w:tc>
          <w:tcPr>
            <w:tcW w:w="98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28"/>
              <w:spacing w:after="0"/>
              <w:rPr>
                <w:sz w:val="20"/>
                <w:szCs w:val="20"/>
                <w:color w:val="auto"/>
              </w:rPr>
            </w:pPr>
            <w:r>
              <w:rPr>
                <w:rFonts w:ascii="Arial" w:cs="Arial" w:eastAsia="Arial" w:hAnsi="Arial"/>
                <w:sz w:val="14"/>
                <w:szCs w:val="14"/>
                <w:color w:val="auto"/>
              </w:rPr>
              <w:t>10.2%</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GAMCO Investors, Inc.</w:t>
            </w:r>
          </w:p>
        </w:tc>
        <w:tc>
          <w:tcPr>
            <w:tcW w:w="1460" w:type="dxa"/>
            <w:vAlign w:val="bottom"/>
            <w:tcBorders>
              <w:bottom w:val="single" w:sz="8" w:color="auto"/>
            </w:tcBorders>
            <w:shd w:val="clear" w:color="auto" w:fill="DCDDDE"/>
          </w:tcPr>
          <w:p>
            <w:pPr>
              <w:spacing w:after="0"/>
              <w:rPr>
                <w:sz w:val="15"/>
                <w:szCs w:val="15"/>
                <w:color w:val="auto"/>
              </w:rPr>
            </w:pPr>
          </w:p>
        </w:tc>
        <w:tc>
          <w:tcPr>
            <w:tcW w:w="320" w:type="dxa"/>
            <w:vAlign w:val="bottom"/>
            <w:tcBorders>
              <w:bottom w:val="single" w:sz="8" w:color="auto"/>
            </w:tcBorders>
            <w:shd w:val="clear" w:color="auto" w:fill="DCDDDE"/>
          </w:tcPr>
          <w:p>
            <w:pPr>
              <w:spacing w:after="0"/>
              <w:rPr>
                <w:sz w:val="15"/>
                <w:szCs w:val="15"/>
                <w:color w:val="auto"/>
              </w:rPr>
            </w:pPr>
          </w:p>
        </w:tc>
        <w:tc>
          <w:tcPr>
            <w:tcW w:w="1240" w:type="dxa"/>
            <w:vAlign w:val="bottom"/>
            <w:tcBorders>
              <w:bottom w:val="single" w:sz="8" w:color="auto"/>
            </w:tcBorders>
            <w:shd w:val="clear" w:color="auto" w:fill="DCDDDE"/>
          </w:tcPr>
          <w:p>
            <w:pPr>
              <w:spacing w:after="0"/>
              <w:rPr>
                <w:sz w:val="15"/>
                <w:szCs w:val="15"/>
                <w:color w:val="auto"/>
              </w:rPr>
            </w:pPr>
          </w:p>
        </w:tc>
        <w:tc>
          <w:tcPr>
            <w:tcW w:w="300" w:type="dxa"/>
            <w:vAlign w:val="bottom"/>
            <w:tcBorders>
              <w:bottom w:val="single" w:sz="8" w:color="auto"/>
            </w:tcBorders>
            <w:shd w:val="clear" w:color="auto" w:fill="DCDDDE"/>
          </w:tcPr>
          <w:p>
            <w:pPr>
              <w:spacing w:after="0"/>
              <w:rPr>
                <w:sz w:val="15"/>
                <w:szCs w:val="15"/>
                <w:color w:val="auto"/>
              </w:rPr>
            </w:pPr>
          </w:p>
        </w:tc>
        <w:tc>
          <w:tcPr>
            <w:tcW w:w="980" w:type="dxa"/>
            <w:vAlign w:val="bottom"/>
            <w:tcBorders>
              <w:bottom w:val="single" w:sz="8" w:color="auto"/>
            </w:tcBorders>
            <w:shd w:val="clear" w:color="auto" w:fill="DCDDDE"/>
          </w:tcPr>
          <w:p>
            <w:pPr>
              <w:spacing w:after="0"/>
              <w:rPr>
                <w:sz w:val="15"/>
                <w:szCs w:val="15"/>
                <w:color w:val="auto"/>
              </w:rPr>
            </w:pPr>
          </w:p>
        </w:tc>
        <w:tc>
          <w:tcPr>
            <w:tcW w:w="1360" w:type="dxa"/>
            <w:vAlign w:val="bottom"/>
            <w:tcBorders>
              <w:bottom w:val="single" w:sz="8" w:color="auto"/>
            </w:tcBorders>
            <w:shd w:val="clear" w:color="auto" w:fill="DCDDDE"/>
          </w:tcPr>
          <w:p>
            <w:pPr>
              <w:spacing w:after="0"/>
              <w:rPr>
                <w:sz w:val="15"/>
                <w:szCs w:val="15"/>
                <w:color w:val="auto"/>
              </w:rPr>
            </w:pPr>
          </w:p>
        </w:tc>
        <w:tc>
          <w:tcPr>
            <w:tcW w:w="1240" w:type="dxa"/>
            <w:vAlign w:val="bottom"/>
            <w:tcBorders>
              <w:bottom w:val="single" w:sz="8" w:color="auto"/>
            </w:tcBorders>
            <w:shd w:val="clear" w:color="auto" w:fill="DCDDDE"/>
          </w:tcPr>
          <w:p>
            <w:pPr>
              <w:spacing w:after="0"/>
              <w:rPr>
                <w:sz w:val="15"/>
                <w:szCs w:val="15"/>
                <w:color w:val="auto"/>
              </w:rPr>
            </w:pPr>
          </w:p>
        </w:tc>
        <w:tc>
          <w:tcPr>
            <w:tcW w:w="260" w:type="dxa"/>
            <w:vAlign w:val="bottom"/>
            <w:tcBorders>
              <w:bottom w:val="single" w:sz="8" w:color="auto"/>
            </w:tcBorders>
            <w:shd w:val="clear" w:color="auto" w:fill="DCDDDE"/>
          </w:tcPr>
          <w:p>
            <w:pPr>
              <w:spacing w:after="0"/>
              <w:rPr>
                <w:sz w:val="15"/>
                <w:szCs w:val="1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less than 1% of the outstanding common stock of the class.</w:t>
      </w:r>
    </w:p>
    <w:p>
      <w:pPr>
        <w:spacing w:after="0" w:line="69" w:lineRule="exact"/>
        <w:rPr>
          <w:sz w:val="20"/>
          <w:szCs w:val="20"/>
          <w:color w:val="auto"/>
        </w:rPr>
      </w:pPr>
    </w:p>
    <w:p>
      <w:pPr>
        <w:ind w:left="440" w:right="20" w:hanging="432"/>
        <w:spacing w:after="0" w:line="244" w:lineRule="auto"/>
        <w:tabs>
          <w:tab w:leader="none" w:pos="440" w:val="left"/>
        </w:tabs>
        <w:numPr>
          <w:ilvl w:val="0"/>
          <w:numId w:val="47"/>
        </w:numPr>
        <w:rPr>
          <w:rFonts w:ascii="Arial" w:cs="Arial" w:eastAsia="Arial" w:hAnsi="Arial"/>
          <w:sz w:val="11"/>
          <w:szCs w:val="11"/>
          <w:i w:val="1"/>
          <w:iCs w:val="1"/>
          <w:color w:val="auto"/>
        </w:rPr>
      </w:pPr>
      <w:r>
        <w:rPr>
          <w:rFonts w:ascii="Arial" w:cs="Arial" w:eastAsia="Arial" w:hAnsi="Arial"/>
          <w:sz w:val="14"/>
          <w:szCs w:val="14"/>
          <w:i w:val="1"/>
          <w:iCs w:val="1"/>
          <w:color w:val="auto"/>
        </w:rPr>
        <w:t>Includes for Mr. Bakish, 242 Class B shares held by his children; for Shari Redstone, 1,500 Class B shares held in trusts for the benefit of her children, for which she is co-Trustee; and for Nicole Seligman, 500 Class B shares held indirectly as Trustee of a trust.</w:t>
      </w:r>
    </w:p>
    <w:p>
      <w:pPr>
        <w:spacing w:after="0" w:line="37" w:lineRule="exact"/>
        <w:rPr>
          <w:rFonts w:ascii="Arial" w:cs="Arial" w:eastAsia="Arial" w:hAnsi="Arial"/>
          <w:sz w:val="11"/>
          <w:szCs w:val="11"/>
          <w:i w:val="1"/>
          <w:iCs w:val="1"/>
          <w:color w:val="auto"/>
        </w:rPr>
      </w:pPr>
    </w:p>
    <w:p>
      <w:pPr>
        <w:ind w:left="440" w:hanging="432"/>
        <w:spacing w:after="0"/>
        <w:tabs>
          <w:tab w:leader="none" w:pos="440" w:val="left"/>
        </w:tabs>
        <w:numPr>
          <w:ilvl w:val="0"/>
          <w:numId w:val="47"/>
        </w:numPr>
        <w:rPr>
          <w:rFonts w:ascii="Arial" w:cs="Arial" w:eastAsia="Arial" w:hAnsi="Arial"/>
          <w:sz w:val="11"/>
          <w:szCs w:val="11"/>
          <w:i w:val="1"/>
          <w:iCs w:val="1"/>
          <w:color w:val="auto"/>
        </w:rPr>
      </w:pPr>
      <w:r>
        <w:rPr>
          <w:rFonts w:ascii="Arial" w:cs="Arial" w:eastAsia="Arial" w:hAnsi="Arial"/>
          <w:sz w:val="14"/>
          <w:szCs w:val="14"/>
          <w:i w:val="1"/>
          <w:iCs w:val="1"/>
          <w:color w:val="auto"/>
        </w:rPr>
        <w:t>Includes shares held in our 401(k) plan.</w:t>
      </w:r>
    </w:p>
    <w:p>
      <w:pPr>
        <w:spacing w:after="0" w:line="55" w:lineRule="exact"/>
        <w:rPr>
          <w:rFonts w:ascii="Arial" w:cs="Arial" w:eastAsia="Arial" w:hAnsi="Arial"/>
          <w:sz w:val="11"/>
          <w:szCs w:val="11"/>
          <w:i w:val="1"/>
          <w:iCs w:val="1"/>
          <w:color w:val="auto"/>
        </w:rPr>
      </w:pPr>
    </w:p>
    <w:p>
      <w:pPr>
        <w:ind w:left="440" w:right="40" w:hanging="432"/>
        <w:spacing w:after="0" w:line="244" w:lineRule="auto"/>
        <w:tabs>
          <w:tab w:leader="none" w:pos="440" w:val="left"/>
        </w:tabs>
        <w:numPr>
          <w:ilvl w:val="0"/>
          <w:numId w:val="47"/>
        </w:numPr>
        <w:rPr>
          <w:rFonts w:ascii="Arial" w:cs="Arial" w:eastAsia="Arial" w:hAnsi="Arial"/>
          <w:sz w:val="11"/>
          <w:szCs w:val="11"/>
          <w:i w:val="1"/>
          <w:iCs w:val="1"/>
          <w:color w:val="auto"/>
        </w:rPr>
      </w:pPr>
      <w:r>
        <w:rPr>
          <w:rFonts w:ascii="Arial" w:cs="Arial" w:eastAsia="Arial" w:hAnsi="Arial"/>
          <w:sz w:val="14"/>
          <w:szCs w:val="14"/>
          <w:i w:val="1"/>
          <w:iCs w:val="1"/>
          <w:color w:val="auto"/>
        </w:rPr>
        <w:t>The following Class B phantom stock units credited to the respective executive officer under the Excess 401(k) Plan for Designated Senior Executives are excluded from the “Number of Equity Shares” column and the “Percentage of Class” column and included in the “Common Stock Equivalents” column:</w:t>
      </w:r>
    </w:p>
    <w:p>
      <w:pPr>
        <w:sectPr>
          <w:pgSz w:w="11900" w:h="16838" w:orient="portrait"/>
          <w:cols w:equalWidth="0" w:num="1">
            <w:col w:w="11440"/>
          </w:cols>
          <w:pgMar w:left="240" w:top="125" w:right="219" w:bottom="1440" w:gutter="0" w:footer="0" w:header="0"/>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Davis: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Lea: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1,572 phantom stock units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1,124 phantom stock units</w:t>
      </w:r>
    </w:p>
    <w:p>
      <w:pPr>
        <w:spacing w:after="0" w:line="64" w:lineRule="exact"/>
        <w:rPr>
          <w:sz w:val="20"/>
          <w:szCs w:val="20"/>
          <w:color w:val="auto"/>
        </w:rPr>
      </w:pPr>
    </w:p>
    <w:p>
      <w:pPr>
        <w:sectPr>
          <w:pgSz w:w="11900" w:h="16838" w:orient="portrait"/>
          <w:cols w:equalWidth="0" w:num="2">
            <w:col w:w="1580" w:space="720"/>
            <w:col w:w="9140"/>
          </w:cols>
          <w:pgMar w:left="240" w:top="125" w:right="219" w:bottom="1440" w:gutter="0" w:footer="0" w:header="0"/>
          <w:type w:val="continuous"/>
        </w:sectPr>
      </w:pPr>
    </w:p>
    <w:p>
      <w:pPr>
        <w:jc w:val="both"/>
        <w:ind w:left="440" w:right="20" w:hanging="432"/>
        <w:spacing w:after="0" w:line="291" w:lineRule="auto"/>
        <w:tabs>
          <w:tab w:leader="none" w:pos="440" w:val="left"/>
        </w:tabs>
        <w:numPr>
          <w:ilvl w:val="0"/>
          <w:numId w:val="48"/>
        </w:numPr>
        <w:rPr>
          <w:rFonts w:ascii="Arial" w:cs="Arial" w:eastAsia="Arial" w:hAnsi="Arial"/>
          <w:sz w:val="11"/>
          <w:szCs w:val="11"/>
          <w:i w:val="1"/>
          <w:iCs w:val="1"/>
          <w:color w:val="auto"/>
        </w:rPr>
      </w:pPr>
      <w:r>
        <w:rPr>
          <w:rFonts w:ascii="Arial" w:cs="Arial" w:eastAsia="Arial" w:hAnsi="Arial"/>
          <w:sz w:val="12"/>
          <w:szCs w:val="12"/>
          <w:i w:val="1"/>
          <w:iCs w:val="1"/>
          <w:color w:val="auto"/>
        </w:rPr>
        <w:t>The following vested Class B RSUs include (1) RSUs credited to the respective director for deferred cash compensation under the Deferred Compensation Plan for Outside Directors and/or (2) RSUs resulting from annual RSU grants to the respective director under the RSU Plan for Outside Directors, in each case the settlement of which the director elected to defer. These shares are excluded from the “Number of Equity Shares” column and the “Percentage of Class” column and included in the “Common Stock Equivalents” column:</w:t>
      </w:r>
    </w:p>
    <w:p>
      <w:pPr>
        <w:sectPr>
          <w:pgSz w:w="11900" w:h="16838" w:orient="portrait"/>
          <w:cols w:equalWidth="0" w:num="1">
            <w:col w:w="11440"/>
          </w:cols>
          <w:pgMar w:left="240" w:top="125" w:right="21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Falcone Sorrell:</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May:</w:t>
      </w:r>
    </w:p>
    <w:p>
      <w:pPr>
        <w:ind w:left="460"/>
        <w:spacing w:after="0" w:line="221" w:lineRule="auto"/>
        <w:rPr>
          <w:sz w:val="20"/>
          <w:szCs w:val="20"/>
          <w:color w:val="auto"/>
        </w:rPr>
      </w:pPr>
      <w:r>
        <w:rPr>
          <w:rFonts w:ascii="Arial" w:cs="Arial" w:eastAsia="Arial" w:hAnsi="Arial"/>
          <w:sz w:val="14"/>
          <w:szCs w:val="14"/>
          <w:i w:val="1"/>
          <w:iCs w:val="1"/>
          <w:color w:val="auto"/>
        </w:rPr>
        <w:t>Nelson:</w:t>
      </w:r>
    </w:p>
    <w:p>
      <w:pPr>
        <w:ind w:left="460"/>
        <w:spacing w:after="0" w:line="221" w:lineRule="auto"/>
        <w:rPr>
          <w:sz w:val="20"/>
          <w:szCs w:val="20"/>
          <w:color w:val="auto"/>
        </w:rPr>
      </w:pPr>
      <w:r>
        <w:rPr>
          <w:rFonts w:ascii="Arial" w:cs="Arial" w:eastAsia="Arial" w:hAnsi="Arial"/>
          <w:sz w:val="14"/>
          <w:szCs w:val="14"/>
          <w:i w:val="1"/>
          <w:iCs w:val="1"/>
          <w:color w:val="auto"/>
        </w:rPr>
        <w:t>Norville:</w:t>
      </w:r>
    </w:p>
    <w:p>
      <w:pPr>
        <w:ind w:left="460"/>
        <w:spacing w:after="0" w:line="222" w:lineRule="auto"/>
        <w:rPr>
          <w:sz w:val="20"/>
          <w:szCs w:val="20"/>
          <w:color w:val="auto"/>
        </w:rPr>
      </w:pPr>
      <w:r>
        <w:rPr>
          <w:rFonts w:ascii="Arial" w:cs="Arial" w:eastAsia="Arial" w:hAnsi="Arial"/>
          <w:sz w:val="14"/>
          <w:szCs w:val="14"/>
          <w:i w:val="1"/>
          <w:iCs w:val="1"/>
          <w:color w:val="auto"/>
        </w:rPr>
        <w:t>Phillips:</w:t>
      </w:r>
    </w:p>
    <w:p>
      <w:pPr>
        <w:ind w:left="460"/>
        <w:spacing w:after="0"/>
        <w:rPr>
          <w:sz w:val="20"/>
          <w:szCs w:val="20"/>
          <w:color w:val="auto"/>
        </w:rPr>
      </w:pPr>
      <w:r>
        <w:rPr>
          <w:rFonts w:ascii="Arial" w:cs="Arial" w:eastAsia="Arial" w:hAnsi="Arial"/>
          <w:sz w:val="12"/>
          <w:szCs w:val="12"/>
          <w:i w:val="1"/>
          <w:iCs w:val="1"/>
          <w:color w:val="auto"/>
        </w:rPr>
        <w:t>Shari Redstone:</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Seligman: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20,601 vested RSUs</w:t>
      </w:r>
    </w:p>
    <w:p>
      <w:pPr>
        <w:spacing w:after="0" w:line="223" w:lineRule="auto"/>
        <w:rPr>
          <w:sz w:val="20"/>
          <w:szCs w:val="20"/>
          <w:color w:val="auto"/>
        </w:rPr>
      </w:pPr>
      <w:r>
        <w:rPr>
          <w:rFonts w:ascii="Arial" w:cs="Arial" w:eastAsia="Arial" w:hAnsi="Arial"/>
          <w:sz w:val="14"/>
          <w:szCs w:val="14"/>
          <w:i w:val="1"/>
          <w:iCs w:val="1"/>
          <w:color w:val="auto"/>
        </w:rPr>
        <w:t>4,332 vested RSUs</w:t>
      </w:r>
    </w:p>
    <w:p>
      <w:pPr>
        <w:spacing w:after="0" w:line="222" w:lineRule="auto"/>
        <w:rPr>
          <w:sz w:val="20"/>
          <w:szCs w:val="20"/>
          <w:color w:val="auto"/>
        </w:rPr>
      </w:pPr>
      <w:r>
        <w:rPr>
          <w:rFonts w:ascii="Arial" w:cs="Arial" w:eastAsia="Arial" w:hAnsi="Arial"/>
          <w:sz w:val="14"/>
          <w:szCs w:val="14"/>
          <w:i w:val="1"/>
          <w:iCs w:val="1"/>
          <w:color w:val="auto"/>
        </w:rPr>
        <w:t>4,332 vested RSUs</w:t>
      </w:r>
    </w:p>
    <w:p>
      <w:pPr>
        <w:spacing w:after="0" w:line="221" w:lineRule="auto"/>
        <w:rPr>
          <w:sz w:val="20"/>
          <w:szCs w:val="20"/>
          <w:color w:val="auto"/>
        </w:rPr>
      </w:pPr>
      <w:r>
        <w:rPr>
          <w:rFonts w:ascii="Arial" w:cs="Arial" w:eastAsia="Arial" w:hAnsi="Arial"/>
          <w:sz w:val="14"/>
          <w:szCs w:val="14"/>
          <w:i w:val="1"/>
          <w:iCs w:val="1"/>
          <w:color w:val="auto"/>
        </w:rPr>
        <w:t>29,646 vested RSUs</w:t>
      </w:r>
    </w:p>
    <w:p>
      <w:pPr>
        <w:spacing w:after="0" w:line="222" w:lineRule="auto"/>
        <w:rPr>
          <w:sz w:val="20"/>
          <w:szCs w:val="20"/>
          <w:color w:val="auto"/>
        </w:rPr>
      </w:pPr>
      <w:r>
        <w:rPr>
          <w:rFonts w:ascii="Arial" w:cs="Arial" w:eastAsia="Arial" w:hAnsi="Arial"/>
          <w:sz w:val="14"/>
          <w:szCs w:val="14"/>
          <w:i w:val="1"/>
          <w:iCs w:val="1"/>
          <w:color w:val="auto"/>
        </w:rPr>
        <w:t>60,207 vested RSUs</w:t>
      </w:r>
    </w:p>
    <w:p>
      <w:pPr>
        <w:spacing w:after="0"/>
        <w:rPr>
          <w:sz w:val="20"/>
          <w:szCs w:val="20"/>
          <w:color w:val="auto"/>
        </w:rPr>
      </w:pPr>
      <w:r>
        <w:rPr>
          <w:rFonts w:ascii="Arial" w:cs="Arial" w:eastAsia="Arial" w:hAnsi="Arial"/>
          <w:sz w:val="12"/>
          <w:szCs w:val="12"/>
          <w:i w:val="1"/>
          <w:iCs w:val="1"/>
          <w:color w:val="auto"/>
        </w:rPr>
        <w:t>105,553 vested RSUs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4,332 vested RSUs</w:t>
      </w:r>
    </w:p>
    <w:p>
      <w:pPr>
        <w:spacing w:after="0" w:line="41" w:lineRule="exact"/>
        <w:rPr>
          <w:sz w:val="20"/>
          <w:szCs w:val="20"/>
          <w:color w:val="auto"/>
        </w:rPr>
      </w:pPr>
    </w:p>
    <w:p>
      <w:pPr>
        <w:sectPr>
          <w:pgSz w:w="11900" w:h="16838" w:orient="portrait"/>
          <w:cols w:equalWidth="0" w:num="2">
            <w:col w:w="1580" w:space="720"/>
            <w:col w:w="9140"/>
          </w:cols>
          <w:pgMar w:left="240" w:top="125" w:right="219" w:bottom="1440" w:gutter="0" w:footer="0" w:header="0"/>
          <w:type w:val="continuous"/>
        </w:sectPr>
      </w:pPr>
    </w:p>
    <w:p>
      <w:pPr>
        <w:ind w:left="440" w:hanging="432"/>
        <w:spacing w:after="0"/>
        <w:tabs>
          <w:tab w:leader="none" w:pos="440" w:val="left"/>
        </w:tabs>
        <w:numPr>
          <w:ilvl w:val="0"/>
          <w:numId w:val="49"/>
        </w:numPr>
        <w:rPr>
          <w:rFonts w:ascii="Arial" w:cs="Arial" w:eastAsia="Arial" w:hAnsi="Arial"/>
          <w:sz w:val="11"/>
          <w:szCs w:val="11"/>
          <w:i w:val="1"/>
          <w:iCs w:val="1"/>
          <w:color w:val="auto"/>
        </w:rPr>
      </w:pPr>
      <w:r>
        <w:rPr>
          <w:rFonts w:ascii="Arial" w:cs="Arial" w:eastAsia="Arial" w:hAnsi="Arial"/>
          <w:sz w:val="14"/>
          <w:szCs w:val="14"/>
          <w:i w:val="1"/>
          <w:iCs w:val="1"/>
          <w:color w:val="auto"/>
        </w:rPr>
        <w:t>Ms. Redstone is a stockholder of NAI and has an indirect minority beneficial interest in the Viacom shares owned by NAI.</w:t>
      </w:r>
    </w:p>
    <w:p>
      <w:pPr>
        <w:spacing w:after="0" w:line="68" w:lineRule="exact"/>
        <w:rPr>
          <w:rFonts w:ascii="Arial" w:cs="Arial" w:eastAsia="Arial" w:hAnsi="Arial"/>
          <w:sz w:val="11"/>
          <w:szCs w:val="11"/>
          <w:i w:val="1"/>
          <w:iCs w:val="1"/>
          <w:color w:val="auto"/>
        </w:rPr>
      </w:pPr>
    </w:p>
    <w:p>
      <w:pPr>
        <w:ind w:left="440" w:hanging="432"/>
        <w:spacing w:after="0"/>
        <w:tabs>
          <w:tab w:leader="none" w:pos="440" w:val="left"/>
        </w:tabs>
        <w:numPr>
          <w:ilvl w:val="0"/>
          <w:numId w:val="49"/>
        </w:numPr>
        <w:rPr>
          <w:rFonts w:ascii="Arial" w:cs="Arial" w:eastAsia="Arial" w:hAnsi="Arial"/>
          <w:sz w:val="11"/>
          <w:szCs w:val="11"/>
          <w:i w:val="1"/>
          <w:iCs w:val="1"/>
          <w:color w:val="auto"/>
        </w:rPr>
      </w:pPr>
      <w:r>
        <w:rPr>
          <w:rFonts w:ascii="Arial" w:cs="Arial" w:eastAsia="Arial" w:hAnsi="Arial"/>
          <w:sz w:val="14"/>
          <w:szCs w:val="14"/>
          <w:i w:val="1"/>
          <w:iCs w:val="1"/>
          <w:color w:val="auto"/>
        </w:rPr>
        <w:t>The address for Mr. Redstone is c/o Viacom Inc., 1515 Broadway, New York, New York 10036-5794.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28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FFFFFF"/>
          <w:shd w:val="clear" w:color="auto" w:fill="1CB6EA"/>
        </w:rPr>
        <w:t>SECURITY OWNERSHIP OF CERTAIN BENEFICIAL OWNERS AND MANAGEMENT</w:t>
      </w:r>
    </w:p>
    <w:p>
      <w:pPr>
        <w:spacing w:after="0" w:line="162" w:lineRule="exact"/>
        <w:rPr>
          <w:sz w:val="20"/>
          <w:szCs w:val="20"/>
          <w:color w:val="auto"/>
        </w:rPr>
      </w:pPr>
    </w:p>
    <w:p>
      <w:pPr>
        <w:jc w:val="both"/>
        <w:ind w:left="440" w:right="20" w:hanging="432"/>
        <w:spacing w:after="0" w:line="229" w:lineRule="auto"/>
        <w:tabs>
          <w:tab w:leader="none" w:pos="440" w:val="left"/>
        </w:tabs>
        <w:numPr>
          <w:ilvl w:val="0"/>
          <w:numId w:val="50"/>
        </w:numPr>
        <w:rPr>
          <w:rFonts w:ascii="Arial" w:cs="Arial" w:eastAsia="Arial" w:hAnsi="Arial"/>
          <w:sz w:val="11"/>
          <w:szCs w:val="11"/>
          <w:i w:val="1"/>
          <w:iCs w:val="1"/>
          <w:color w:val="auto"/>
        </w:rPr>
      </w:pPr>
      <w:r>
        <w:rPr>
          <w:rFonts w:ascii="Arial" w:cs="Arial" w:eastAsia="Arial" w:hAnsi="Arial"/>
          <w:sz w:val="14"/>
          <w:szCs w:val="14"/>
          <w:i w:val="1"/>
          <w:iCs w:val="1"/>
          <w:color w:val="auto"/>
        </w:rPr>
        <w:t>Mr. Redstone is the beneficial owner of the controlling interest in NAI, through his control of the Sumner M. Redstone National Amusements Trust (the “SMR Trust”), which owns 80% of the voting interest of NAI. The shares of NAI held by the SMR Trust are voted solely by Mr. Redstone until such time as his incapacity or death. Except for 40 Class A shares owned directly by Mr. Redstone, all of the shares of Class A common stock and Class B common stock reported above are beneficially owned by NAI and a wholly-owned subsidiary of NAI. As the beneficial owner of the controlling interest in NAI, Mr. Redstone beneficially owns all such shares. Mr. Redstone is neither a Viacom executive officer (or other employee) nor a member of the Board.</w:t>
      </w:r>
    </w:p>
    <w:p>
      <w:pPr>
        <w:spacing w:after="0" w:line="109" w:lineRule="exact"/>
        <w:rPr>
          <w:rFonts w:ascii="Arial" w:cs="Arial" w:eastAsia="Arial" w:hAnsi="Arial"/>
          <w:sz w:val="11"/>
          <w:szCs w:val="11"/>
          <w:i w:val="1"/>
          <w:iCs w:val="1"/>
          <w:color w:val="auto"/>
        </w:rPr>
      </w:pPr>
    </w:p>
    <w:p>
      <w:pPr>
        <w:jc w:val="both"/>
        <w:ind w:left="440" w:right="40"/>
        <w:spacing w:after="0" w:line="235" w:lineRule="auto"/>
        <w:rPr>
          <w:rFonts w:ascii="Arial" w:cs="Arial" w:eastAsia="Arial" w:hAnsi="Arial"/>
          <w:sz w:val="11"/>
          <w:szCs w:val="11"/>
          <w:i w:val="1"/>
          <w:iCs w:val="1"/>
          <w:color w:val="auto"/>
        </w:rPr>
      </w:pPr>
      <w:r>
        <w:rPr>
          <w:rFonts w:ascii="Arial" w:cs="Arial" w:eastAsia="Arial" w:hAnsi="Arial"/>
          <w:sz w:val="14"/>
          <w:szCs w:val="14"/>
          <w:i w:val="1"/>
          <w:iCs w:val="1"/>
          <w:color w:val="auto"/>
        </w:rPr>
        <w:t>Based on information received from NAI, approximately 34.2% of the Viacom Class A shares beneficially owned by NAI, or 27.3% of the total Class A shares outstanding and 3.4% of the total Class A and Class B shares outstanding, are pledged to NAI’s lenders. Approximately 65.7% of the Viacom Class A shares beneficially owned by NAI, or 52.5% of the total Class A shares outstanding, are not pledged. The purpose of the pledge is to secure certain indebtedness of NAI.</w:t>
      </w:r>
    </w:p>
    <w:p>
      <w:pPr>
        <w:spacing w:after="0" w:line="53" w:lineRule="exact"/>
        <w:rPr>
          <w:rFonts w:ascii="Arial" w:cs="Arial" w:eastAsia="Arial" w:hAnsi="Arial"/>
          <w:sz w:val="11"/>
          <w:szCs w:val="11"/>
          <w:i w:val="1"/>
          <w:iCs w:val="1"/>
          <w:color w:val="auto"/>
        </w:rPr>
      </w:pPr>
    </w:p>
    <w:p>
      <w:pPr>
        <w:ind w:left="440"/>
        <w:spacing w:after="0"/>
        <w:rPr>
          <w:rFonts w:ascii="Arial" w:cs="Arial" w:eastAsia="Arial" w:hAnsi="Arial"/>
          <w:sz w:val="11"/>
          <w:szCs w:val="11"/>
          <w:i w:val="1"/>
          <w:iCs w:val="1"/>
          <w:color w:val="auto"/>
        </w:rPr>
      </w:pPr>
      <w:r>
        <w:rPr>
          <w:rFonts w:ascii="Arial" w:cs="Arial" w:eastAsia="Arial" w:hAnsi="Arial"/>
          <w:sz w:val="14"/>
          <w:szCs w:val="14"/>
          <w:i w:val="1"/>
          <w:iCs w:val="1"/>
          <w:color w:val="auto"/>
        </w:rPr>
        <w:t>The address for NAI and its subsidiaries is 846 University Avenue, Norwood, Massachusetts 02062.</w:t>
      </w:r>
    </w:p>
    <w:p>
      <w:pPr>
        <w:spacing w:after="0" w:line="55" w:lineRule="exact"/>
        <w:rPr>
          <w:rFonts w:ascii="Arial" w:cs="Arial" w:eastAsia="Arial" w:hAnsi="Arial"/>
          <w:sz w:val="11"/>
          <w:szCs w:val="11"/>
          <w:i w:val="1"/>
          <w:iCs w:val="1"/>
          <w:color w:val="auto"/>
        </w:rPr>
      </w:pPr>
    </w:p>
    <w:p>
      <w:pPr>
        <w:ind w:left="440" w:right="40" w:hanging="432"/>
        <w:spacing w:after="0" w:line="244" w:lineRule="auto"/>
        <w:tabs>
          <w:tab w:leader="none" w:pos="440" w:val="left"/>
        </w:tabs>
        <w:numPr>
          <w:ilvl w:val="0"/>
          <w:numId w:val="50"/>
        </w:numPr>
        <w:rPr>
          <w:rFonts w:ascii="Arial" w:cs="Arial" w:eastAsia="Arial" w:hAnsi="Arial"/>
          <w:sz w:val="11"/>
          <w:szCs w:val="11"/>
          <w:i w:val="1"/>
          <w:iCs w:val="1"/>
          <w:color w:val="auto"/>
        </w:rPr>
      </w:pPr>
      <w:r>
        <w:rPr>
          <w:rFonts w:ascii="Arial" w:cs="Arial" w:eastAsia="Arial" w:hAnsi="Arial"/>
          <w:sz w:val="14"/>
          <w:szCs w:val="14"/>
          <w:i w:val="1"/>
          <w:iCs w:val="1"/>
          <w:color w:val="auto"/>
        </w:rPr>
        <w:t>According to Amendment No. 5 to a Schedule 13D filed on October 2, 2015 with the SEC by GAMCO Investors, Inc. and related entities. The address for Mario J. Gabelli and GAMCO Investors, Inc. is One Corporate Center, Rye, New York 10580.</w:t>
      </w:r>
    </w:p>
    <w:p>
      <w:pPr>
        <w:spacing w:after="0" w:line="37" w:lineRule="exact"/>
        <w:rPr>
          <w:rFonts w:ascii="Arial" w:cs="Arial" w:eastAsia="Arial" w:hAnsi="Arial"/>
          <w:sz w:val="11"/>
          <w:szCs w:val="11"/>
          <w:i w:val="1"/>
          <w:iCs w:val="1"/>
          <w:color w:val="auto"/>
        </w:rPr>
      </w:pPr>
    </w:p>
    <w:p>
      <w:pPr>
        <w:jc w:val="both"/>
        <w:ind w:left="440" w:right="20" w:hanging="432"/>
        <w:spacing w:after="0" w:line="291" w:lineRule="auto"/>
        <w:tabs>
          <w:tab w:leader="none" w:pos="440" w:val="left"/>
        </w:tabs>
        <w:numPr>
          <w:ilvl w:val="0"/>
          <w:numId w:val="50"/>
        </w:numPr>
        <w:rPr>
          <w:rFonts w:ascii="Arial" w:cs="Arial" w:eastAsia="Arial" w:hAnsi="Arial"/>
          <w:sz w:val="11"/>
          <w:szCs w:val="11"/>
          <w:i w:val="1"/>
          <w:iCs w:val="1"/>
          <w:color w:val="auto"/>
        </w:rPr>
      </w:pPr>
      <w:r>
        <w:rPr>
          <w:rFonts w:ascii="Arial" w:cs="Arial" w:eastAsia="Arial" w:hAnsi="Arial"/>
          <w:sz w:val="12"/>
          <w:szCs w:val="12"/>
          <w:i w:val="1"/>
          <w:iCs w:val="1"/>
          <w:color w:val="auto"/>
        </w:rPr>
        <w:t>This column represents the following economic interests not otherwise included in the table above that relate to the value of, or will be paid out upon settlement with, Viacom common stock: Class B phantom stock units credited to the respective executive officer under the Excess 401(k) Plan for Designated Senior Executives (see footnote (3)), and vested Class B RSUs credited to the respective director under the Deferred Compensation Plan for Outside Directors and under the RSU Plan for Outside Directors (see footnote (4)).</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29</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SECTION 16(a) BENEFICIAL OWNERSHIP REPORTING COMPLIANCE</w:t>
      </w:r>
    </w:p>
    <w:p>
      <w:pPr>
        <w:spacing w:after="0" w:line="133" w:lineRule="exact"/>
        <w:rPr>
          <w:sz w:val="20"/>
          <w:szCs w:val="20"/>
          <w:color w:val="auto"/>
        </w:rPr>
      </w:pPr>
    </w:p>
    <w:p>
      <w:pPr>
        <w:ind w:right="1140"/>
        <w:spacing w:after="0" w:line="274" w:lineRule="auto"/>
        <w:rPr>
          <w:sz w:val="20"/>
          <w:szCs w:val="20"/>
          <w:color w:val="auto"/>
        </w:rPr>
      </w:pPr>
      <w:r>
        <w:rPr>
          <w:rFonts w:ascii="Arial" w:cs="Arial" w:eastAsia="Arial" w:hAnsi="Arial"/>
          <w:sz w:val="40"/>
          <w:szCs w:val="40"/>
          <w:b w:val="1"/>
          <w:bCs w:val="1"/>
          <w:color w:val="1CB6EA"/>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32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Section 16(a) of the Exchange Act requires our executive officers and directors and persons who own more than 10% of a registered class of our equity securities to file reports of ownership and changes in ownership with the SEC and NASDAQ. Executive officers, directors and greater than 10% beneficial owners are required by the Exchange Act to furnish us with copies of all Section 16(a) forms they file. As an administrative matter, we assist our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executive officers and directors by monitoring transactions and filing Section 16 reports on their behalf. Based on our records, compliance program, and review of written representations, we believe that during fiscal year 2018 our executive officers, directors and greater than 10% beneficial owners complied with all applicable Section 16(a) filing requirements.</w:t>
      </w:r>
    </w:p>
    <w:p>
      <w:pPr>
        <w:spacing w:after="0" w:line="38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30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94"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shd w:val="clear" w:color="auto" w:fill="1CB6EA"/>
        </w:rPr>
        <w:t>RELATED PERSON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1CB6EA"/>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NAI, directly and indirectly, is the controlling stockholder of both Viacom and CBS Corporation. NAI owns shares in Viacom representing approximately 79.8% of the voting interest in Viacom and approximately 10% of Viacom’s combined common stock. NAI is controlled by Sumner M. Redstone, our Chairman Emeritus, who is the Chairman and Chief Executive Officer of NAI, through the Sumner M. Redstone National Amusements Trust (the “SMR Trust”), which owns shares in NAI representing 80% of the voting interest of NAI. The shares representing the other 20% of the voting interest of NAI are held through a trust controlled by Shari Redstone, who is Mr. Redstone’s daughter, the non-executive Vice Chair of our Board of Directors and a director nominee identified in this proxy statement, the non-executive Vice Chair of CBS’s board of directors, and the President and a member of the board of Directors of NAI. The shares of NAI held by the SMR Trust are voted solely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Mr. Redstone until such time as his incapacity or death. Upon Mr. Redstone’s incapacity or death, Ms. Redstone will also become a trustee of the SMR Trust and the shares of NAI held by the SMR Trust will be voted by the trustees of the SMR Trust. The current trustees include Mr. Redstone and David R. Andelman, both of whom are also members of the boards of directors of NAI. In addition, Mr. Redstone serves as Chairman Emeritus of CBS. The current Board of Directors of NAI includes Mr. Redstone, Ms. Redstone and Mr. Andelman.</w:t>
      </w:r>
    </w:p>
    <w:p>
      <w:pPr>
        <w:spacing w:after="0" w:line="69"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We consider NAI, CBS Corporation and Mr. Redstone, as well as our directors (including Ms. Redstone) and executive officers, certain of their family members and certain entities with which they and their family members are affiliated, to be “related persons.”</w:t>
      </w:r>
    </w:p>
    <w:p>
      <w:pPr>
        <w:spacing w:after="0" w:line="684"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Policy on Oversight of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Governance and Nominating Committee maintains a written policy on its review, approval and ratification of transactions with related persons. The policy generally groups these transactions into four categories: (1) transactions requiring the advance approval of the Committee, (2) transactions that the Chair of the Committee is authorized to approve, (3) certain ordinary course transactions below established financial thresholds, and other designated categories of transactions, that are deemed pre-approved by the Committee and (4) certain transactions requiring reporting to the Committee.</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Regardless of whether a transaction is approved by the Chair of the Committee or deemed pre-approved, all transactions with related persons, including NAI, CBS Corporation and their respective subsidiaries, in any amount, are required to be reported periodically to the full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Generally, the Governance and Nominating Committee deems pre-approved any transaction or series of transactions between Viacom and an entity for which a related person is an executive or employee (except NAI and CBS Corporation) that is entered into in the ordinary course of our business and where the aggregate amount of all such transactions on an annual basis is less than 1% of the annual consolidated gross revenues of the other entity.</w:t>
      </w:r>
    </w:p>
    <w:p>
      <w:pPr>
        <w:spacing w:after="0" w:line="70"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Ordinary course transactions with NAI or CBS Corporation, or any of their respective subsidiaries, where the amount exceeds $10 million or $25 million, respectively, require pre-approval of the Governance and Nominating Committee.</w:t>
      </w:r>
    </w:p>
    <w:p>
      <w:pPr>
        <w:spacing w:after="0" w:line="55"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Committee reviews and discusses with management the determination on whether a transaction with a related person involves a direct or indirect material interest.</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31</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RELATED PERSON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Person Transactions in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Transactions with National Amusements, Inc.</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NAI licenses films in the ordinary course of business for its motion picture theaters from all major studios, including Paramount. Payments made to us in connection with these licenses for fiscal year 2018 amounted to approximately $7.6 million and are continuing in fiscal year 2019 as a result of this ongoing relationship. NAI also licenses films from a number of unaffiliated companies, and Paramount expects to continue to license films to NAI on similar terms in the future. In addition, NAI and Paramount have co-op advertising arrangements, which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continuing in fiscal year 2019, and occasionally engage in other ordinary course transactions (e.g., movie ticket purchases and various promotional activities) from time to time. In connection with these arrangements and transactions, Paramount paid NAI a total of approximately $115,000 in fiscal year 2018. We believe that the terms of these transactions between NAI and Paramount were no more or less favorable to Paramount than transactions between unaffiliated companies and NAI.</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Transactions with CBS Corporation</w:t>
      </w:r>
    </w:p>
    <w:p>
      <w:pPr>
        <w:spacing w:after="0" w:line="39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the ordinary course of business, we are involved in transactions with CBS Corporation and its various businesses (“CBS”) that result in the recognition of revenues and expenses by us. Transactions with CBS are settled in cash.</w:t>
      </w:r>
    </w:p>
    <w:p>
      <w:pPr>
        <w:spacing w:after="0" w:line="5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Filmed Entertainment</w:t>
      </w:r>
      <w:r>
        <w:rPr>
          <w:rFonts w:ascii="Arial" w:cs="Arial" w:eastAsia="Arial" w:hAnsi="Arial"/>
          <w:sz w:val="17"/>
          <w:szCs w:val="17"/>
          <w:color w:val="auto"/>
        </w:rPr>
        <w:t xml:space="preserve"> segment earns revenues and recognizes expenses associated with its distribution of certain television products into the home entertainment market on behalf of CBS. Pursuant to its agreement with CBS, Paramount distributes CBS’s library of television and other content on DVD and Blu-ray disc on a worldwide basis. Under the terms of the agreement, Paramount is entitled to retain a fee based on a percentage of gross receipts and is generally responsible for all out-of-pocket costs, which are recoupable prior to any participation amounts paid. Paramount also earns revenues from CBS through leasing of studio space and licensing of certain film products.</w:t>
      </w:r>
    </w:p>
    <w:p>
      <w:pPr>
        <w:spacing w:after="0" w:line="36"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Media Networks</w:t>
      </w:r>
      <w:r>
        <w:rPr>
          <w:rFonts w:ascii="Arial" w:cs="Arial" w:eastAsia="Arial" w:hAnsi="Arial"/>
          <w:sz w:val="17"/>
          <w:szCs w:val="17"/>
          <w:color w:val="auto"/>
        </w:rPr>
        <w:t xml:space="preserve"> segment recognizes advertising revenues and purchases television programming from CBS. The cost of the programming purchases is initially recorded as acquired program rights inventory and amortized over the estimated period that revenues will be generated.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Both of our segments recognize advertising expenses related to the placement of advertisements with CBS.</w:t>
      </w:r>
    </w:p>
    <w:p>
      <w:pPr>
        <w:spacing w:after="0" w:line="63"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The following table summarizes the transactions with CBS reported in our consolidated financial statements contained in our Annual Report on Form 10-K for fiscal year 2018, which are calculated under accounting principles generally accepted in the United States of America (“GAAP”).</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auto"/>
              </w:rPr>
              <w:t>September 30, 2018</w:t>
            </w:r>
          </w:p>
        </w:tc>
      </w:tr>
      <w:tr>
        <w:trPr>
          <w:trHeight w:val="169"/>
        </w:trPr>
        <w:tc>
          <w:tcPr>
            <w:tcW w:w="20" w:type="dxa"/>
            <w:vAlign w:val="bottom"/>
          </w:tcPr>
          <w:p>
            <w:pPr>
              <w:spacing w:after="0"/>
              <w:rPr>
                <w:sz w:val="14"/>
                <w:szCs w:val="14"/>
                <w:color w:val="auto"/>
              </w:rPr>
            </w:pPr>
          </w:p>
        </w:tc>
        <w:tc>
          <w:tcPr>
            <w:tcW w:w="374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4"/>
                <w:szCs w:val="14"/>
                <w:color w:val="auto"/>
              </w:rPr>
              <w:t>Consolidated Statements of Earnings</w:t>
            </w:r>
          </w:p>
        </w:tc>
        <w:tc>
          <w:tcPr>
            <w:tcW w:w="200" w:type="dxa"/>
            <w:vAlign w:val="bottom"/>
            <w:tcBorders>
              <w:top w:val="single" w:sz="8" w:color="auto"/>
            </w:tcBorders>
            <w:shd w:val="clear" w:color="auto" w:fill="D8D8D8"/>
          </w:tcPr>
          <w:p>
            <w:pPr>
              <w:spacing w:after="0"/>
              <w:rPr>
                <w:sz w:val="14"/>
                <w:szCs w:val="14"/>
                <w:color w:val="auto"/>
              </w:rPr>
            </w:pPr>
          </w:p>
        </w:tc>
        <w:tc>
          <w:tcPr>
            <w:tcW w:w="1520" w:type="dxa"/>
            <w:vAlign w:val="bottom"/>
            <w:tcBorders>
              <w:top w:val="single" w:sz="8" w:color="auto"/>
            </w:tcBorders>
            <w:shd w:val="clear" w:color="auto" w:fill="D8D8D8"/>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740" w:type="dxa"/>
            <w:vAlign w:val="bottom"/>
          </w:tcPr>
          <w:p>
            <w:pPr>
              <w:ind w:left="240"/>
              <w:spacing w:after="0"/>
              <w:rPr>
                <w:sz w:val="20"/>
                <w:szCs w:val="20"/>
                <w:color w:val="auto"/>
              </w:rPr>
            </w:pPr>
            <w:r>
              <w:rPr>
                <w:rFonts w:ascii="Arial" w:cs="Arial" w:eastAsia="Arial" w:hAnsi="Arial"/>
                <w:sz w:val="14"/>
                <w:szCs w:val="14"/>
                <w:color w:val="auto"/>
              </w:rPr>
              <w:t>Revenues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117</w:t>
            </w:r>
          </w:p>
        </w:tc>
      </w:tr>
      <w:tr>
        <w:trPr>
          <w:trHeight w:val="176"/>
        </w:trPr>
        <w:tc>
          <w:tcPr>
            <w:tcW w:w="20" w:type="dxa"/>
            <w:vAlign w:val="bottom"/>
          </w:tcPr>
          <w:p>
            <w:pPr>
              <w:spacing w:after="0"/>
              <w:rPr>
                <w:sz w:val="15"/>
                <w:szCs w:val="15"/>
                <w:color w:val="auto"/>
              </w:rPr>
            </w:pPr>
          </w:p>
        </w:tc>
        <w:tc>
          <w:tcPr>
            <w:tcW w:w="3740" w:type="dxa"/>
            <w:vAlign w:val="bottom"/>
            <w:shd w:val="clear" w:color="auto" w:fill="D8D8D8"/>
          </w:tcPr>
          <w:p>
            <w:pPr>
              <w:ind w:left="24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D8D8D8"/>
          </w:tcPr>
          <w:p>
            <w:pPr>
              <w:spacing w:after="0"/>
              <w:rPr>
                <w:sz w:val="15"/>
                <w:szCs w:val="15"/>
                <w:color w:val="auto"/>
              </w:rPr>
            </w:pPr>
          </w:p>
        </w:tc>
        <w:tc>
          <w:tcPr>
            <w:tcW w:w="15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142</w:t>
            </w:r>
          </w:p>
        </w:tc>
      </w:tr>
      <w:tr>
        <w:trPr>
          <w:trHeight w:val="176"/>
        </w:trPr>
        <w:tc>
          <w:tcPr>
            <w:tcW w:w="3760" w:type="dxa"/>
            <w:vAlign w:val="bottom"/>
            <w:gridSpan w:val="2"/>
          </w:tcPr>
          <w:p>
            <w:pPr>
              <w:spacing w:after="0"/>
              <w:rPr>
                <w:sz w:val="20"/>
                <w:szCs w:val="20"/>
                <w:color w:val="auto"/>
              </w:rPr>
            </w:pPr>
            <w:r>
              <w:rPr>
                <w:rFonts w:ascii="Arial" w:cs="Arial" w:eastAsia="Arial" w:hAnsi="Arial"/>
                <w:sz w:val="14"/>
                <w:szCs w:val="14"/>
                <w:color w:val="auto"/>
              </w:rPr>
              <w:t>Consolidated Balance Sheets</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40" w:type="dxa"/>
            <w:vAlign w:val="bottom"/>
            <w:shd w:val="clear" w:color="auto" w:fill="D8D8D8"/>
          </w:tcPr>
          <w:p>
            <w:pPr>
              <w:ind w:left="240"/>
              <w:spacing w:after="0"/>
              <w:rPr>
                <w:sz w:val="20"/>
                <w:szCs w:val="20"/>
                <w:color w:val="auto"/>
              </w:rPr>
            </w:pPr>
            <w:r>
              <w:rPr>
                <w:rFonts w:ascii="Arial" w:cs="Arial" w:eastAsia="Arial" w:hAnsi="Arial"/>
                <w:sz w:val="14"/>
                <w:szCs w:val="14"/>
                <w:color w:val="auto"/>
              </w:rPr>
              <w:t>Accounts receivable</w:t>
            </w:r>
          </w:p>
        </w:tc>
        <w:tc>
          <w:tcPr>
            <w:tcW w:w="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7</w:t>
            </w:r>
          </w:p>
        </w:tc>
      </w:tr>
      <w:tr>
        <w:trPr>
          <w:trHeight w:val="169"/>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740" w:type="dxa"/>
            <w:vAlign w:val="bottom"/>
            <w:shd w:val="clear" w:color="auto" w:fill="D8D8D8"/>
          </w:tcPr>
          <w:p>
            <w:pPr>
              <w:ind w:left="240"/>
              <w:spacing w:after="0"/>
              <w:rPr>
                <w:sz w:val="20"/>
                <w:szCs w:val="20"/>
                <w:color w:val="auto"/>
              </w:rPr>
            </w:pPr>
            <w:r>
              <w:rPr>
                <w:rFonts w:ascii="Arial" w:cs="Arial" w:eastAsia="Arial" w:hAnsi="Arial"/>
                <w:sz w:val="14"/>
                <w:szCs w:val="14"/>
                <w:color w:val="auto"/>
              </w:rPr>
              <w:t>Participants’ share and residuals, current</w:t>
            </w:r>
          </w:p>
        </w:tc>
        <w:tc>
          <w:tcPr>
            <w:tcW w:w="200" w:type="dxa"/>
            <w:vAlign w:val="bottom"/>
            <w:shd w:val="clear" w:color="auto" w:fill="D8D8D8"/>
          </w:tcPr>
          <w:p>
            <w:pPr>
              <w:spacing w:after="0"/>
              <w:rPr>
                <w:sz w:val="15"/>
                <w:szCs w:val="15"/>
                <w:color w:val="auto"/>
              </w:rPr>
            </w:pPr>
          </w:p>
        </w:tc>
        <w:tc>
          <w:tcPr>
            <w:tcW w:w="15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58</w:t>
            </w:r>
          </w:p>
        </w:tc>
      </w:tr>
      <w:tr>
        <w:trPr>
          <w:trHeight w:val="176"/>
        </w:trPr>
        <w:tc>
          <w:tcPr>
            <w:tcW w:w="20" w:type="dxa"/>
            <w:vAlign w:val="bottom"/>
          </w:tcPr>
          <w:p>
            <w:pPr>
              <w:spacing w:after="0"/>
              <w:rPr>
                <w:sz w:val="15"/>
                <w:szCs w:val="15"/>
                <w:color w:val="auto"/>
              </w:rPr>
            </w:pPr>
          </w:p>
        </w:tc>
        <w:tc>
          <w:tcPr>
            <w:tcW w:w="3740" w:type="dxa"/>
            <w:vAlign w:val="bottom"/>
          </w:tcPr>
          <w:p>
            <w:pPr>
              <w:ind w:left="240"/>
              <w:spacing w:after="0"/>
              <w:rPr>
                <w:sz w:val="20"/>
                <w:szCs w:val="20"/>
                <w:color w:val="auto"/>
              </w:rPr>
            </w:pPr>
            <w:r>
              <w:rPr>
                <w:rFonts w:ascii="Arial" w:cs="Arial" w:eastAsia="Arial" w:hAnsi="Arial"/>
                <w:sz w:val="14"/>
                <w:szCs w:val="14"/>
                <w:color w:val="auto"/>
              </w:rPr>
              <w:t>Program obligations, current</w:t>
            </w:r>
          </w:p>
        </w:tc>
        <w:tc>
          <w:tcPr>
            <w:tcW w:w="20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38</w:t>
            </w:r>
          </w:p>
        </w:tc>
      </w:tr>
      <w:tr>
        <w:trPr>
          <w:trHeight w:val="176"/>
        </w:trPr>
        <w:tc>
          <w:tcPr>
            <w:tcW w:w="20" w:type="dxa"/>
            <w:vAlign w:val="bottom"/>
          </w:tcPr>
          <w:p>
            <w:pPr>
              <w:spacing w:after="0"/>
              <w:rPr>
                <w:sz w:val="15"/>
                <w:szCs w:val="15"/>
                <w:color w:val="auto"/>
              </w:rPr>
            </w:pPr>
          </w:p>
        </w:tc>
        <w:tc>
          <w:tcPr>
            <w:tcW w:w="3740" w:type="dxa"/>
            <w:vAlign w:val="bottom"/>
            <w:shd w:val="clear" w:color="auto" w:fill="D8D8D8"/>
          </w:tcPr>
          <w:p>
            <w:pPr>
              <w:ind w:left="240"/>
              <w:spacing w:after="0"/>
              <w:rPr>
                <w:sz w:val="20"/>
                <w:szCs w:val="20"/>
                <w:color w:val="auto"/>
              </w:rPr>
            </w:pPr>
            <w:r>
              <w:rPr>
                <w:rFonts w:ascii="Arial" w:cs="Arial" w:eastAsia="Arial" w:hAnsi="Arial"/>
                <w:sz w:val="14"/>
                <w:szCs w:val="14"/>
                <w:color w:val="auto"/>
              </w:rPr>
              <w:t>Program obligations, noncurrent</w:t>
            </w:r>
          </w:p>
        </w:tc>
        <w:tc>
          <w:tcPr>
            <w:tcW w:w="200" w:type="dxa"/>
            <w:vAlign w:val="bottom"/>
            <w:shd w:val="clear" w:color="auto" w:fill="D8D8D8"/>
          </w:tcPr>
          <w:p>
            <w:pPr>
              <w:spacing w:after="0"/>
              <w:rPr>
                <w:sz w:val="15"/>
                <w:szCs w:val="15"/>
                <w:color w:val="auto"/>
              </w:rPr>
            </w:pPr>
          </w:p>
        </w:tc>
        <w:tc>
          <w:tcPr>
            <w:tcW w:w="15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32</w:t>
            </w:r>
          </w:p>
        </w:tc>
      </w:tr>
      <w:tr>
        <w:trPr>
          <w:trHeight w:val="176"/>
        </w:trPr>
        <w:tc>
          <w:tcPr>
            <w:tcW w:w="20" w:type="dxa"/>
            <w:vAlign w:val="bottom"/>
          </w:tcPr>
          <w:p>
            <w:pPr>
              <w:spacing w:after="0"/>
              <w:rPr>
                <w:sz w:val="15"/>
                <w:szCs w:val="15"/>
                <w:color w:val="auto"/>
              </w:rPr>
            </w:pPr>
          </w:p>
        </w:tc>
        <w:tc>
          <w:tcPr>
            <w:tcW w:w="3740" w:type="dxa"/>
            <w:vAlign w:val="bottom"/>
            <w:tcBorders>
              <w:bottom w:val="single" w:sz="8" w:color="D8D8D8"/>
            </w:tcBorders>
          </w:tcPr>
          <w:p>
            <w:pPr>
              <w:ind w:left="24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r>
      <w:tr>
        <w:trPr>
          <w:trHeight w:val="169"/>
        </w:trPr>
        <w:tc>
          <w:tcPr>
            <w:tcW w:w="20" w:type="dxa"/>
            <w:vAlign w:val="bottom"/>
          </w:tcPr>
          <w:p>
            <w:pPr>
              <w:spacing w:after="0"/>
              <w:rPr>
                <w:sz w:val="14"/>
                <w:szCs w:val="14"/>
                <w:color w:val="auto"/>
              </w:rPr>
            </w:pPr>
          </w:p>
        </w:tc>
        <w:tc>
          <w:tcPr>
            <w:tcW w:w="3740" w:type="dxa"/>
            <w:vAlign w:val="bottom"/>
            <w:tcBorders>
              <w:bottom w:val="single" w:sz="8" w:color="auto"/>
            </w:tcBorders>
            <w:shd w:val="clear" w:color="auto" w:fill="D8D8D8"/>
          </w:tcPr>
          <w:p>
            <w:pPr>
              <w:ind w:left="480"/>
              <w:spacing w:after="0"/>
              <w:rPr>
                <w:sz w:val="20"/>
                <w:szCs w:val="20"/>
                <w:color w:val="auto"/>
              </w:rPr>
            </w:pPr>
            <w:r>
              <w:rPr>
                <w:rFonts w:ascii="Arial" w:cs="Arial" w:eastAsia="Arial" w:hAnsi="Arial"/>
                <w:sz w:val="14"/>
                <w:szCs w:val="14"/>
                <w:color w:val="auto"/>
              </w:rPr>
              <w:t>Total due to CBS</w:t>
            </w:r>
          </w:p>
        </w:tc>
        <w:tc>
          <w:tcPr>
            <w:tcW w:w="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130</w:t>
            </w:r>
          </w:p>
        </w:tc>
      </w:tr>
    </w:tbl>
    <w:p>
      <w:pPr>
        <w:spacing w:after="0" w:line="342"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94" w:lineRule="exact"/>
        <w:rPr>
          <w:sz w:val="20"/>
          <w:szCs w:val="20"/>
          <w:color w:val="auto"/>
        </w:rPr>
      </w:pPr>
    </w:p>
    <w:p>
      <w:pPr>
        <w:spacing w:after="0"/>
        <w:rPr>
          <w:sz w:val="20"/>
          <w:szCs w:val="20"/>
          <w:color w:val="auto"/>
        </w:rPr>
      </w:pPr>
      <w:r>
        <w:rPr>
          <w:rFonts w:ascii="Arial" w:cs="Arial" w:eastAsia="Arial" w:hAnsi="Arial"/>
          <w:sz w:val="21"/>
          <w:szCs w:val="21"/>
          <w:b w:val="1"/>
          <w:bCs w:val="1"/>
          <w:color w:val="1CB6EA"/>
        </w:rPr>
        <w:t>Compensation Committee Interlocks and Insider Participation</w:t>
      </w:r>
    </w:p>
    <w:p>
      <w:pPr>
        <w:sectPr>
          <w:pgSz w:w="11900" w:h="16838" w:orient="portrait"/>
          <w:cols w:equalWidth="0" w:num="1">
            <w:col w:w="11440"/>
          </w:cols>
          <w:pgMar w:left="240" w:top="125" w:right="21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None of the members of our Compensation Committee during fiscal year 2018 has ever been an officer or employee of ours or any of our subsidiaries or had any relationship requiring disclosure under the SEC’s rules regarding related person transactions.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During fiscal year 2018, no Viacom executive officer served as a director or member of the compensation committee of any other registrant of which an executive officer served on our Board of Directors or Compensation Committee.</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32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FFFFFF"/>
          <w:shd w:val="clear" w:color="auto" w:fill="1CB6EA"/>
        </w:rPr>
        <w:t>COMPENSATION COMMITTEE REPORT</w:t>
      </w:r>
    </w:p>
    <w:p>
      <w:pPr>
        <w:spacing w:after="0" w:line="133" w:lineRule="exact"/>
        <w:rPr>
          <w:sz w:val="20"/>
          <w:szCs w:val="20"/>
          <w:color w:val="auto"/>
        </w:rPr>
      </w:pPr>
    </w:p>
    <w:p>
      <w:pPr>
        <w:spacing w:after="0"/>
        <w:rPr>
          <w:sz w:val="20"/>
          <w:szCs w:val="20"/>
          <w:color w:val="auto"/>
        </w:rPr>
      </w:pPr>
      <w:r>
        <w:rPr>
          <w:rFonts w:ascii="Arial" w:cs="Arial" w:eastAsia="Arial" w:hAnsi="Arial"/>
          <w:sz w:val="40"/>
          <w:szCs w:val="40"/>
          <w:b w:val="1"/>
          <w:bCs w:val="1"/>
          <w:color w:val="1CB6EA"/>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i w:val="1"/>
          <w:iCs w:val="1"/>
          <w:color w:val="auto"/>
        </w:rPr>
        <w:t>The following Compensation Committee Report does not constitute soliciting material and shall not be deemed filed or incorporated by reference into any filing under the Securities Act or the Exchange Act, except to the extent Viacom specifically incorporates such information by reference.</w:t>
      </w:r>
    </w:p>
    <w:p>
      <w:pPr>
        <w:spacing w:after="0" w:line="46"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Compensation Committee has reviewed and discussed with management the following Compensation Discussion and Analysis section of this proxy statement. Based on its review and discussions with management, the Compensation Committee recommended to the Viacom Board of Directors that the Compensation Discussion and Analysis be included in this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b w:val="1"/>
          <w:bCs w:val="1"/>
          <w:i w:val="1"/>
          <w:iCs w:val="1"/>
          <w:color w:val="auto"/>
        </w:rPr>
        <w:t>MEMBERS OF THE COMPENSATION COMMITTEE</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Judith McHale, Chair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May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Deborah Norville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Nicole Seligman</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33</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81800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18005" cy="15430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39"/>
          <w:szCs w:val="39"/>
          <w:b w:val="1"/>
          <w:bCs w:val="1"/>
          <w:color w:val="1CB6EA"/>
        </w:rPr>
        <w:t>EXECUTIVE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Our NEOs and Compensation Committee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Fiscal Year 2018 Named Executive Officers</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Our NEOs for fiscal year 2018 were:</w:t>
      </w:r>
    </w:p>
    <w:p>
      <w:pPr>
        <w:spacing w:after="0" w:line="61" w:lineRule="exact"/>
        <w:rPr>
          <w:sz w:val="20"/>
          <w:szCs w:val="20"/>
          <w:color w:val="auto"/>
        </w:rPr>
      </w:pPr>
    </w:p>
    <w:p>
      <w:pPr>
        <w:ind w:left="140" w:right="20" w:hanging="132"/>
        <w:spacing w:after="0" w:line="243" w:lineRule="auto"/>
        <w:tabs>
          <w:tab w:leader="none" w:pos="140" w:val="left"/>
        </w:tabs>
        <w:numPr>
          <w:ilvl w:val="0"/>
          <w:numId w:val="51"/>
        </w:numPr>
        <w:rPr>
          <w:rFonts w:ascii="Arial" w:cs="Arial" w:eastAsia="Arial" w:hAnsi="Arial"/>
          <w:sz w:val="17"/>
          <w:szCs w:val="17"/>
          <w:color w:val="1CB6EA"/>
        </w:rPr>
      </w:pPr>
      <w:r>
        <w:rPr>
          <w:rFonts w:ascii="Arial" w:cs="Arial" w:eastAsia="Arial" w:hAnsi="Arial"/>
          <w:sz w:val="17"/>
          <w:szCs w:val="17"/>
          <w:color w:val="auto"/>
        </w:rPr>
        <w:t>Mr. Bakish, President and Chief Executive Officer, and a member of the Board;</w:t>
      </w:r>
    </w:p>
    <w:p>
      <w:pPr>
        <w:spacing w:after="0" w:line="49" w:lineRule="exact"/>
        <w:rPr>
          <w:rFonts w:ascii="Arial" w:cs="Arial" w:eastAsia="Arial" w:hAnsi="Arial"/>
          <w:sz w:val="17"/>
          <w:szCs w:val="17"/>
          <w:color w:val="1CB6EA"/>
        </w:rPr>
      </w:pPr>
    </w:p>
    <w:p>
      <w:pPr>
        <w:ind w:left="140" w:hanging="132"/>
        <w:spacing w:after="0"/>
        <w:tabs>
          <w:tab w:leader="none" w:pos="140" w:val="left"/>
        </w:tabs>
        <w:numPr>
          <w:ilvl w:val="0"/>
          <w:numId w:val="51"/>
        </w:numPr>
        <w:rPr>
          <w:rFonts w:ascii="Arial" w:cs="Arial" w:eastAsia="Arial" w:hAnsi="Arial"/>
          <w:sz w:val="17"/>
          <w:szCs w:val="17"/>
          <w:color w:val="1CB6EA"/>
        </w:rPr>
      </w:pPr>
      <w:r>
        <w:rPr>
          <w:rFonts w:ascii="Arial" w:cs="Arial" w:eastAsia="Arial" w:hAnsi="Arial"/>
          <w:sz w:val="17"/>
          <w:szCs w:val="17"/>
          <w:color w:val="auto"/>
        </w:rPr>
        <w:t>Wade C. Davis, Executive Vice President, Chief Financial Officer;</w:t>
      </w:r>
    </w:p>
    <w:p>
      <w:pPr>
        <w:spacing w:after="0" w:line="61"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51"/>
        </w:numPr>
        <w:rPr>
          <w:rFonts w:ascii="Arial" w:cs="Arial" w:eastAsia="Arial" w:hAnsi="Arial"/>
          <w:sz w:val="17"/>
          <w:szCs w:val="17"/>
          <w:color w:val="1CB6EA"/>
        </w:rPr>
      </w:pPr>
      <w:r>
        <w:rPr>
          <w:rFonts w:ascii="Arial" w:cs="Arial" w:eastAsia="Arial" w:hAnsi="Arial"/>
          <w:sz w:val="17"/>
          <w:szCs w:val="17"/>
          <w:color w:val="auto"/>
        </w:rPr>
        <w:t>Christa A. D’Alimonte, Executive Vice President, General Counsel and Secretary;</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38" w:hanging="138"/>
        <w:spacing w:after="0" w:line="243" w:lineRule="auto"/>
        <w:tabs>
          <w:tab w:leader="none" w:pos="138" w:val="left"/>
        </w:tabs>
        <w:numPr>
          <w:ilvl w:val="0"/>
          <w:numId w:val="52"/>
        </w:numPr>
        <w:rPr>
          <w:rFonts w:ascii="Arial" w:cs="Arial" w:eastAsia="Arial" w:hAnsi="Arial"/>
          <w:sz w:val="17"/>
          <w:szCs w:val="17"/>
          <w:color w:val="1CB6EA"/>
        </w:rPr>
      </w:pPr>
      <w:r>
        <w:rPr>
          <w:rFonts w:ascii="Arial" w:cs="Arial" w:eastAsia="Arial" w:hAnsi="Arial"/>
          <w:sz w:val="17"/>
          <w:szCs w:val="17"/>
          <w:color w:val="auto"/>
        </w:rPr>
        <w:t>Doretha (DeDe) F. Lea, Executive Vice President, Global Government Affairs; and</w:t>
      </w:r>
    </w:p>
    <w:p>
      <w:pPr>
        <w:spacing w:after="0" w:line="49" w:lineRule="exact"/>
        <w:rPr>
          <w:rFonts w:ascii="Arial" w:cs="Arial" w:eastAsia="Arial" w:hAnsi="Arial"/>
          <w:sz w:val="17"/>
          <w:szCs w:val="17"/>
          <w:color w:val="1CB6EA"/>
        </w:rPr>
      </w:pPr>
    </w:p>
    <w:p>
      <w:pPr>
        <w:jc w:val="both"/>
        <w:ind w:left="138" w:right="20" w:hanging="138"/>
        <w:spacing w:after="0" w:line="238" w:lineRule="auto"/>
        <w:tabs>
          <w:tab w:leader="none" w:pos="138" w:val="left"/>
        </w:tabs>
        <w:numPr>
          <w:ilvl w:val="0"/>
          <w:numId w:val="52"/>
        </w:numPr>
        <w:rPr>
          <w:rFonts w:ascii="Arial" w:cs="Arial" w:eastAsia="Arial" w:hAnsi="Arial"/>
          <w:sz w:val="17"/>
          <w:szCs w:val="17"/>
          <w:color w:val="1CB6EA"/>
        </w:rPr>
      </w:pPr>
      <w:r>
        <w:rPr>
          <w:rFonts w:ascii="Arial" w:cs="Arial" w:eastAsia="Arial" w:hAnsi="Arial"/>
          <w:sz w:val="17"/>
          <w:szCs w:val="17"/>
          <w:color w:val="auto"/>
        </w:rPr>
        <w:t>Scott M. Mills, Executive Vice President, Chief Administrative Officer until January 1, 2018, when he became President of BET Networks, a division of Viacom.</w:t>
      </w:r>
    </w:p>
    <w:p>
      <w:pPr>
        <w:spacing w:after="0" w:line="527" w:lineRule="exact"/>
        <w:rPr>
          <w:sz w:val="20"/>
          <w:szCs w:val="20"/>
          <w:color w:val="auto"/>
        </w:rPr>
      </w:pPr>
    </w:p>
    <w:p>
      <w:pPr>
        <w:sectPr>
          <w:pgSz w:w="11900" w:h="16838" w:orient="portrait"/>
          <w:cols w:equalWidth="0" w:num="2">
            <w:col w:w="5480" w:space="462"/>
            <w:col w:w="5478"/>
          </w:cols>
          <w:pgMar w:left="240" w:top="125" w:right="2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Committee</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During fiscal year 2018, the Compensation Committee (the “Committee” in this section) was comprised of Judith A. McHale (Chair), Thomas J. May, Deborah Norville and Nicole Seligman, each of whom is an independent director, and three of whom joined our Board in August 2016.</w:t>
      </w:r>
    </w:p>
    <w:p>
      <w:pPr>
        <w:spacing w:after="0" w:line="4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makes compensation decisions for our NEOs, our executive officers and certain other key executives. The Committee has the sole decision-making authority for the compensation of our NEOs and, under its Charter, may not delegate this authority in connection with any material element of NEO compensation.</w:t>
      </w:r>
    </w:p>
    <w:p>
      <w:pPr>
        <w:spacing w:after="0" w:line="5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retains the services of Pearl Meyer, an independent compensation consultant with particular expertise in compensation matters for media and entertainment companies. Pearl Meyer is engaged by, and reports directly to, the Committee, and the Committee has the sole authority to hire or fire Pearl Meyer and to approve its fee arrangements. Pearl Meyer assists the Compensation Committee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fulfilling its responsibilities, including advising on proposed compensation packages for top executives, compensation program design and market practices generally. A representative of Pearl Meyer attends Committee meetings, reviews compensation data with the Committee and participates in general discussions regarding executive compensation issues. The Committee has authorized Pearl Meyer to interact with management at the Committee’s direction, as needed. Pearl Meyer is included in discussions with management and, when applicable, the Committee’s outside legal counsel on matters being brought to the Compensation Committee for consideration.</w:t>
      </w:r>
    </w:p>
    <w:p>
      <w:pPr>
        <w:spacing w:after="0" w:line="5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Committee also considers input from management, as discussed in “Additional Detail Regarding Compensation Program Design” below.</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While the Committee considers input from Pearl Meyer and management, the Committee’s decisions ultimately reflect many factors and considerations, as discussed below.</w:t>
      </w:r>
    </w:p>
    <w:p>
      <w:pPr>
        <w:spacing w:after="0" w:line="200"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A Year of Strategic Execution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Priorities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In fiscal year 2018, we executed against three strategic priorities:</w:t>
      </w:r>
    </w:p>
    <w:p>
      <w:pPr>
        <w:spacing w:after="0" w:line="75"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17"/>
          <w:szCs w:val="17"/>
          <w:color w:val="1CB6EA"/>
        </w:rPr>
      </w:pPr>
      <w:r>
        <w:rPr>
          <w:rFonts w:ascii="Arial" w:cs="Arial" w:eastAsia="Arial" w:hAnsi="Arial"/>
          <w:sz w:val="17"/>
          <w:szCs w:val="17"/>
          <w:color w:val="auto"/>
        </w:rPr>
        <w:t>driving share and margins in our core business;</w:t>
      </w:r>
    </w:p>
    <w:p>
      <w:pPr>
        <w:spacing w:after="0" w:line="74" w:lineRule="exact"/>
        <w:rPr>
          <w:rFonts w:ascii="Arial" w:cs="Arial" w:eastAsia="Arial" w:hAnsi="Arial"/>
          <w:sz w:val="17"/>
          <w:szCs w:val="17"/>
          <w:color w:val="1CB6EA"/>
        </w:rPr>
      </w:pPr>
    </w:p>
    <w:p>
      <w:pPr>
        <w:ind w:left="160" w:hanging="152"/>
        <w:spacing w:after="0" w:line="243" w:lineRule="auto"/>
        <w:tabs>
          <w:tab w:leader="none" w:pos="160" w:val="left"/>
        </w:tabs>
        <w:numPr>
          <w:ilvl w:val="0"/>
          <w:numId w:val="53"/>
        </w:numPr>
        <w:rPr>
          <w:rFonts w:ascii="Arial" w:cs="Arial" w:eastAsia="Arial" w:hAnsi="Arial"/>
          <w:sz w:val="17"/>
          <w:szCs w:val="17"/>
          <w:color w:val="1CB6EA"/>
        </w:rPr>
      </w:pPr>
      <w:r>
        <w:rPr>
          <w:rFonts w:ascii="Arial" w:cs="Arial" w:eastAsia="Arial" w:hAnsi="Arial"/>
          <w:sz w:val="17"/>
          <w:szCs w:val="17"/>
          <w:color w:val="auto"/>
        </w:rPr>
        <w:t>accelerating our transition to next-generation platforms and marketing solutions; and</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Viacom’s Performance in Fiscal Year 2018</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fiscal year 2018, our Board and senior management team continued to refine and execute our business strategy despite significant industry-wide headwinds that included declines in cable subscriber and viewership universe estimates. We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34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60" w:right="20" w:hanging="158"/>
        <w:spacing w:after="0" w:line="238" w:lineRule="auto"/>
        <w:tabs>
          <w:tab w:leader="none" w:pos="160" w:val="left"/>
        </w:tabs>
        <w:numPr>
          <w:ilvl w:val="0"/>
          <w:numId w:val="54"/>
        </w:numPr>
        <w:rPr>
          <w:rFonts w:ascii="Arial" w:cs="Arial" w:eastAsia="Arial" w:hAnsi="Arial"/>
          <w:sz w:val="17"/>
          <w:szCs w:val="17"/>
          <w:color w:val="1CB6EA"/>
        </w:rPr>
      </w:pPr>
      <w:r>
        <w:rPr>
          <w:rFonts w:ascii="Arial" w:cs="Arial" w:eastAsia="Arial" w:hAnsi="Arial"/>
          <w:sz w:val="17"/>
          <w:szCs w:val="17"/>
          <w:color w:val="auto"/>
        </w:rPr>
        <w:t>diversifying beyond our core business, by extending the reach of our brands in the physical world through consumer products, live events, recreation and other similar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delivered a turnaround of our core business and grew full-year consolidated operating income for the first time since fiscal year 2014. Our international media networks business achieved record revenue and profitability, and our cost transformation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368935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gave rise to approximately $100 million in savings in fiscal year 2018.</w:t>
      </w:r>
    </w:p>
    <w:p>
      <w:pPr>
        <w:spacing w:after="0" w:line="7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took a number of actions in fiscal year 2018 to turn around our core business and evolve the company for growth in fiscal year 2019. Specifically:</w:t>
      </w:r>
    </w:p>
    <w:p>
      <w:pPr>
        <w:spacing w:after="0" w:line="53" w:lineRule="exact"/>
        <w:rPr>
          <w:sz w:val="20"/>
          <w:szCs w:val="20"/>
          <w:color w:val="auto"/>
        </w:rPr>
      </w:pPr>
    </w:p>
    <w:p>
      <w:pPr>
        <w:jc w:val="both"/>
        <w:ind w:left="140" w:hanging="132"/>
        <w:spacing w:after="0" w:line="233" w:lineRule="auto"/>
        <w:tabs>
          <w:tab w:leader="none" w:pos="140" w:val="left"/>
        </w:tabs>
        <w:numPr>
          <w:ilvl w:val="0"/>
          <w:numId w:val="55"/>
        </w:numPr>
        <w:rPr>
          <w:rFonts w:ascii="Arial" w:cs="Arial" w:eastAsia="Arial" w:hAnsi="Arial"/>
          <w:sz w:val="17"/>
          <w:szCs w:val="17"/>
          <w:color w:val="1CB6EA"/>
        </w:rPr>
      </w:pPr>
      <w:r>
        <w:rPr>
          <w:rFonts w:ascii="Arial" w:cs="Arial" w:eastAsia="Arial" w:hAnsi="Arial"/>
          <w:sz w:val="17"/>
          <w:szCs w:val="17"/>
          <w:color w:val="auto"/>
        </w:rPr>
        <w:t>We continued to execute on our “Flagship” programming strategy, increasing our share of viewership in our core domestic and international media networks business and achieving six straight quarters of year-over-year share growth across our flagship networks. We held the number one share of U.S. basic cable viewing across key audiences, with particular strength at MTV, BET and Comedy Central, in the fourth quarter and the year, and our brands had six of the ten highest-rated original cable series among Adults 18-34 in the fourth quarter. We launched Paramount Network in the second fiscal quarter of 2018, and its programming achieved critical acclaim and strong viewership in its first year. We continued to build on Nickelodeon’s strength among kids with new leadership and initiatives in consumer products and successful live events.</w:t>
      </w:r>
    </w:p>
    <w:p>
      <w:pPr>
        <w:spacing w:after="0" w:line="58" w:lineRule="exact"/>
        <w:rPr>
          <w:rFonts w:ascii="Arial" w:cs="Arial" w:eastAsia="Arial" w:hAnsi="Arial"/>
          <w:sz w:val="17"/>
          <w:szCs w:val="17"/>
          <w:color w:val="1CB6EA"/>
        </w:rPr>
      </w:pPr>
    </w:p>
    <w:p>
      <w:pPr>
        <w:jc w:val="both"/>
        <w:ind w:left="140" w:hanging="132"/>
        <w:spacing w:after="0" w:line="233" w:lineRule="auto"/>
        <w:tabs>
          <w:tab w:leader="none" w:pos="140" w:val="left"/>
        </w:tabs>
        <w:numPr>
          <w:ilvl w:val="0"/>
          <w:numId w:val="55"/>
        </w:numPr>
        <w:rPr>
          <w:rFonts w:ascii="Arial" w:cs="Arial" w:eastAsia="Arial" w:hAnsi="Arial"/>
          <w:sz w:val="17"/>
          <w:szCs w:val="17"/>
          <w:color w:val="1CB6EA"/>
        </w:rPr>
      </w:pPr>
      <w:r>
        <w:rPr>
          <w:rFonts w:ascii="Arial" w:cs="Arial" w:eastAsia="Arial" w:hAnsi="Arial"/>
          <w:sz w:val="17"/>
          <w:szCs w:val="17"/>
          <w:color w:val="auto"/>
        </w:rPr>
        <w:t>Our strategic execution at Paramount Pictures resulted in a resurgence that was evident in its box office results, thriving television production business at Paramount Television, and seven straight quarters of year-over-year adjusted operating income improvement. New management successfully rebuilt Paramount’s content engine to service its slate strategy of making films for someone or making films for everyone. Paramount entered into new multi-year relationships with Hasbro, deepened collaboration with content creators across the company and enhanced utilization of valuable Viacom properties and brands, including at MTV, BET and Nickelodeon. In the year, Paramount Television revenues grew 127% to over $400 million in fiscal year 2018 with popular programming launching on key content platforms.</w:t>
      </w:r>
    </w:p>
    <w:p>
      <w:pPr>
        <w:spacing w:after="0" w:line="58" w:lineRule="exact"/>
        <w:rPr>
          <w:rFonts w:ascii="Arial" w:cs="Arial" w:eastAsia="Arial" w:hAnsi="Arial"/>
          <w:sz w:val="17"/>
          <w:szCs w:val="17"/>
          <w:color w:val="1CB6EA"/>
        </w:rPr>
      </w:pPr>
    </w:p>
    <w:p>
      <w:pPr>
        <w:jc w:val="both"/>
        <w:ind w:left="140" w:hanging="132"/>
        <w:spacing w:after="0" w:line="234" w:lineRule="auto"/>
        <w:tabs>
          <w:tab w:leader="none" w:pos="140" w:val="left"/>
        </w:tabs>
        <w:numPr>
          <w:ilvl w:val="0"/>
          <w:numId w:val="55"/>
        </w:numPr>
        <w:rPr>
          <w:rFonts w:ascii="Arial" w:cs="Arial" w:eastAsia="Arial" w:hAnsi="Arial"/>
          <w:sz w:val="17"/>
          <w:szCs w:val="17"/>
          <w:color w:val="1CB6EA"/>
        </w:rPr>
      </w:pPr>
      <w:r>
        <w:rPr>
          <w:rFonts w:ascii="Arial" w:cs="Arial" w:eastAsia="Arial" w:hAnsi="Arial"/>
          <w:sz w:val="17"/>
          <w:szCs w:val="17"/>
          <w:color w:val="auto"/>
        </w:rPr>
        <w:t>We launched a global, cross-portfolio studio production initiative to leverage our considerable intellectual property library to produce new, first-run, episodic content for third-party distributors. This initiative has been driven by the launch of Viacom International Studios, leveraging our international brands and platforms, including at Elephant House Studios in the UK and our newly-established domestic studios housed under Nickelodeon and MTV.</w:t>
      </w:r>
    </w:p>
    <w:p>
      <w:pPr>
        <w:spacing w:after="0" w:line="56" w:lineRule="exact"/>
        <w:rPr>
          <w:rFonts w:ascii="Arial" w:cs="Arial" w:eastAsia="Arial" w:hAnsi="Arial"/>
          <w:sz w:val="17"/>
          <w:szCs w:val="17"/>
          <w:color w:val="1CB6EA"/>
        </w:rPr>
      </w:pPr>
    </w:p>
    <w:p>
      <w:pPr>
        <w:ind w:left="140" w:right="20" w:hanging="132"/>
        <w:spacing w:after="0" w:line="243" w:lineRule="auto"/>
        <w:tabs>
          <w:tab w:leader="none" w:pos="140" w:val="left"/>
        </w:tabs>
        <w:numPr>
          <w:ilvl w:val="0"/>
          <w:numId w:val="55"/>
        </w:numPr>
        <w:rPr>
          <w:rFonts w:ascii="Arial" w:cs="Arial" w:eastAsia="Arial" w:hAnsi="Arial"/>
          <w:sz w:val="17"/>
          <w:szCs w:val="17"/>
          <w:color w:val="1CB6EA"/>
        </w:rPr>
      </w:pPr>
      <w:r>
        <w:rPr>
          <w:rFonts w:ascii="Arial" w:cs="Arial" w:eastAsia="Arial" w:hAnsi="Arial"/>
          <w:sz w:val="17"/>
          <w:szCs w:val="17"/>
          <w:color w:val="auto"/>
        </w:rPr>
        <w:t>We launched Viacom Digital Studios to accelerate the production of original programming for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3418"/>
        <w:spacing w:after="0"/>
        <w:rPr>
          <w:sz w:val="20"/>
          <w:szCs w:val="20"/>
          <w:color w:val="auto"/>
        </w:rPr>
      </w:pPr>
      <w:r>
        <w:rPr>
          <w:rFonts w:ascii="Arial" w:cs="Arial" w:eastAsia="Arial" w:hAnsi="Arial"/>
          <w:sz w:val="14"/>
          <w:szCs w:val="14"/>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-118745</wp:posOffset>
            </wp:positionV>
            <wp:extent cx="182689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26895" cy="154305"/>
                    </a:xfrm>
                    <a:prstGeom prst="rect">
                      <a:avLst/>
                    </a:prstGeom>
                    <a:noFill/>
                  </pic:spPr>
                </pic:pic>
              </a:graphicData>
            </a:graphic>
          </wp:anchor>
        </w:drawing>
      </w:r>
    </w:p>
    <w:p>
      <w:pPr>
        <w:spacing w:after="0" w:line="218" w:lineRule="exact"/>
        <w:rPr>
          <w:sz w:val="20"/>
          <w:szCs w:val="20"/>
          <w:color w:val="auto"/>
        </w:rPr>
      </w:pPr>
    </w:p>
    <w:p>
      <w:pPr>
        <w:ind w:left="138" w:right="40"/>
        <w:spacing w:after="0" w:line="243" w:lineRule="auto"/>
        <w:rPr>
          <w:sz w:val="20"/>
          <w:szCs w:val="20"/>
          <w:color w:val="auto"/>
        </w:rPr>
      </w:pPr>
      <w:r>
        <w:rPr>
          <w:rFonts w:ascii="Arial" w:cs="Arial" w:eastAsia="Arial" w:hAnsi="Arial"/>
          <w:sz w:val="17"/>
          <w:szCs w:val="17"/>
          <w:color w:val="auto"/>
        </w:rPr>
        <w:t>consumption across the leading social platforms to build loyalty for, and engagement with, our flagship brands.</w:t>
      </w:r>
    </w:p>
    <w:p>
      <w:pPr>
        <w:spacing w:after="0" w:line="50" w:lineRule="exact"/>
        <w:rPr>
          <w:sz w:val="20"/>
          <w:szCs w:val="20"/>
          <w:color w:val="auto"/>
        </w:rPr>
      </w:pPr>
    </w:p>
    <w:p>
      <w:pPr>
        <w:jc w:val="both"/>
        <w:ind w:left="138" w:right="40" w:hanging="138"/>
        <w:spacing w:after="0" w:line="236" w:lineRule="auto"/>
        <w:tabs>
          <w:tab w:leader="none" w:pos="138" w:val="left"/>
        </w:tabs>
        <w:numPr>
          <w:ilvl w:val="0"/>
          <w:numId w:val="56"/>
        </w:numPr>
        <w:rPr>
          <w:rFonts w:ascii="Arial" w:cs="Arial" w:eastAsia="Arial" w:hAnsi="Arial"/>
          <w:sz w:val="17"/>
          <w:szCs w:val="17"/>
          <w:color w:val="1CB6EA"/>
        </w:rPr>
      </w:pPr>
      <w:r>
        <w:rPr>
          <w:rFonts w:ascii="Arial" w:cs="Arial" w:eastAsia="Arial" w:hAnsi="Arial"/>
          <w:sz w:val="17"/>
          <w:szCs w:val="17"/>
          <w:color w:val="auto"/>
        </w:rPr>
        <w:t>We acquired Awesomeness, which creates programming for various social and subscription video-on-demand platforms and produces premium original series and films through its Emmy Award-winning dedicated television and film studios.</w:t>
      </w:r>
    </w:p>
    <w:p>
      <w:pPr>
        <w:spacing w:after="0" w:line="54" w:lineRule="exact"/>
        <w:rPr>
          <w:rFonts w:ascii="Arial" w:cs="Arial" w:eastAsia="Arial" w:hAnsi="Arial"/>
          <w:sz w:val="17"/>
          <w:szCs w:val="17"/>
          <w:color w:val="1CB6EA"/>
        </w:rPr>
      </w:pPr>
    </w:p>
    <w:p>
      <w:pPr>
        <w:jc w:val="both"/>
        <w:ind w:left="138" w:right="20" w:hanging="138"/>
        <w:spacing w:after="0" w:line="235" w:lineRule="auto"/>
        <w:tabs>
          <w:tab w:leader="none" w:pos="138" w:val="left"/>
        </w:tabs>
        <w:numPr>
          <w:ilvl w:val="0"/>
          <w:numId w:val="56"/>
        </w:numPr>
        <w:rPr>
          <w:rFonts w:ascii="Arial" w:cs="Arial" w:eastAsia="Arial" w:hAnsi="Arial"/>
          <w:sz w:val="17"/>
          <w:szCs w:val="17"/>
          <w:color w:val="00BBE6"/>
        </w:rPr>
      </w:pPr>
      <w:r>
        <w:rPr>
          <w:rFonts w:ascii="Arial" w:cs="Arial" w:eastAsia="Arial" w:hAnsi="Arial"/>
          <w:sz w:val="17"/>
          <w:szCs w:val="17"/>
          <w:color w:val="auto"/>
        </w:rPr>
        <w:t>We secured agreements with key distribution partners to strengthen our core distribution business. In most of these deals, we modernized rights grants beyond linear to deliver a better consumer experience. In addition, we strategically expanded our distribution relationships to capitalize on our advanced advertising and content capabilities.</w:t>
      </w:r>
    </w:p>
    <w:p>
      <w:pPr>
        <w:spacing w:after="0" w:line="55" w:lineRule="exact"/>
        <w:rPr>
          <w:rFonts w:ascii="Arial" w:cs="Arial" w:eastAsia="Arial" w:hAnsi="Arial"/>
          <w:sz w:val="17"/>
          <w:szCs w:val="17"/>
          <w:color w:val="00BBE6"/>
        </w:rPr>
      </w:pPr>
    </w:p>
    <w:p>
      <w:pPr>
        <w:jc w:val="both"/>
        <w:ind w:left="138" w:right="20" w:hanging="138"/>
        <w:spacing w:after="0" w:line="234" w:lineRule="auto"/>
        <w:tabs>
          <w:tab w:leader="none" w:pos="138" w:val="left"/>
        </w:tabs>
        <w:numPr>
          <w:ilvl w:val="0"/>
          <w:numId w:val="56"/>
        </w:numPr>
        <w:rPr>
          <w:rFonts w:ascii="Arial" w:cs="Arial" w:eastAsia="Arial" w:hAnsi="Arial"/>
          <w:sz w:val="17"/>
          <w:szCs w:val="17"/>
          <w:color w:val="1CB6EA"/>
        </w:rPr>
      </w:pPr>
      <w:r>
        <w:rPr>
          <w:rFonts w:ascii="Arial" w:cs="Arial" w:eastAsia="Arial" w:hAnsi="Arial"/>
          <w:sz w:val="17"/>
          <w:szCs w:val="17"/>
          <w:color w:val="auto"/>
        </w:rPr>
        <w:t>We continued to innovate in advertising sales, pioneering new methods to improve monetization and measurement of viewing of, and audience engagement with, content across all platforms. Our advanced marketing solutions (“AMS”) portfolio both utilizes advanced addressable video inventory to allow dynamic ad insertion and advanced targeting and provides our marketing partners with a variety of consulting and creative services and associated activations. In the fourth quarter, AMS revenue grew 32% year-over-year, and in fiscal year 2018 AMS grew to be 10% of our advertising sales business.</w:t>
      </w:r>
    </w:p>
    <w:p>
      <w:pPr>
        <w:spacing w:after="0" w:line="53" w:lineRule="exact"/>
        <w:rPr>
          <w:rFonts w:ascii="Arial" w:cs="Arial" w:eastAsia="Arial" w:hAnsi="Arial"/>
          <w:sz w:val="17"/>
          <w:szCs w:val="17"/>
          <w:color w:val="1CB6EA"/>
        </w:rPr>
      </w:pPr>
    </w:p>
    <w:p>
      <w:pPr>
        <w:jc w:val="both"/>
        <w:ind w:left="138" w:right="40" w:hanging="138"/>
        <w:spacing w:after="0" w:line="241" w:lineRule="auto"/>
        <w:tabs>
          <w:tab w:leader="none" w:pos="138" w:val="left"/>
        </w:tabs>
        <w:numPr>
          <w:ilvl w:val="0"/>
          <w:numId w:val="56"/>
        </w:numPr>
        <w:rPr>
          <w:rFonts w:ascii="Arial" w:cs="Arial" w:eastAsia="Arial" w:hAnsi="Arial"/>
          <w:sz w:val="17"/>
          <w:szCs w:val="17"/>
          <w:color w:val="1CB6EA"/>
        </w:rPr>
      </w:pPr>
      <w:r>
        <w:rPr>
          <w:rFonts w:ascii="Arial" w:cs="Arial" w:eastAsia="Arial" w:hAnsi="Arial"/>
          <w:sz w:val="17"/>
          <w:szCs w:val="17"/>
          <w:color w:val="auto"/>
        </w:rPr>
        <w:t>We launched a global consumer products group to manage our consumer products business across the company, with oversight of product and business development, licensing, merchandising, retail sales and marketing.</w:t>
      </w:r>
    </w:p>
    <w:p>
      <w:pPr>
        <w:spacing w:after="0" w:line="52" w:lineRule="exact"/>
        <w:rPr>
          <w:rFonts w:ascii="Arial" w:cs="Arial" w:eastAsia="Arial" w:hAnsi="Arial"/>
          <w:sz w:val="17"/>
          <w:szCs w:val="17"/>
          <w:color w:val="1CB6EA"/>
        </w:rPr>
      </w:pPr>
    </w:p>
    <w:p>
      <w:pPr>
        <w:jc w:val="both"/>
        <w:ind w:left="138" w:right="40" w:hanging="138"/>
        <w:spacing w:after="0"/>
        <w:tabs>
          <w:tab w:leader="none" w:pos="138" w:val="left"/>
        </w:tabs>
        <w:numPr>
          <w:ilvl w:val="0"/>
          <w:numId w:val="56"/>
        </w:numPr>
        <w:rPr>
          <w:rFonts w:ascii="Arial" w:cs="Arial" w:eastAsia="Arial" w:hAnsi="Arial"/>
          <w:sz w:val="17"/>
          <w:szCs w:val="17"/>
          <w:color w:val="1CB6EA"/>
        </w:rPr>
      </w:pPr>
      <w:r>
        <w:rPr>
          <w:rFonts w:ascii="Arial" w:cs="Arial" w:eastAsia="Arial" w:hAnsi="Arial"/>
          <w:sz w:val="17"/>
          <w:szCs w:val="17"/>
          <w:color w:val="auto"/>
        </w:rPr>
        <w:t xml:space="preserve">We launched a program of cost transformation initiatives to improve our margins, including an organizational realignment of support functions across our </w:t>
      </w:r>
      <w:r>
        <w:rPr>
          <w:rFonts w:ascii="Arial" w:cs="Arial" w:eastAsia="Arial" w:hAnsi="Arial"/>
          <w:sz w:val="17"/>
          <w:szCs w:val="17"/>
          <w:i w:val="1"/>
          <w:iCs w:val="1"/>
          <w:color w:val="auto"/>
        </w:rPr>
        <w:t>Media Networks</w:t>
      </w:r>
      <w:r>
        <w:rPr>
          <w:rFonts w:ascii="Arial" w:cs="Arial" w:eastAsia="Arial" w:hAnsi="Arial"/>
          <w:sz w:val="17"/>
          <w:szCs w:val="17"/>
          <w:color w:val="auto"/>
        </w:rPr>
        <w:t xml:space="preserve"> segment, new sourcing and procurement policies, real estate consolidation and technology enhancements. We achieved more than $100 million in savings in fiscal year 2018, and expect the initiatives to result in approximately $300 million of run-rate savings in fiscal 2019 and beyond.</w:t>
      </w:r>
    </w:p>
    <w:p>
      <w:pPr>
        <w:spacing w:after="0" w:line="211" w:lineRule="exact"/>
        <w:rPr>
          <w:rFonts w:ascii="Arial" w:cs="Arial" w:eastAsia="Arial" w:hAnsi="Arial"/>
          <w:sz w:val="17"/>
          <w:szCs w:val="17"/>
          <w:color w:val="1CB6EA"/>
        </w:rPr>
      </w:pPr>
    </w:p>
    <w:p>
      <w:pPr>
        <w:jc w:val="both"/>
        <w:ind w:left="138" w:right="20" w:hanging="138"/>
        <w:spacing w:after="0" w:line="238" w:lineRule="auto"/>
        <w:tabs>
          <w:tab w:leader="none" w:pos="138" w:val="left"/>
        </w:tabs>
        <w:numPr>
          <w:ilvl w:val="0"/>
          <w:numId w:val="56"/>
        </w:numPr>
        <w:rPr>
          <w:rFonts w:ascii="Arial" w:cs="Arial" w:eastAsia="Arial" w:hAnsi="Arial"/>
          <w:sz w:val="17"/>
          <w:szCs w:val="17"/>
          <w:color w:val="1CB6EA"/>
        </w:rPr>
      </w:pPr>
      <w:r>
        <w:rPr>
          <w:rFonts w:ascii="Arial" w:cs="Arial" w:eastAsia="Arial" w:hAnsi="Arial"/>
          <w:sz w:val="17"/>
          <w:szCs w:val="17"/>
          <w:color w:val="auto"/>
        </w:rPr>
        <w:t>We drove a significant reduction in our leverage, reducing debt by approximately $1 billion by using our excess cash to redeem notes and debentures.</w:t>
      </w:r>
    </w:p>
    <w:p>
      <w:pPr>
        <w:spacing w:after="0" w:line="53" w:lineRule="exact"/>
        <w:rPr>
          <w:rFonts w:ascii="Arial" w:cs="Arial" w:eastAsia="Arial" w:hAnsi="Arial"/>
          <w:sz w:val="17"/>
          <w:szCs w:val="17"/>
          <w:color w:val="1CB6EA"/>
        </w:rPr>
      </w:pPr>
    </w:p>
    <w:p>
      <w:pPr>
        <w:jc w:val="both"/>
        <w:ind w:left="138" w:right="20" w:hanging="138"/>
        <w:spacing w:after="0" w:line="238" w:lineRule="auto"/>
        <w:tabs>
          <w:tab w:leader="none" w:pos="138" w:val="left"/>
        </w:tabs>
        <w:numPr>
          <w:ilvl w:val="0"/>
          <w:numId w:val="56"/>
        </w:numPr>
        <w:rPr>
          <w:rFonts w:ascii="Arial" w:cs="Arial" w:eastAsia="Arial" w:hAnsi="Arial"/>
          <w:sz w:val="17"/>
          <w:szCs w:val="17"/>
          <w:color w:val="1CB6EA"/>
        </w:rPr>
      </w:pPr>
      <w:r>
        <w:rPr>
          <w:rFonts w:ascii="Arial" w:cs="Arial" w:eastAsia="Arial" w:hAnsi="Arial"/>
          <w:sz w:val="17"/>
          <w:szCs w:val="17"/>
          <w:color w:val="auto"/>
        </w:rPr>
        <w:t>And we continued to consolidate and mobilize an improved senior management team, with new leadership at key brands and business units.</w:t>
      </w:r>
    </w:p>
    <w:p>
      <w:pPr>
        <w:spacing w:after="0" w:line="257" w:lineRule="exact"/>
        <w:rPr>
          <w:sz w:val="20"/>
          <w:szCs w:val="20"/>
          <w:color w:val="auto"/>
        </w:rPr>
      </w:pPr>
    </w:p>
    <w:p>
      <w:pPr>
        <w:sectPr>
          <w:pgSz w:w="11900" w:h="16838" w:orient="portrait"/>
          <w:cols w:equalWidth="0" w:num="2">
            <w:col w:w="5480" w:space="462"/>
            <w:col w:w="5498"/>
          </w:cols>
          <w:pgMar w:left="240" w:top="1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35</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85229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52295" cy="15430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EXECUTIVE COMPENSATION</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Our Rationalized Compensation Approach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Philosophy</w:t>
      </w:r>
    </w:p>
    <w:p>
      <w:pPr>
        <w:spacing w:after="0" w:line="200" w:lineRule="exact"/>
        <w:rPr>
          <w:sz w:val="20"/>
          <w:szCs w:val="20"/>
          <w:color w:val="auto"/>
        </w:rPr>
      </w:pPr>
    </w:p>
    <w:p>
      <w:pPr>
        <w:spacing w:after="0" w:line="35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compete for talented executives in a highly-compensated industry globally, with the majority of our executives located in the New York and Los Angeles markets.</w:t>
      </w:r>
    </w:p>
    <w:p>
      <w:pPr>
        <w:spacing w:after="0" w:line="6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goal of our compensation programs is to provide competitive compensation packages that (1) help ensure we have the talented executives and employees we need to achieve our strategic operating and financial goals and deliver financial returns to our stockholders over both the short term and the long term, and (2) compensate our executives and employees in a way that appropriately encourages and rewards their performance. To achieve this, our compensation packages are designed to reward (i) company performance as measured by strategic, operating and financial results, (ii) individual contributions to those results and (iii) stock price growth on both an absolute and a relative basis. The Committee seeks to ensure that a large portion of our NEOs’ compensation is performance-based and/or equity-linked rather than fixed pay elements, and awards are balanced between short-term and long-term compensation to incentivize our executives to achieve strong operating and financial results, while achieving long-term strategic objectives that drive stockholder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With each compensation decision, the Committee takes a holistic approach and considers information and recommendations from several sources. The Committee considers:</w:t>
      </w:r>
    </w:p>
    <w:p>
      <w:pPr>
        <w:spacing w:after="0" w:line="67" w:lineRule="exact"/>
        <w:rPr>
          <w:sz w:val="20"/>
          <w:szCs w:val="20"/>
          <w:color w:val="auto"/>
        </w:rPr>
      </w:pPr>
    </w:p>
    <w:p>
      <w:pPr>
        <w:ind w:left="140" w:hanging="138"/>
        <w:spacing w:after="0"/>
        <w:tabs>
          <w:tab w:leader="none" w:pos="140" w:val="left"/>
        </w:tabs>
        <w:numPr>
          <w:ilvl w:val="0"/>
          <w:numId w:val="57"/>
        </w:numPr>
        <w:rPr>
          <w:rFonts w:ascii="Arial" w:cs="Arial" w:eastAsia="Arial" w:hAnsi="Arial"/>
          <w:sz w:val="17"/>
          <w:szCs w:val="17"/>
          <w:color w:val="00BBE6"/>
        </w:rPr>
      </w:pPr>
      <w:r>
        <w:rPr>
          <w:rFonts w:ascii="Arial" w:cs="Arial" w:eastAsia="Arial" w:hAnsi="Arial"/>
          <w:sz w:val="17"/>
          <w:szCs w:val="17"/>
          <w:color w:val="auto"/>
        </w:rPr>
        <w:t>the executive’s individual performance and qualifications;</w:t>
      </w:r>
    </w:p>
    <w:p>
      <w:pPr>
        <w:spacing w:after="0" w:line="61" w:lineRule="exact"/>
        <w:rPr>
          <w:rFonts w:ascii="Arial" w:cs="Arial" w:eastAsia="Arial" w:hAnsi="Arial"/>
          <w:sz w:val="17"/>
          <w:szCs w:val="17"/>
          <w:color w:val="00BBE6"/>
        </w:rPr>
      </w:pPr>
    </w:p>
    <w:p>
      <w:pPr>
        <w:ind w:left="140" w:right="20" w:hanging="138"/>
        <w:spacing w:after="0" w:line="243" w:lineRule="auto"/>
        <w:tabs>
          <w:tab w:leader="none" w:pos="140" w:val="left"/>
        </w:tabs>
        <w:numPr>
          <w:ilvl w:val="0"/>
          <w:numId w:val="57"/>
        </w:numPr>
        <w:rPr>
          <w:rFonts w:ascii="Arial" w:cs="Arial" w:eastAsia="Arial" w:hAnsi="Arial"/>
          <w:sz w:val="17"/>
          <w:szCs w:val="17"/>
          <w:color w:val="00BBE6"/>
        </w:rPr>
      </w:pPr>
      <w:r>
        <w:rPr>
          <w:rFonts w:ascii="Arial" w:cs="Arial" w:eastAsia="Arial" w:hAnsi="Arial"/>
          <w:sz w:val="17"/>
          <w:szCs w:val="17"/>
          <w:color w:val="auto"/>
        </w:rPr>
        <w:t>the executive’s professional experience, tenure and accomplishments at our company and/or within the industry;</w:t>
      </w:r>
    </w:p>
    <w:p>
      <w:pPr>
        <w:spacing w:after="0" w:line="49" w:lineRule="exact"/>
        <w:rPr>
          <w:rFonts w:ascii="Arial" w:cs="Arial" w:eastAsia="Arial" w:hAnsi="Arial"/>
          <w:sz w:val="17"/>
          <w:szCs w:val="17"/>
          <w:color w:val="00BBE6"/>
        </w:rPr>
      </w:pPr>
    </w:p>
    <w:p>
      <w:pPr>
        <w:ind w:left="140" w:hanging="138"/>
        <w:spacing w:after="0"/>
        <w:tabs>
          <w:tab w:leader="none" w:pos="140" w:val="left"/>
        </w:tabs>
        <w:numPr>
          <w:ilvl w:val="0"/>
          <w:numId w:val="57"/>
        </w:numPr>
        <w:rPr>
          <w:rFonts w:ascii="Arial" w:cs="Arial" w:eastAsia="Arial" w:hAnsi="Arial"/>
          <w:sz w:val="17"/>
          <w:szCs w:val="17"/>
          <w:color w:val="00BBE6"/>
        </w:rPr>
      </w:pPr>
      <w:r>
        <w:rPr>
          <w:rFonts w:ascii="Arial" w:cs="Arial" w:eastAsia="Arial" w:hAnsi="Arial"/>
          <w:sz w:val="17"/>
          <w:szCs w:val="17"/>
          <w:color w:val="auto"/>
        </w:rPr>
        <w:t>the company’s recent performance;</w:t>
      </w:r>
    </w:p>
    <w:p>
      <w:pPr>
        <w:spacing w:after="0" w:line="61" w:lineRule="exact"/>
        <w:rPr>
          <w:rFonts w:ascii="Arial" w:cs="Arial" w:eastAsia="Arial" w:hAnsi="Arial"/>
          <w:sz w:val="17"/>
          <w:szCs w:val="17"/>
          <w:color w:val="00BBE6"/>
        </w:rPr>
      </w:pPr>
    </w:p>
    <w:p>
      <w:pPr>
        <w:ind w:left="140" w:hanging="138"/>
        <w:spacing w:after="0"/>
        <w:tabs>
          <w:tab w:leader="none" w:pos="140" w:val="left"/>
        </w:tabs>
        <w:numPr>
          <w:ilvl w:val="0"/>
          <w:numId w:val="57"/>
        </w:numPr>
        <w:rPr>
          <w:rFonts w:ascii="Arial" w:cs="Arial" w:eastAsia="Arial" w:hAnsi="Arial"/>
          <w:sz w:val="17"/>
          <w:szCs w:val="17"/>
          <w:color w:val="00BBE6"/>
        </w:rPr>
      </w:pPr>
      <w:r>
        <w:rPr>
          <w:rFonts w:ascii="Arial" w:cs="Arial" w:eastAsia="Arial" w:hAnsi="Arial"/>
          <w:sz w:val="17"/>
          <w:szCs w:val="17"/>
          <w:color w:val="auto"/>
        </w:rPr>
        <w:t>the executive’s compensation history at our company;</w:t>
      </w:r>
    </w:p>
    <w:p>
      <w:pPr>
        <w:spacing w:after="0" w:line="61" w:lineRule="exact"/>
        <w:rPr>
          <w:rFonts w:ascii="Arial" w:cs="Arial" w:eastAsia="Arial" w:hAnsi="Arial"/>
          <w:sz w:val="17"/>
          <w:szCs w:val="17"/>
          <w:color w:val="00BBE6"/>
        </w:rPr>
      </w:pPr>
    </w:p>
    <w:p>
      <w:pPr>
        <w:ind w:left="140" w:right="20" w:hanging="138"/>
        <w:spacing w:after="0" w:line="243" w:lineRule="auto"/>
        <w:tabs>
          <w:tab w:leader="none" w:pos="140" w:val="left"/>
        </w:tabs>
        <w:numPr>
          <w:ilvl w:val="0"/>
          <w:numId w:val="57"/>
        </w:numPr>
        <w:rPr>
          <w:rFonts w:ascii="Arial" w:cs="Arial" w:eastAsia="Arial" w:hAnsi="Arial"/>
          <w:sz w:val="17"/>
          <w:szCs w:val="17"/>
          <w:color w:val="00BBE6"/>
        </w:rPr>
      </w:pPr>
      <w:r>
        <w:rPr>
          <w:rFonts w:ascii="Arial" w:cs="Arial" w:eastAsia="Arial" w:hAnsi="Arial"/>
          <w:sz w:val="17"/>
          <w:szCs w:val="17"/>
          <w:color w:val="auto"/>
        </w:rPr>
        <w:t>compensation levels of executives at comparable levels within the company;</w:t>
      </w:r>
    </w:p>
    <w:p>
      <w:pPr>
        <w:spacing w:after="0" w:line="49" w:lineRule="exact"/>
        <w:rPr>
          <w:rFonts w:ascii="Arial" w:cs="Arial" w:eastAsia="Arial" w:hAnsi="Arial"/>
          <w:sz w:val="17"/>
          <w:szCs w:val="17"/>
          <w:color w:val="00BBE6"/>
        </w:rPr>
      </w:pPr>
    </w:p>
    <w:p>
      <w:pPr>
        <w:ind w:left="140" w:hanging="138"/>
        <w:spacing w:after="0" w:line="243" w:lineRule="auto"/>
        <w:tabs>
          <w:tab w:leader="none" w:pos="140" w:val="left"/>
        </w:tabs>
        <w:numPr>
          <w:ilvl w:val="0"/>
          <w:numId w:val="57"/>
        </w:numPr>
        <w:rPr>
          <w:rFonts w:ascii="Arial" w:cs="Arial" w:eastAsia="Arial" w:hAnsi="Arial"/>
          <w:sz w:val="17"/>
          <w:szCs w:val="17"/>
          <w:color w:val="00BBE6"/>
        </w:rPr>
      </w:pPr>
      <w:r>
        <w:rPr>
          <w:rFonts w:ascii="Arial" w:cs="Arial" w:eastAsia="Arial" w:hAnsi="Arial"/>
          <w:sz w:val="17"/>
          <w:szCs w:val="17"/>
          <w:color w:val="auto"/>
        </w:rPr>
        <w:t>past and evolving practices of our media and entertainment industry peer companies and other comparable public companies;</w:t>
      </w:r>
    </w:p>
    <w:p>
      <w:pPr>
        <w:spacing w:after="0" w:line="49" w:lineRule="exact"/>
        <w:rPr>
          <w:rFonts w:ascii="Arial" w:cs="Arial" w:eastAsia="Arial" w:hAnsi="Arial"/>
          <w:sz w:val="17"/>
          <w:szCs w:val="17"/>
          <w:color w:val="00BBE6"/>
        </w:rPr>
      </w:pPr>
    </w:p>
    <w:p>
      <w:pPr>
        <w:ind w:left="140" w:right="20" w:hanging="138"/>
        <w:spacing w:after="0" w:line="243" w:lineRule="auto"/>
        <w:tabs>
          <w:tab w:leader="none" w:pos="140" w:val="left"/>
        </w:tabs>
        <w:numPr>
          <w:ilvl w:val="0"/>
          <w:numId w:val="57"/>
        </w:numPr>
        <w:rPr>
          <w:rFonts w:ascii="Arial" w:cs="Arial" w:eastAsia="Arial" w:hAnsi="Arial"/>
          <w:sz w:val="17"/>
          <w:szCs w:val="17"/>
          <w:color w:val="00BBE6"/>
        </w:rPr>
      </w:pPr>
      <w:r>
        <w:rPr>
          <w:rFonts w:ascii="Arial" w:cs="Arial" w:eastAsia="Arial" w:hAnsi="Arial"/>
          <w:sz w:val="17"/>
          <w:szCs w:val="17"/>
          <w:color w:val="auto"/>
        </w:rPr>
        <w:t>competitive conditions, management development and succession planning activities;</w:t>
      </w:r>
    </w:p>
    <w:p>
      <w:pPr>
        <w:spacing w:after="0" w:line="49" w:lineRule="exact"/>
        <w:rPr>
          <w:rFonts w:ascii="Arial" w:cs="Arial" w:eastAsia="Arial" w:hAnsi="Arial"/>
          <w:sz w:val="17"/>
          <w:szCs w:val="17"/>
          <w:color w:val="00BBE6"/>
        </w:rPr>
      </w:pPr>
    </w:p>
    <w:p>
      <w:pPr>
        <w:ind w:left="140" w:hanging="138"/>
        <w:spacing w:after="0"/>
        <w:tabs>
          <w:tab w:leader="none" w:pos="140" w:val="left"/>
        </w:tabs>
        <w:numPr>
          <w:ilvl w:val="0"/>
          <w:numId w:val="57"/>
        </w:numPr>
        <w:rPr>
          <w:rFonts w:ascii="Arial" w:cs="Arial" w:eastAsia="Arial" w:hAnsi="Arial"/>
          <w:sz w:val="17"/>
          <w:szCs w:val="17"/>
          <w:color w:val="00BBE6"/>
        </w:rPr>
      </w:pPr>
      <w:r>
        <w:rPr>
          <w:rFonts w:ascii="Arial" w:cs="Arial" w:eastAsia="Arial" w:hAnsi="Arial"/>
          <w:sz w:val="17"/>
          <w:szCs w:val="17"/>
          <w:color w:val="auto"/>
        </w:rPr>
        <w:t>input from Pearl Meyer; and</w:t>
      </w:r>
    </w:p>
    <w:p>
      <w:pPr>
        <w:spacing w:after="0" w:line="61" w:lineRule="exact"/>
        <w:rPr>
          <w:rFonts w:ascii="Arial" w:cs="Arial" w:eastAsia="Arial" w:hAnsi="Arial"/>
          <w:sz w:val="17"/>
          <w:szCs w:val="17"/>
          <w:color w:val="00BBE6"/>
        </w:rPr>
      </w:pPr>
    </w:p>
    <w:p>
      <w:pPr>
        <w:ind w:left="140" w:hanging="138"/>
        <w:spacing w:after="0"/>
        <w:tabs>
          <w:tab w:leader="none" w:pos="140" w:val="left"/>
        </w:tabs>
        <w:numPr>
          <w:ilvl w:val="0"/>
          <w:numId w:val="57"/>
        </w:numPr>
        <w:rPr>
          <w:rFonts w:ascii="Arial" w:cs="Arial" w:eastAsia="Arial" w:hAnsi="Arial"/>
          <w:sz w:val="17"/>
          <w:szCs w:val="17"/>
          <w:color w:val="00BBE6"/>
        </w:rPr>
      </w:pPr>
      <w:r>
        <w:rPr>
          <w:rFonts w:ascii="Arial" w:cs="Arial" w:eastAsia="Arial" w:hAnsi="Arial"/>
          <w:sz w:val="17"/>
          <w:szCs w:val="17"/>
          <w:color w:val="auto"/>
        </w:rPr>
        <w:t>input from management.</w:t>
      </w:r>
    </w:p>
    <w:p>
      <w:pPr>
        <w:spacing w:after="0" w:line="231" w:lineRule="exact"/>
        <w:rPr>
          <w:sz w:val="20"/>
          <w:szCs w:val="20"/>
          <w:color w:val="auto"/>
        </w:rPr>
      </w:pPr>
    </w:p>
    <w:p>
      <w:pPr>
        <w:sectPr>
          <w:pgSz w:w="11900" w:h="16838" w:orient="portrait"/>
          <w:cols w:equalWidth="0" w:num="2">
            <w:col w:w="5480" w:space="460"/>
            <w:col w:w="5480"/>
          </w:cols>
          <w:pgMar w:left="240" w:top="125"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Continuing Shift to Components that Emphasize Performance-Based over Fixed Compensation</w:t>
      </w:r>
    </w:p>
    <w:p>
      <w:pPr>
        <w:sectPr>
          <w:pgSz w:w="11900" w:h="16838" w:orient="portrait"/>
          <w:cols w:equalWidth="0" w:num="1">
            <w:col w:w="11420"/>
          </w:cols>
          <w:pgMar w:left="240" w:top="125" w:right="239" w:bottom="1440" w:gutter="0" w:footer="0" w:header="0"/>
          <w:type w:val="continuous"/>
        </w:sectPr>
      </w:pP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fiscal year 2018, we continued to shift our executive compensation to further emphasize performance-based over fixed compensation and align compensation levels with the company’s overall</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strategy. Specifically, among other things, steps taken include:</w:t>
      </w:r>
    </w:p>
    <w:p>
      <w:pPr>
        <w:spacing w:after="0" w:line="586"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Pay Mix</w:t>
            </w:r>
          </w:p>
        </w:tc>
        <w:tc>
          <w:tcPr>
            <w:tcW w:w="9900" w:type="dxa"/>
            <w:vAlign w:val="bottom"/>
            <w:tcBorders>
              <w:top w:val="single" w:sz="8" w:color="auto"/>
            </w:tcBorders>
          </w:tcPr>
          <w:p>
            <w:pPr>
              <w:ind w:left="200"/>
              <w:spacing w:after="0"/>
              <w:rPr>
                <w:sz w:val="20"/>
                <w:szCs w:val="20"/>
                <w:color w:val="auto"/>
              </w:rPr>
            </w:pPr>
            <w:r>
              <w:rPr>
                <w:rFonts w:ascii="Arial" w:cs="Arial" w:eastAsia="Arial" w:hAnsi="Arial"/>
                <w:sz w:val="15"/>
                <w:szCs w:val="15"/>
                <w:color w:val="auto"/>
              </w:rPr>
              <w:t>To better align pay with performance, over time we are shifting executive compensation packages towards increasing equity-based</w:t>
            </w:r>
          </w:p>
        </w:tc>
        <w:tc>
          <w:tcPr>
            <w:tcW w:w="20" w:type="dxa"/>
            <w:vAlign w:val="bottom"/>
          </w:tcPr>
          <w:p>
            <w:pPr>
              <w:spacing w:after="0"/>
              <w:rPr>
                <w:sz w:val="14"/>
                <w:szCs w:val="14"/>
                <w:color w:val="auto"/>
              </w:rPr>
            </w:pPr>
          </w:p>
        </w:tc>
      </w:tr>
      <w:tr>
        <w:trPr>
          <w:trHeight w:val="165"/>
        </w:trPr>
        <w:tc>
          <w:tcPr>
            <w:tcW w:w="1520" w:type="dxa"/>
            <w:vAlign w:val="bottom"/>
          </w:tcPr>
          <w:p>
            <w:pPr>
              <w:spacing w:after="0"/>
              <w:rPr>
                <w:sz w:val="14"/>
                <w:szCs w:val="14"/>
                <w:color w:val="auto"/>
              </w:rPr>
            </w:pPr>
          </w:p>
        </w:tc>
        <w:tc>
          <w:tcPr>
            <w:tcW w:w="9920" w:type="dxa"/>
            <w:vAlign w:val="bottom"/>
            <w:gridSpan w:val="2"/>
          </w:tcPr>
          <w:p>
            <w:pPr>
              <w:ind w:left="200"/>
              <w:spacing w:after="0" w:line="166" w:lineRule="exact"/>
              <w:rPr>
                <w:sz w:val="20"/>
                <w:szCs w:val="20"/>
                <w:color w:val="auto"/>
              </w:rPr>
            </w:pPr>
            <w:r>
              <w:rPr>
                <w:rFonts w:ascii="Arial" w:cs="Arial" w:eastAsia="Arial" w:hAnsi="Arial"/>
                <w:sz w:val="15"/>
                <w:szCs w:val="15"/>
                <w:color w:val="auto"/>
              </w:rPr>
              <w:t>compensation and decreasing cash compensation.</w:t>
            </w:r>
          </w:p>
        </w:tc>
      </w:tr>
      <w:tr>
        <w:trPr>
          <w:trHeight w:val="159"/>
        </w:trPr>
        <w:tc>
          <w:tcPr>
            <w:tcW w:w="1520" w:type="dxa"/>
            <w:vAlign w:val="bottom"/>
            <w:shd w:val="clear" w:color="auto" w:fill="DCDDDE"/>
          </w:tcPr>
          <w:p>
            <w:pPr>
              <w:spacing w:after="0" w:line="159" w:lineRule="exact"/>
              <w:rPr>
                <w:sz w:val="20"/>
                <w:szCs w:val="20"/>
                <w:color w:val="auto"/>
              </w:rPr>
            </w:pPr>
            <w:r>
              <w:rPr>
                <w:rFonts w:ascii="Arial" w:cs="Arial" w:eastAsia="Arial" w:hAnsi="Arial"/>
                <w:sz w:val="15"/>
                <w:szCs w:val="15"/>
                <w:color w:val="auto"/>
              </w:rPr>
              <w:t>Bonus</w:t>
            </w:r>
          </w:p>
        </w:tc>
        <w:tc>
          <w:tcPr>
            <w:tcW w:w="9900" w:type="dxa"/>
            <w:vAlign w:val="bottom"/>
            <w:shd w:val="clear" w:color="auto" w:fill="DCDDDE"/>
          </w:tcPr>
          <w:p>
            <w:pPr>
              <w:ind w:left="200"/>
              <w:spacing w:after="0" w:line="159" w:lineRule="exact"/>
              <w:rPr>
                <w:sz w:val="20"/>
                <w:szCs w:val="20"/>
                <w:color w:val="auto"/>
              </w:rPr>
            </w:pPr>
            <w:r>
              <w:rPr>
                <w:rFonts w:ascii="Arial" w:cs="Arial" w:eastAsia="Arial" w:hAnsi="Arial"/>
                <w:sz w:val="15"/>
                <w:szCs w:val="15"/>
                <w:color w:val="auto"/>
              </w:rPr>
              <w:t>Our Short-Term Incentive Plan (“STIP”) design is tailored to each business unit to better align with unit-specific priorities and business</w:t>
            </w:r>
          </w:p>
        </w:tc>
        <w:tc>
          <w:tcPr>
            <w:tcW w:w="20" w:type="dxa"/>
            <w:vAlign w:val="bottom"/>
          </w:tcPr>
          <w:p>
            <w:pPr>
              <w:spacing w:after="0"/>
              <w:rPr>
                <w:sz w:val="13"/>
                <w:szCs w:val="13"/>
                <w:color w:val="auto"/>
              </w:rPr>
            </w:pPr>
          </w:p>
        </w:tc>
      </w:tr>
      <w:tr>
        <w:trPr>
          <w:trHeight w:val="162"/>
        </w:trPr>
        <w:tc>
          <w:tcPr>
            <w:tcW w:w="1520" w:type="dxa"/>
            <w:vAlign w:val="bottom"/>
            <w:shd w:val="clear" w:color="auto" w:fill="DCDDDE"/>
          </w:tcPr>
          <w:p>
            <w:pPr>
              <w:spacing w:after="0"/>
              <w:rPr>
                <w:sz w:val="14"/>
                <w:szCs w:val="14"/>
                <w:color w:val="auto"/>
              </w:rPr>
            </w:pPr>
          </w:p>
        </w:tc>
        <w:tc>
          <w:tcPr>
            <w:tcW w:w="9900" w:type="dxa"/>
            <w:vAlign w:val="bottom"/>
            <w:shd w:val="clear" w:color="auto" w:fill="DCDDDE"/>
          </w:tcPr>
          <w:p>
            <w:pPr>
              <w:ind w:left="200"/>
              <w:spacing w:after="0" w:line="162" w:lineRule="exact"/>
              <w:rPr>
                <w:sz w:val="20"/>
                <w:szCs w:val="20"/>
                <w:color w:val="auto"/>
              </w:rPr>
            </w:pPr>
            <w:r>
              <w:rPr>
                <w:rFonts w:ascii="Arial" w:cs="Arial" w:eastAsia="Arial" w:hAnsi="Arial"/>
                <w:sz w:val="15"/>
                <w:szCs w:val="15"/>
                <w:color w:val="auto"/>
              </w:rPr>
              <w:t>variability. The selection of metrics, their weighting and the payout curves vary by business unit. This provides employees with a clearer and</w:t>
            </w:r>
          </w:p>
        </w:tc>
        <w:tc>
          <w:tcPr>
            <w:tcW w:w="20" w:type="dxa"/>
            <w:vAlign w:val="bottom"/>
          </w:tcPr>
          <w:p>
            <w:pPr>
              <w:spacing w:after="0"/>
              <w:rPr>
                <w:sz w:val="14"/>
                <w:szCs w:val="14"/>
                <w:color w:val="auto"/>
              </w:rPr>
            </w:pPr>
          </w:p>
        </w:tc>
      </w:tr>
      <w:tr>
        <w:trPr>
          <w:trHeight w:val="165"/>
        </w:trPr>
        <w:tc>
          <w:tcPr>
            <w:tcW w:w="1520" w:type="dxa"/>
            <w:vAlign w:val="bottom"/>
            <w:shd w:val="clear" w:color="auto" w:fill="DCDDDE"/>
          </w:tcPr>
          <w:p>
            <w:pPr>
              <w:spacing w:after="0"/>
              <w:rPr>
                <w:sz w:val="14"/>
                <w:szCs w:val="14"/>
                <w:color w:val="auto"/>
              </w:rPr>
            </w:pPr>
          </w:p>
        </w:tc>
        <w:tc>
          <w:tcPr>
            <w:tcW w:w="9900" w:type="dxa"/>
            <w:vAlign w:val="bottom"/>
            <w:shd w:val="clear" w:color="auto" w:fill="DCDDDE"/>
          </w:tcPr>
          <w:p>
            <w:pPr>
              <w:ind w:left="200"/>
              <w:spacing w:after="0" w:line="166" w:lineRule="exact"/>
              <w:rPr>
                <w:sz w:val="20"/>
                <w:szCs w:val="20"/>
                <w:color w:val="auto"/>
              </w:rPr>
            </w:pPr>
            <w:r>
              <w:rPr>
                <w:rFonts w:ascii="Arial" w:cs="Arial" w:eastAsia="Arial" w:hAnsi="Arial"/>
                <w:sz w:val="15"/>
                <w:szCs w:val="15"/>
                <w:color w:val="auto"/>
              </w:rPr>
              <w:t>more direct understanding of how they can impact STIP outcomes.</w:t>
            </w:r>
          </w:p>
        </w:tc>
        <w:tc>
          <w:tcPr>
            <w:tcW w:w="20" w:type="dxa"/>
            <w:vAlign w:val="bottom"/>
          </w:tcPr>
          <w:p>
            <w:pPr>
              <w:spacing w:after="0"/>
              <w:rPr>
                <w:sz w:val="14"/>
                <w:szCs w:val="14"/>
                <w:color w:val="auto"/>
              </w:rPr>
            </w:pPr>
          </w:p>
        </w:tc>
      </w:tr>
      <w:tr>
        <w:trPr>
          <w:trHeight w:val="159"/>
        </w:trPr>
        <w:tc>
          <w:tcPr>
            <w:tcW w:w="1520" w:type="dxa"/>
            <w:vAlign w:val="bottom"/>
          </w:tcPr>
          <w:p>
            <w:pPr>
              <w:spacing w:after="0" w:line="159" w:lineRule="exact"/>
              <w:rPr>
                <w:sz w:val="20"/>
                <w:szCs w:val="20"/>
                <w:color w:val="auto"/>
              </w:rPr>
            </w:pPr>
            <w:r>
              <w:rPr>
                <w:rFonts w:ascii="Arial" w:cs="Arial" w:eastAsia="Arial" w:hAnsi="Arial"/>
                <w:sz w:val="15"/>
                <w:szCs w:val="15"/>
                <w:color w:val="auto"/>
              </w:rPr>
              <w:t>Performance Share</w:t>
            </w:r>
          </w:p>
        </w:tc>
        <w:tc>
          <w:tcPr>
            <w:tcW w:w="9900" w:type="dxa"/>
            <w:vAlign w:val="bottom"/>
          </w:tcPr>
          <w:p>
            <w:pPr>
              <w:ind w:left="200"/>
              <w:spacing w:after="0" w:line="159" w:lineRule="exact"/>
              <w:rPr>
                <w:sz w:val="20"/>
                <w:szCs w:val="20"/>
                <w:color w:val="auto"/>
              </w:rPr>
            </w:pPr>
            <w:r>
              <w:rPr>
                <w:rFonts w:ascii="Arial" w:cs="Arial" w:eastAsia="Arial" w:hAnsi="Arial"/>
                <w:sz w:val="15"/>
                <w:szCs w:val="15"/>
                <w:color w:val="auto"/>
              </w:rPr>
              <w:t>We modified the mix of equity awards for our NEOs and other designated senior executives to include PSUs in addition to stock options and</w:t>
            </w:r>
          </w:p>
        </w:tc>
        <w:tc>
          <w:tcPr>
            <w:tcW w:w="20" w:type="dxa"/>
            <w:vAlign w:val="bottom"/>
          </w:tcPr>
          <w:p>
            <w:pPr>
              <w:spacing w:after="0"/>
              <w:rPr>
                <w:sz w:val="13"/>
                <w:szCs w:val="13"/>
                <w:color w:val="auto"/>
              </w:rPr>
            </w:pPr>
          </w:p>
        </w:tc>
      </w:tr>
      <w:tr>
        <w:trPr>
          <w:trHeight w:val="162"/>
        </w:trPr>
        <w:tc>
          <w:tcPr>
            <w:tcW w:w="1520" w:type="dxa"/>
            <w:vAlign w:val="bottom"/>
          </w:tcPr>
          <w:p>
            <w:pPr>
              <w:spacing w:after="0" w:line="162" w:lineRule="exact"/>
              <w:rPr>
                <w:sz w:val="20"/>
                <w:szCs w:val="20"/>
                <w:color w:val="auto"/>
              </w:rPr>
            </w:pPr>
            <w:r>
              <w:rPr>
                <w:rFonts w:ascii="Arial" w:cs="Arial" w:eastAsia="Arial" w:hAnsi="Arial"/>
                <w:sz w:val="15"/>
                <w:szCs w:val="15"/>
                <w:color w:val="auto"/>
              </w:rPr>
              <w:t>Units (“PSUs”)</w:t>
            </w:r>
          </w:p>
        </w:tc>
        <w:tc>
          <w:tcPr>
            <w:tcW w:w="99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RSUs, as part of a continuing shift towards performance-based pay for the company’s leadership. In addition, for the PSUs awarded in fiscal</w:t>
            </w:r>
          </w:p>
        </w:tc>
      </w:tr>
      <w:tr>
        <w:trPr>
          <w:trHeight w:val="162"/>
        </w:trPr>
        <w:tc>
          <w:tcPr>
            <w:tcW w:w="1520" w:type="dxa"/>
            <w:vAlign w:val="bottom"/>
          </w:tcPr>
          <w:p>
            <w:pPr>
              <w:spacing w:after="0"/>
              <w:rPr>
                <w:sz w:val="14"/>
                <w:szCs w:val="14"/>
                <w:color w:val="auto"/>
              </w:rPr>
            </w:pPr>
          </w:p>
        </w:tc>
        <w:tc>
          <w:tcPr>
            <w:tcW w:w="99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year 2018, 75% of the total target award was based on the internal metric of fully-diluted adjusted earnings per share (“EPS”), and the</w:t>
            </w:r>
          </w:p>
        </w:tc>
      </w:tr>
      <w:tr>
        <w:trPr>
          <w:trHeight w:val="162"/>
        </w:trPr>
        <w:tc>
          <w:tcPr>
            <w:tcW w:w="1520" w:type="dxa"/>
            <w:vAlign w:val="bottom"/>
          </w:tcPr>
          <w:p>
            <w:pPr>
              <w:spacing w:after="0"/>
              <w:rPr>
                <w:sz w:val="14"/>
                <w:szCs w:val="14"/>
                <w:color w:val="auto"/>
              </w:rPr>
            </w:pPr>
          </w:p>
        </w:tc>
        <w:tc>
          <w:tcPr>
            <w:tcW w:w="99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remaining 25% was based on the external metric of total shareholder return (“TSR”) performance of the company’s Class B common stock in</w:t>
            </w:r>
          </w:p>
        </w:tc>
      </w:tr>
      <w:tr>
        <w:trPr>
          <w:trHeight w:val="162"/>
        </w:trPr>
        <w:tc>
          <w:tcPr>
            <w:tcW w:w="1520" w:type="dxa"/>
            <w:vAlign w:val="bottom"/>
          </w:tcPr>
          <w:p>
            <w:pPr>
              <w:spacing w:after="0"/>
              <w:rPr>
                <w:sz w:val="14"/>
                <w:szCs w:val="14"/>
                <w:color w:val="auto"/>
              </w:rPr>
            </w:pPr>
          </w:p>
        </w:tc>
        <w:tc>
          <w:tcPr>
            <w:tcW w:w="99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comparison to the TSR performance of the companies in the S&amp;P 500. Payout is capped at 200%. Executives receiving PSUs are also</w:t>
            </w:r>
          </w:p>
        </w:tc>
      </w:tr>
      <w:tr>
        <w:trPr>
          <w:trHeight w:val="162"/>
        </w:trPr>
        <w:tc>
          <w:tcPr>
            <w:tcW w:w="1520" w:type="dxa"/>
            <w:vAlign w:val="bottom"/>
          </w:tcPr>
          <w:p>
            <w:pPr>
              <w:spacing w:after="0"/>
              <w:rPr>
                <w:sz w:val="14"/>
                <w:szCs w:val="14"/>
                <w:color w:val="auto"/>
              </w:rPr>
            </w:pPr>
          </w:p>
        </w:tc>
        <w:tc>
          <w:tcPr>
            <w:tcW w:w="99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required to hold any shares resulting from settlement of the PSUs for a period of six months. For additional information regarding the PSU</w:t>
            </w:r>
          </w:p>
        </w:tc>
      </w:tr>
      <w:tr>
        <w:trPr>
          <w:trHeight w:val="162"/>
        </w:trPr>
        <w:tc>
          <w:tcPr>
            <w:tcW w:w="1520" w:type="dxa"/>
            <w:vAlign w:val="bottom"/>
          </w:tcPr>
          <w:p>
            <w:pPr>
              <w:spacing w:after="0"/>
              <w:rPr>
                <w:sz w:val="14"/>
                <w:szCs w:val="14"/>
                <w:color w:val="auto"/>
              </w:rPr>
            </w:pPr>
          </w:p>
        </w:tc>
        <w:tc>
          <w:tcPr>
            <w:tcW w:w="99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awards, see “Fiscal Year 2018 Named Executive Officer Compensation and our Pay-for-Performance Approach – Equity Awards –</w:t>
            </w:r>
          </w:p>
        </w:tc>
      </w:tr>
      <w:tr>
        <w:trPr>
          <w:trHeight w:val="165"/>
        </w:trPr>
        <w:tc>
          <w:tcPr>
            <w:tcW w:w="1520" w:type="dxa"/>
            <w:vAlign w:val="bottom"/>
            <w:tcBorders>
              <w:bottom w:val="single" w:sz="8" w:color="auto"/>
            </w:tcBorders>
          </w:tcPr>
          <w:p>
            <w:pPr>
              <w:spacing w:after="0"/>
              <w:rPr>
                <w:sz w:val="14"/>
                <w:szCs w:val="14"/>
                <w:color w:val="auto"/>
              </w:rPr>
            </w:pPr>
          </w:p>
        </w:tc>
        <w:tc>
          <w:tcPr>
            <w:tcW w:w="9900" w:type="dxa"/>
            <w:vAlign w:val="bottom"/>
            <w:tcBorders>
              <w:bottom w:val="single" w:sz="8" w:color="auto"/>
            </w:tcBorders>
          </w:tcPr>
          <w:p>
            <w:pPr>
              <w:ind w:left="200"/>
              <w:spacing w:after="0" w:line="166" w:lineRule="exact"/>
              <w:rPr>
                <w:sz w:val="20"/>
                <w:szCs w:val="20"/>
                <w:color w:val="auto"/>
              </w:rPr>
            </w:pPr>
            <w:r>
              <w:rPr>
                <w:rFonts w:ascii="Arial" w:cs="Arial" w:eastAsia="Arial" w:hAnsi="Arial"/>
                <w:sz w:val="15"/>
                <w:szCs w:val="15"/>
                <w:color w:val="auto"/>
              </w:rPr>
              <w:t>Performance Share Units.”</w:t>
            </w:r>
          </w:p>
        </w:tc>
        <w:tc>
          <w:tcPr>
            <w:tcW w:w="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Components of our Compensation Program</w:t>
      </w:r>
    </w:p>
    <w:p>
      <w:pPr>
        <w:spacing w:after="0" w:line="33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compensation program includes annual base salaries, a cash bonus plan that rewards annual performance, a long-term equity plan, health and retirement benefits and severance and restrictive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36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covenants. Each component is designed to serve a specific purpose. The Committee considers each component individually and in light of the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368300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value of the compensation package as part of its pay-for-performance approach.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34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Each of our NEOs has an employment agreement in which the Committee sets the components of compensation and initial compensation levels.</w:t>
      </w:r>
    </w:p>
    <w:p>
      <w:pPr>
        <w:spacing w:after="0" w:line="200" w:lineRule="exact"/>
        <w:rPr>
          <w:sz w:val="20"/>
          <w:szCs w:val="20"/>
          <w:color w:val="auto"/>
        </w:rPr>
      </w:pPr>
    </w:p>
    <w:p>
      <w:pPr>
        <w:sectPr>
          <w:pgSz w:w="11900" w:h="16838" w:orient="portrait"/>
          <w:cols w:equalWidth="0" w:num="2">
            <w:col w:w="5480" w:space="460"/>
            <w:col w:w="5480"/>
          </w:cols>
          <w:pgMar w:left="240" w:top="125" w:right="239" w:bottom="1440" w:gutter="0" w:footer="0" w:header="0"/>
        </w:sect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b w:val="1"/>
                <w:bCs w:val="1"/>
                <w:color w:val="auto"/>
              </w:rPr>
              <w:t>Component</w:t>
            </w:r>
          </w:p>
        </w:tc>
        <w:tc>
          <w:tcPr>
            <w:tcW w:w="2980" w:type="dxa"/>
            <w:vAlign w:val="bottom"/>
          </w:tcPr>
          <w:p>
            <w:pPr>
              <w:ind w:left="460"/>
              <w:spacing w:after="0"/>
              <w:rPr>
                <w:sz w:val="20"/>
                <w:szCs w:val="20"/>
                <w:color w:val="auto"/>
              </w:rPr>
            </w:pPr>
            <w:r>
              <w:rPr>
                <w:rFonts w:ascii="Arial" w:cs="Arial" w:eastAsia="Arial" w:hAnsi="Arial"/>
                <w:sz w:val="15"/>
                <w:szCs w:val="15"/>
                <w:b w:val="1"/>
                <w:bCs w:val="1"/>
                <w:color w:val="auto"/>
              </w:rPr>
              <w:t>Compensation Profile</w:t>
            </w:r>
          </w:p>
        </w:tc>
        <w:tc>
          <w:tcPr>
            <w:tcW w:w="6780" w:type="dxa"/>
            <w:vAlign w:val="bottom"/>
          </w:tcPr>
          <w:p>
            <w:pPr>
              <w:ind w:left="100"/>
              <w:spacing w:after="0"/>
              <w:rPr>
                <w:sz w:val="20"/>
                <w:szCs w:val="20"/>
                <w:color w:val="auto"/>
              </w:rPr>
            </w:pPr>
            <w:r>
              <w:rPr>
                <w:rFonts w:ascii="Arial" w:cs="Arial" w:eastAsia="Arial" w:hAnsi="Arial"/>
                <w:sz w:val="15"/>
                <w:szCs w:val="15"/>
                <w:b w:val="1"/>
                <w:bCs w:val="1"/>
                <w:color w:val="auto"/>
              </w:rPr>
              <w:t>Rationale</w:t>
            </w:r>
          </w:p>
        </w:tc>
      </w:tr>
      <w:tr>
        <w:trPr>
          <w:trHeight w:val="89"/>
        </w:trPr>
        <w:tc>
          <w:tcPr>
            <w:tcW w:w="166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6780" w:type="dxa"/>
            <w:vAlign w:val="bottom"/>
            <w:tcBorders>
              <w:bottom w:val="single" w:sz="8" w:color="auto"/>
            </w:tcBorders>
          </w:tcPr>
          <w:p>
            <w:pPr>
              <w:spacing w:after="0"/>
              <w:rPr>
                <w:sz w:val="7"/>
                <w:szCs w:val="7"/>
                <w:color w:val="auto"/>
              </w:rPr>
            </w:pPr>
          </w:p>
        </w:tc>
      </w:tr>
      <w:tr>
        <w:trPr>
          <w:trHeight w:val="152"/>
        </w:trPr>
        <w:tc>
          <w:tcPr>
            <w:tcW w:w="1660" w:type="dxa"/>
            <w:vAlign w:val="bottom"/>
            <w:shd w:val="clear" w:color="auto" w:fill="DCDDDE"/>
          </w:tcPr>
          <w:p>
            <w:pPr>
              <w:spacing w:after="0" w:line="152" w:lineRule="exact"/>
              <w:rPr>
                <w:sz w:val="20"/>
                <w:szCs w:val="20"/>
                <w:color w:val="auto"/>
              </w:rPr>
            </w:pPr>
            <w:r>
              <w:rPr>
                <w:rFonts w:ascii="Arial" w:cs="Arial" w:eastAsia="Arial" w:hAnsi="Arial"/>
                <w:sz w:val="15"/>
                <w:szCs w:val="15"/>
                <w:color w:val="auto"/>
              </w:rPr>
              <w:t>Base Salary</w:t>
            </w:r>
          </w:p>
        </w:tc>
        <w:tc>
          <w:tcPr>
            <w:tcW w:w="2980" w:type="dxa"/>
            <w:vAlign w:val="bottom"/>
            <w:shd w:val="clear" w:color="auto" w:fill="DCDDDE"/>
          </w:tcPr>
          <w:p>
            <w:pPr>
              <w:ind w:left="460"/>
              <w:spacing w:after="0" w:line="152" w:lineRule="exact"/>
              <w:rPr>
                <w:sz w:val="20"/>
                <w:szCs w:val="20"/>
                <w:color w:val="auto"/>
              </w:rPr>
            </w:pPr>
            <w:r>
              <w:rPr>
                <w:rFonts w:ascii="Arial" w:cs="Arial" w:eastAsia="Arial" w:hAnsi="Arial"/>
                <w:sz w:val="15"/>
                <w:szCs w:val="15"/>
                <w:color w:val="auto"/>
              </w:rPr>
              <w:t>Fixed; Merit increases reflect</w:t>
            </w:r>
          </w:p>
        </w:tc>
        <w:tc>
          <w:tcPr>
            <w:tcW w:w="6780" w:type="dxa"/>
            <w:vAlign w:val="bottom"/>
            <w:shd w:val="clear" w:color="auto" w:fill="DCDDDE"/>
          </w:tcPr>
          <w:p>
            <w:pPr>
              <w:ind w:left="100"/>
              <w:spacing w:after="0" w:line="152" w:lineRule="exact"/>
              <w:rPr>
                <w:sz w:val="20"/>
                <w:szCs w:val="20"/>
                <w:color w:val="auto"/>
              </w:rPr>
            </w:pPr>
            <w:r>
              <w:rPr>
                <w:rFonts w:ascii="Arial" w:cs="Arial" w:eastAsia="Arial" w:hAnsi="Arial"/>
                <w:sz w:val="15"/>
                <w:szCs w:val="15"/>
                <w:color w:val="auto"/>
              </w:rPr>
              <w:t>Rewards individual experience, performance and tenure, and considers competitive internal and</w:t>
            </w:r>
          </w:p>
        </w:tc>
      </w:tr>
      <w:tr>
        <w:trPr>
          <w:trHeight w:val="165"/>
        </w:trPr>
        <w:tc>
          <w:tcPr>
            <w:tcW w:w="1660" w:type="dxa"/>
            <w:vAlign w:val="bottom"/>
            <w:shd w:val="clear" w:color="auto" w:fill="DCDDDE"/>
          </w:tcPr>
          <w:p>
            <w:pPr>
              <w:spacing w:after="0"/>
              <w:rPr>
                <w:sz w:val="14"/>
                <w:szCs w:val="14"/>
                <w:color w:val="auto"/>
              </w:rPr>
            </w:pPr>
          </w:p>
        </w:tc>
        <w:tc>
          <w:tcPr>
            <w:tcW w:w="2980" w:type="dxa"/>
            <w:vAlign w:val="bottom"/>
            <w:shd w:val="clear" w:color="auto" w:fill="DCDDDE"/>
          </w:tcPr>
          <w:p>
            <w:pPr>
              <w:ind w:left="460"/>
              <w:spacing w:after="0" w:line="166" w:lineRule="exact"/>
              <w:rPr>
                <w:sz w:val="20"/>
                <w:szCs w:val="20"/>
                <w:color w:val="auto"/>
              </w:rPr>
            </w:pPr>
            <w:r>
              <w:rPr>
                <w:rFonts w:ascii="Arial" w:cs="Arial" w:eastAsia="Arial" w:hAnsi="Arial"/>
                <w:sz w:val="15"/>
                <w:szCs w:val="15"/>
                <w:color w:val="auto"/>
              </w:rPr>
              <w:t>performance</w:t>
            </w:r>
          </w:p>
        </w:tc>
        <w:tc>
          <w:tcPr>
            <w:tcW w:w="6780" w:type="dxa"/>
            <w:vAlign w:val="bottom"/>
            <w:shd w:val="clear" w:color="auto" w:fill="DCDDDE"/>
          </w:tcPr>
          <w:p>
            <w:pPr>
              <w:ind w:left="100"/>
              <w:spacing w:after="0" w:line="166" w:lineRule="exact"/>
              <w:rPr>
                <w:sz w:val="20"/>
                <w:szCs w:val="20"/>
                <w:color w:val="auto"/>
              </w:rPr>
            </w:pPr>
            <w:r>
              <w:rPr>
                <w:rFonts w:ascii="Arial" w:cs="Arial" w:eastAsia="Arial" w:hAnsi="Arial"/>
                <w:sz w:val="15"/>
                <w:szCs w:val="15"/>
                <w:color w:val="auto"/>
              </w:rPr>
              <w:t>external market data</w:t>
            </w:r>
          </w:p>
        </w:tc>
      </w:tr>
      <w:tr>
        <w:trPr>
          <w:trHeight w:val="159"/>
        </w:trPr>
        <w:tc>
          <w:tcPr>
            <w:tcW w:w="1660" w:type="dxa"/>
            <w:vAlign w:val="bottom"/>
          </w:tcPr>
          <w:p>
            <w:pPr>
              <w:spacing w:after="0" w:line="159" w:lineRule="exact"/>
              <w:rPr>
                <w:sz w:val="20"/>
                <w:szCs w:val="20"/>
                <w:color w:val="auto"/>
              </w:rPr>
            </w:pPr>
            <w:r>
              <w:rPr>
                <w:rFonts w:ascii="Arial" w:cs="Arial" w:eastAsia="Arial" w:hAnsi="Arial"/>
                <w:sz w:val="15"/>
                <w:szCs w:val="15"/>
                <w:color w:val="auto"/>
              </w:rPr>
              <w:t>Annual Cash</w:t>
            </w:r>
          </w:p>
        </w:tc>
        <w:tc>
          <w:tcPr>
            <w:tcW w:w="2980" w:type="dxa"/>
            <w:vAlign w:val="bottom"/>
          </w:tcPr>
          <w:p>
            <w:pPr>
              <w:ind w:left="460"/>
              <w:spacing w:after="0" w:line="159" w:lineRule="exact"/>
              <w:rPr>
                <w:sz w:val="20"/>
                <w:szCs w:val="20"/>
                <w:color w:val="auto"/>
              </w:rPr>
            </w:pPr>
            <w:r>
              <w:rPr>
                <w:rFonts w:ascii="Arial" w:cs="Arial" w:eastAsia="Arial" w:hAnsi="Arial"/>
                <w:sz w:val="15"/>
                <w:szCs w:val="15"/>
                <w:color w:val="auto"/>
              </w:rPr>
              <w:t>Performance-based</w:t>
            </w:r>
          </w:p>
        </w:tc>
        <w:tc>
          <w:tcPr>
            <w:tcW w:w="6780" w:type="dxa"/>
            <w:vAlign w:val="bottom"/>
          </w:tcPr>
          <w:p>
            <w:pPr>
              <w:ind w:left="100"/>
              <w:spacing w:after="0" w:line="159" w:lineRule="exact"/>
              <w:rPr>
                <w:sz w:val="20"/>
                <w:szCs w:val="20"/>
                <w:color w:val="auto"/>
              </w:rPr>
            </w:pPr>
            <w:r>
              <w:rPr>
                <w:rFonts w:ascii="Arial" w:cs="Arial" w:eastAsia="Arial" w:hAnsi="Arial"/>
                <w:sz w:val="15"/>
                <w:szCs w:val="15"/>
                <w:color w:val="auto"/>
              </w:rPr>
              <w:t>Rewards annual company operating and strategic performance and individual performance during</w:t>
            </w:r>
          </w:p>
        </w:tc>
      </w:tr>
      <w:tr>
        <w:trPr>
          <w:trHeight w:val="165"/>
        </w:trPr>
        <w:tc>
          <w:tcPr>
            <w:tcW w:w="1660" w:type="dxa"/>
            <w:vAlign w:val="bottom"/>
          </w:tcPr>
          <w:p>
            <w:pPr>
              <w:spacing w:after="0" w:line="166" w:lineRule="exact"/>
              <w:rPr>
                <w:sz w:val="20"/>
                <w:szCs w:val="20"/>
                <w:color w:val="auto"/>
              </w:rPr>
            </w:pPr>
            <w:r>
              <w:rPr>
                <w:rFonts w:ascii="Arial" w:cs="Arial" w:eastAsia="Arial" w:hAnsi="Arial"/>
                <w:sz w:val="15"/>
                <w:szCs w:val="15"/>
                <w:color w:val="auto"/>
              </w:rPr>
              <w:t>Bonus</w:t>
            </w:r>
          </w:p>
        </w:tc>
        <w:tc>
          <w:tcPr>
            <w:tcW w:w="2980" w:type="dxa"/>
            <w:vAlign w:val="bottom"/>
          </w:tcPr>
          <w:p>
            <w:pPr>
              <w:spacing w:after="0"/>
              <w:rPr>
                <w:sz w:val="14"/>
                <w:szCs w:val="14"/>
                <w:color w:val="auto"/>
              </w:rPr>
            </w:pPr>
          </w:p>
        </w:tc>
        <w:tc>
          <w:tcPr>
            <w:tcW w:w="6780" w:type="dxa"/>
            <w:vAlign w:val="bottom"/>
          </w:tcPr>
          <w:p>
            <w:pPr>
              <w:ind w:left="100"/>
              <w:spacing w:after="0" w:line="166" w:lineRule="exact"/>
              <w:rPr>
                <w:sz w:val="20"/>
                <w:szCs w:val="20"/>
                <w:color w:val="auto"/>
              </w:rPr>
            </w:pPr>
            <w:r>
              <w:rPr>
                <w:rFonts w:ascii="Arial" w:cs="Arial" w:eastAsia="Arial" w:hAnsi="Arial"/>
                <w:sz w:val="15"/>
                <w:szCs w:val="15"/>
                <w:color w:val="auto"/>
              </w:rPr>
              <w:t>the year</w:t>
            </w:r>
          </w:p>
        </w:tc>
      </w:tr>
      <w:tr>
        <w:trPr>
          <w:trHeight w:val="159"/>
        </w:trPr>
        <w:tc>
          <w:tcPr>
            <w:tcW w:w="1660" w:type="dxa"/>
            <w:vAlign w:val="bottom"/>
            <w:shd w:val="clear" w:color="auto" w:fill="DCDDDE"/>
          </w:tcPr>
          <w:p>
            <w:pPr>
              <w:spacing w:after="0" w:line="159" w:lineRule="exact"/>
              <w:rPr>
                <w:sz w:val="20"/>
                <w:szCs w:val="20"/>
                <w:color w:val="auto"/>
              </w:rPr>
            </w:pPr>
            <w:r>
              <w:rPr>
                <w:rFonts w:ascii="Arial" w:cs="Arial" w:eastAsia="Arial" w:hAnsi="Arial"/>
                <w:sz w:val="15"/>
                <w:szCs w:val="15"/>
                <w:color w:val="auto"/>
              </w:rPr>
              <w:t>Long-Term Equity</w:t>
            </w:r>
          </w:p>
        </w:tc>
        <w:tc>
          <w:tcPr>
            <w:tcW w:w="2980" w:type="dxa"/>
            <w:vAlign w:val="bottom"/>
            <w:shd w:val="clear" w:color="auto" w:fill="DCDDDE"/>
          </w:tcPr>
          <w:p>
            <w:pPr>
              <w:ind w:left="460"/>
              <w:spacing w:after="0" w:line="159" w:lineRule="exact"/>
              <w:rPr>
                <w:sz w:val="20"/>
                <w:szCs w:val="20"/>
                <w:color w:val="auto"/>
              </w:rPr>
            </w:pPr>
            <w:r>
              <w:rPr>
                <w:rFonts w:ascii="Arial" w:cs="Arial" w:eastAsia="Arial" w:hAnsi="Arial"/>
                <w:sz w:val="15"/>
                <w:szCs w:val="15"/>
                <w:color w:val="auto"/>
              </w:rPr>
              <w:t>Performance-based and/or linked to</w:t>
            </w:r>
          </w:p>
        </w:tc>
        <w:tc>
          <w:tcPr>
            <w:tcW w:w="6780" w:type="dxa"/>
            <w:vAlign w:val="bottom"/>
            <w:shd w:val="clear" w:color="auto" w:fill="DCDDDE"/>
          </w:tcPr>
          <w:p>
            <w:pPr>
              <w:ind w:left="100"/>
              <w:spacing w:after="0" w:line="159" w:lineRule="exact"/>
              <w:rPr>
                <w:sz w:val="20"/>
                <w:szCs w:val="20"/>
                <w:color w:val="auto"/>
              </w:rPr>
            </w:pPr>
            <w:r>
              <w:rPr>
                <w:rFonts w:ascii="Arial" w:cs="Arial" w:eastAsia="Arial" w:hAnsi="Arial"/>
                <w:sz w:val="15"/>
                <w:szCs w:val="15"/>
                <w:color w:val="auto"/>
              </w:rPr>
              <w:t>Contain multi-year vesting periods and/or performance conditions designed to motivate employees</w:t>
            </w:r>
          </w:p>
        </w:tc>
      </w:tr>
      <w:tr>
        <w:trPr>
          <w:trHeight w:val="162"/>
        </w:trPr>
        <w:tc>
          <w:tcPr>
            <w:tcW w:w="1660" w:type="dxa"/>
            <w:vAlign w:val="bottom"/>
            <w:shd w:val="clear" w:color="auto" w:fill="DCDDDE"/>
          </w:tcPr>
          <w:p>
            <w:pPr>
              <w:spacing w:after="0" w:line="162" w:lineRule="exact"/>
              <w:rPr>
                <w:sz w:val="20"/>
                <w:szCs w:val="20"/>
                <w:color w:val="auto"/>
              </w:rPr>
            </w:pPr>
            <w:r>
              <w:rPr>
                <w:rFonts w:ascii="Arial" w:cs="Arial" w:eastAsia="Arial" w:hAnsi="Arial"/>
                <w:sz w:val="15"/>
                <w:szCs w:val="15"/>
                <w:color w:val="auto"/>
              </w:rPr>
              <w:t>Awards</w:t>
            </w:r>
          </w:p>
        </w:tc>
        <w:tc>
          <w:tcPr>
            <w:tcW w:w="2980" w:type="dxa"/>
            <w:vAlign w:val="bottom"/>
            <w:shd w:val="clear" w:color="auto" w:fill="DCDDDE"/>
          </w:tcPr>
          <w:p>
            <w:pPr>
              <w:ind w:left="460"/>
              <w:spacing w:after="0" w:line="162" w:lineRule="exact"/>
              <w:rPr>
                <w:sz w:val="20"/>
                <w:szCs w:val="20"/>
                <w:color w:val="auto"/>
              </w:rPr>
            </w:pPr>
            <w:r>
              <w:rPr>
                <w:rFonts w:ascii="Arial" w:cs="Arial" w:eastAsia="Arial" w:hAnsi="Arial"/>
                <w:sz w:val="15"/>
                <w:szCs w:val="15"/>
                <w:color w:val="auto"/>
              </w:rPr>
              <w:t>stock performance</w:t>
            </w:r>
          </w:p>
        </w:tc>
        <w:tc>
          <w:tcPr>
            <w:tcW w:w="6780" w:type="dxa"/>
            <w:vAlign w:val="bottom"/>
            <w:shd w:val="clear" w:color="auto" w:fill="DCDDDE"/>
          </w:tcPr>
          <w:p>
            <w:pPr>
              <w:ind w:left="100"/>
              <w:spacing w:after="0" w:line="162" w:lineRule="exact"/>
              <w:rPr>
                <w:sz w:val="20"/>
                <w:szCs w:val="20"/>
                <w:color w:val="auto"/>
              </w:rPr>
            </w:pPr>
            <w:r>
              <w:rPr>
                <w:rFonts w:ascii="Arial" w:cs="Arial" w:eastAsia="Arial" w:hAnsi="Arial"/>
                <w:sz w:val="15"/>
                <w:szCs w:val="15"/>
                <w:color w:val="auto"/>
              </w:rPr>
              <w:t>to focus on long-term growth and create stockholder value. Stock options have no value if our</w:t>
            </w:r>
          </w:p>
        </w:tc>
      </w:tr>
      <w:tr>
        <w:trPr>
          <w:trHeight w:val="162"/>
        </w:trPr>
        <w:tc>
          <w:tcPr>
            <w:tcW w:w="1660" w:type="dxa"/>
            <w:vAlign w:val="bottom"/>
            <w:shd w:val="clear" w:color="auto" w:fill="DCDDDE"/>
          </w:tcPr>
          <w:p>
            <w:pPr>
              <w:spacing w:after="0"/>
              <w:rPr>
                <w:sz w:val="14"/>
                <w:szCs w:val="14"/>
                <w:color w:val="auto"/>
              </w:rPr>
            </w:pPr>
          </w:p>
        </w:tc>
        <w:tc>
          <w:tcPr>
            <w:tcW w:w="2980" w:type="dxa"/>
            <w:vAlign w:val="bottom"/>
            <w:shd w:val="clear" w:color="auto" w:fill="DCDDDE"/>
          </w:tcPr>
          <w:p>
            <w:pPr>
              <w:spacing w:after="0"/>
              <w:rPr>
                <w:sz w:val="14"/>
                <w:szCs w:val="14"/>
                <w:color w:val="auto"/>
              </w:rPr>
            </w:pPr>
          </w:p>
        </w:tc>
        <w:tc>
          <w:tcPr>
            <w:tcW w:w="6780" w:type="dxa"/>
            <w:vAlign w:val="bottom"/>
            <w:shd w:val="clear" w:color="auto" w:fill="DCDDDE"/>
          </w:tcPr>
          <w:p>
            <w:pPr>
              <w:ind w:left="100"/>
              <w:spacing w:after="0" w:line="162" w:lineRule="exact"/>
              <w:rPr>
                <w:sz w:val="20"/>
                <w:szCs w:val="20"/>
                <w:color w:val="auto"/>
              </w:rPr>
            </w:pPr>
            <w:r>
              <w:rPr>
                <w:rFonts w:ascii="Arial" w:cs="Arial" w:eastAsia="Arial" w:hAnsi="Arial"/>
                <w:sz w:val="15"/>
                <w:szCs w:val="15"/>
                <w:color w:val="auto"/>
              </w:rPr>
              <w:t>stock price does not increase over the exercise price.  Performance Share Units and Restricted</w:t>
            </w:r>
          </w:p>
        </w:tc>
      </w:tr>
      <w:tr>
        <w:trPr>
          <w:trHeight w:val="152"/>
        </w:trPr>
        <w:tc>
          <w:tcPr>
            <w:tcW w:w="1660" w:type="dxa"/>
            <w:vAlign w:val="bottom"/>
            <w:shd w:val="clear" w:color="auto" w:fill="DCDDDE"/>
          </w:tcPr>
          <w:p>
            <w:pPr>
              <w:spacing w:after="0"/>
              <w:rPr>
                <w:sz w:val="13"/>
                <w:szCs w:val="13"/>
                <w:color w:val="auto"/>
              </w:rPr>
            </w:pPr>
          </w:p>
        </w:tc>
        <w:tc>
          <w:tcPr>
            <w:tcW w:w="2980" w:type="dxa"/>
            <w:vAlign w:val="bottom"/>
            <w:shd w:val="clear" w:color="auto" w:fill="DCDDDE"/>
          </w:tcPr>
          <w:p>
            <w:pPr>
              <w:spacing w:after="0"/>
              <w:rPr>
                <w:sz w:val="13"/>
                <w:szCs w:val="13"/>
                <w:color w:val="auto"/>
              </w:rPr>
            </w:pPr>
          </w:p>
        </w:tc>
        <w:tc>
          <w:tcPr>
            <w:tcW w:w="6780" w:type="dxa"/>
            <w:vAlign w:val="bottom"/>
            <w:shd w:val="clear" w:color="auto" w:fill="DCDDDE"/>
          </w:tcPr>
          <w:p>
            <w:pPr>
              <w:ind w:left="100"/>
              <w:spacing w:after="0" w:line="152" w:lineRule="exact"/>
              <w:rPr>
                <w:sz w:val="20"/>
                <w:szCs w:val="20"/>
                <w:color w:val="auto"/>
              </w:rPr>
            </w:pPr>
            <w:r>
              <w:rPr>
                <w:rFonts w:ascii="Arial" w:cs="Arial" w:eastAsia="Arial" w:hAnsi="Arial"/>
                <w:sz w:val="15"/>
                <w:szCs w:val="15"/>
                <w:color w:val="auto"/>
              </w:rPr>
              <w:t>Share Units help support long-term retention of executive talent.</w:t>
            </w:r>
          </w:p>
        </w:tc>
      </w:tr>
      <w:tr>
        <w:trPr>
          <w:trHeight w:val="162"/>
        </w:trPr>
        <w:tc>
          <w:tcPr>
            <w:tcW w:w="1660" w:type="dxa"/>
            <w:vAlign w:val="bottom"/>
            <w:shd w:val="clear" w:color="auto" w:fill="DCDDDE"/>
          </w:tcPr>
          <w:p>
            <w:pPr>
              <w:spacing w:after="0"/>
              <w:rPr>
                <w:sz w:val="14"/>
                <w:szCs w:val="14"/>
                <w:color w:val="auto"/>
              </w:rPr>
            </w:pPr>
          </w:p>
        </w:tc>
        <w:tc>
          <w:tcPr>
            <w:tcW w:w="2980" w:type="dxa"/>
            <w:vAlign w:val="bottom"/>
            <w:shd w:val="clear" w:color="auto" w:fill="DCDDDE"/>
          </w:tcPr>
          <w:p>
            <w:pPr>
              <w:spacing w:after="0"/>
              <w:rPr>
                <w:sz w:val="14"/>
                <w:szCs w:val="14"/>
                <w:color w:val="auto"/>
              </w:rPr>
            </w:pPr>
          </w:p>
        </w:tc>
        <w:tc>
          <w:tcPr>
            <w:tcW w:w="6780" w:type="dxa"/>
            <w:vAlign w:val="bottom"/>
            <w:shd w:val="clear" w:color="auto" w:fill="DCDDDE"/>
          </w:tcPr>
          <w:p>
            <w:pPr>
              <w:ind w:left="100"/>
              <w:spacing w:after="0" w:line="162" w:lineRule="exact"/>
              <w:rPr>
                <w:sz w:val="20"/>
                <w:szCs w:val="20"/>
                <w:color w:val="auto"/>
              </w:rPr>
            </w:pPr>
            <w:r>
              <w:rPr>
                <w:rFonts w:ascii="Arial" w:cs="Arial" w:eastAsia="Arial" w:hAnsi="Arial"/>
                <w:sz w:val="15"/>
                <w:szCs w:val="15"/>
                <w:color w:val="auto"/>
              </w:rPr>
              <w:t>•Stock options: vest in equal annual installments over 4 years</w:t>
            </w:r>
          </w:p>
        </w:tc>
      </w:tr>
      <w:tr>
        <w:trPr>
          <w:trHeight w:val="172"/>
        </w:trPr>
        <w:tc>
          <w:tcPr>
            <w:tcW w:w="1660" w:type="dxa"/>
            <w:vAlign w:val="bottom"/>
            <w:shd w:val="clear" w:color="auto" w:fill="DCDDDE"/>
          </w:tcPr>
          <w:p>
            <w:pPr>
              <w:spacing w:after="0"/>
              <w:rPr>
                <w:sz w:val="14"/>
                <w:szCs w:val="14"/>
                <w:color w:val="auto"/>
              </w:rPr>
            </w:pPr>
          </w:p>
        </w:tc>
        <w:tc>
          <w:tcPr>
            <w:tcW w:w="2980" w:type="dxa"/>
            <w:vAlign w:val="bottom"/>
            <w:shd w:val="clear" w:color="auto" w:fill="DCDDDE"/>
          </w:tcPr>
          <w:p>
            <w:pPr>
              <w:spacing w:after="0"/>
              <w:rPr>
                <w:sz w:val="14"/>
                <w:szCs w:val="14"/>
                <w:color w:val="auto"/>
              </w:rPr>
            </w:pPr>
          </w:p>
        </w:tc>
        <w:tc>
          <w:tcPr>
            <w:tcW w:w="6780" w:type="dxa"/>
            <w:vAlign w:val="bottom"/>
            <w:shd w:val="clear" w:color="auto" w:fill="DCDDDE"/>
          </w:tcPr>
          <w:p>
            <w:pPr>
              <w:ind w:left="100"/>
              <w:spacing w:after="0"/>
              <w:rPr>
                <w:sz w:val="20"/>
                <w:szCs w:val="20"/>
                <w:color w:val="auto"/>
              </w:rPr>
            </w:pPr>
            <w:r>
              <w:rPr>
                <w:rFonts w:ascii="Arial" w:cs="Arial" w:eastAsia="Arial" w:hAnsi="Arial"/>
                <w:sz w:val="15"/>
                <w:szCs w:val="15"/>
                <w:color w:val="auto"/>
              </w:rPr>
              <w:t>•Performance Share Units: vest at the end of a performance period of 3 years, provided</w:t>
            </w:r>
          </w:p>
        </w:tc>
      </w:tr>
      <w:tr>
        <w:trPr>
          <w:trHeight w:val="152"/>
        </w:trPr>
        <w:tc>
          <w:tcPr>
            <w:tcW w:w="1660" w:type="dxa"/>
            <w:vAlign w:val="bottom"/>
            <w:shd w:val="clear" w:color="auto" w:fill="DCDDDE"/>
          </w:tcPr>
          <w:p>
            <w:pPr>
              <w:spacing w:after="0"/>
              <w:rPr>
                <w:sz w:val="13"/>
                <w:szCs w:val="13"/>
                <w:color w:val="auto"/>
              </w:rPr>
            </w:pPr>
          </w:p>
        </w:tc>
        <w:tc>
          <w:tcPr>
            <w:tcW w:w="2980" w:type="dxa"/>
            <w:vAlign w:val="bottom"/>
            <w:shd w:val="clear" w:color="auto" w:fill="DCDDDE"/>
          </w:tcPr>
          <w:p>
            <w:pPr>
              <w:spacing w:after="0"/>
              <w:rPr>
                <w:sz w:val="13"/>
                <w:szCs w:val="13"/>
                <w:color w:val="auto"/>
              </w:rPr>
            </w:pPr>
          </w:p>
        </w:tc>
        <w:tc>
          <w:tcPr>
            <w:tcW w:w="6780" w:type="dxa"/>
            <w:vAlign w:val="bottom"/>
            <w:shd w:val="clear" w:color="auto" w:fill="DCDDDE"/>
          </w:tcPr>
          <w:p>
            <w:pPr>
              <w:ind w:left="260"/>
              <w:spacing w:after="0" w:line="152" w:lineRule="exact"/>
              <w:rPr>
                <w:sz w:val="20"/>
                <w:szCs w:val="20"/>
                <w:color w:val="auto"/>
              </w:rPr>
            </w:pPr>
            <w:r>
              <w:rPr>
                <w:rFonts w:ascii="Arial" w:cs="Arial" w:eastAsia="Arial" w:hAnsi="Arial"/>
                <w:sz w:val="15"/>
                <w:szCs w:val="15"/>
                <w:color w:val="auto"/>
              </w:rPr>
              <w:t>performance targets are met</w:t>
            </w:r>
          </w:p>
        </w:tc>
      </w:tr>
      <w:tr>
        <w:trPr>
          <w:trHeight w:val="175"/>
        </w:trPr>
        <w:tc>
          <w:tcPr>
            <w:tcW w:w="1660" w:type="dxa"/>
            <w:vAlign w:val="bottom"/>
            <w:shd w:val="clear" w:color="auto" w:fill="DCDDDE"/>
          </w:tcPr>
          <w:p>
            <w:pPr>
              <w:spacing w:after="0"/>
              <w:rPr>
                <w:sz w:val="15"/>
                <w:szCs w:val="15"/>
                <w:color w:val="auto"/>
              </w:rPr>
            </w:pPr>
          </w:p>
        </w:tc>
        <w:tc>
          <w:tcPr>
            <w:tcW w:w="2980" w:type="dxa"/>
            <w:vAlign w:val="bottom"/>
            <w:shd w:val="clear" w:color="auto" w:fill="DCDDDE"/>
          </w:tcPr>
          <w:p>
            <w:pPr>
              <w:spacing w:after="0"/>
              <w:rPr>
                <w:sz w:val="15"/>
                <w:szCs w:val="15"/>
                <w:color w:val="auto"/>
              </w:rPr>
            </w:pPr>
          </w:p>
        </w:tc>
        <w:tc>
          <w:tcPr>
            <w:tcW w:w="6780" w:type="dxa"/>
            <w:vAlign w:val="bottom"/>
            <w:shd w:val="clear" w:color="auto" w:fill="DCDDDE"/>
          </w:tcPr>
          <w:p>
            <w:pPr>
              <w:ind w:left="100"/>
              <w:spacing w:after="0"/>
              <w:rPr>
                <w:sz w:val="20"/>
                <w:szCs w:val="20"/>
                <w:color w:val="auto"/>
              </w:rPr>
            </w:pPr>
            <w:r>
              <w:rPr>
                <w:rFonts w:ascii="Arial" w:cs="Arial" w:eastAsia="Arial" w:hAnsi="Arial"/>
                <w:sz w:val="15"/>
                <w:szCs w:val="15"/>
                <w:color w:val="auto"/>
              </w:rPr>
              <w:t>•Restricted Share Units: vest in equal annual installments over 4 years</w:t>
            </w:r>
          </w:p>
        </w:tc>
      </w:tr>
      <w:tr>
        <w:trPr>
          <w:trHeight w:val="159"/>
        </w:trPr>
        <w:tc>
          <w:tcPr>
            <w:tcW w:w="1660" w:type="dxa"/>
            <w:vAlign w:val="bottom"/>
          </w:tcPr>
          <w:p>
            <w:pPr>
              <w:spacing w:after="0" w:line="159" w:lineRule="exact"/>
              <w:rPr>
                <w:sz w:val="20"/>
                <w:szCs w:val="20"/>
                <w:color w:val="auto"/>
              </w:rPr>
            </w:pPr>
            <w:r>
              <w:rPr>
                <w:rFonts w:ascii="Arial" w:cs="Arial" w:eastAsia="Arial" w:hAnsi="Arial"/>
                <w:sz w:val="15"/>
                <w:szCs w:val="15"/>
                <w:color w:val="auto"/>
              </w:rPr>
              <w:t>Health and</w:t>
            </w:r>
          </w:p>
        </w:tc>
        <w:tc>
          <w:tcPr>
            <w:tcW w:w="2980" w:type="dxa"/>
            <w:vAlign w:val="bottom"/>
          </w:tcPr>
          <w:p>
            <w:pPr>
              <w:ind w:left="460"/>
              <w:spacing w:after="0" w:line="159" w:lineRule="exact"/>
              <w:rPr>
                <w:sz w:val="20"/>
                <w:szCs w:val="20"/>
                <w:color w:val="auto"/>
              </w:rPr>
            </w:pPr>
            <w:r>
              <w:rPr>
                <w:rFonts w:ascii="Arial" w:cs="Arial" w:eastAsia="Arial" w:hAnsi="Arial"/>
                <w:sz w:val="15"/>
                <w:szCs w:val="15"/>
                <w:color w:val="auto"/>
              </w:rPr>
              <w:t>Fixed</w:t>
            </w:r>
          </w:p>
        </w:tc>
        <w:tc>
          <w:tcPr>
            <w:tcW w:w="6780" w:type="dxa"/>
            <w:vAlign w:val="bottom"/>
          </w:tcPr>
          <w:p>
            <w:pPr>
              <w:ind w:left="100"/>
              <w:spacing w:after="0" w:line="159" w:lineRule="exact"/>
              <w:rPr>
                <w:sz w:val="20"/>
                <w:szCs w:val="20"/>
                <w:color w:val="auto"/>
              </w:rPr>
            </w:pPr>
            <w:r>
              <w:rPr>
                <w:rFonts w:ascii="Arial" w:cs="Arial" w:eastAsia="Arial" w:hAnsi="Arial"/>
                <w:sz w:val="15"/>
                <w:szCs w:val="15"/>
                <w:color w:val="auto"/>
              </w:rPr>
              <w:t>Support the health and safety of our employees and provide mechanisms for retirement savings.</w:t>
            </w: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5"/>
                <w:szCs w:val="15"/>
                <w:color w:val="auto"/>
              </w:rPr>
              <w:t>Retirement</w:t>
            </w:r>
          </w:p>
        </w:tc>
        <w:tc>
          <w:tcPr>
            <w:tcW w:w="2980" w:type="dxa"/>
            <w:vAlign w:val="bottom"/>
          </w:tcPr>
          <w:p>
            <w:pPr>
              <w:spacing w:after="0"/>
              <w:rPr>
                <w:sz w:val="14"/>
                <w:szCs w:val="14"/>
                <w:color w:val="auto"/>
              </w:rPr>
            </w:pPr>
          </w:p>
        </w:tc>
        <w:tc>
          <w:tcPr>
            <w:tcW w:w="6780" w:type="dxa"/>
            <w:vAlign w:val="bottom"/>
          </w:tcPr>
          <w:p>
            <w:pPr>
              <w:ind w:left="100"/>
              <w:spacing w:after="0" w:line="162" w:lineRule="exact"/>
              <w:rPr>
                <w:sz w:val="20"/>
                <w:szCs w:val="20"/>
                <w:color w:val="auto"/>
              </w:rPr>
            </w:pPr>
            <w:r>
              <w:rPr>
                <w:rFonts w:ascii="Arial" w:cs="Arial" w:eastAsia="Arial" w:hAnsi="Arial"/>
                <w:sz w:val="15"/>
                <w:szCs w:val="15"/>
                <w:color w:val="auto"/>
              </w:rPr>
              <w:t>Our NEOs and other executives participate in the same health and retirement benefits as the rest</w:t>
            </w:r>
          </w:p>
        </w:tc>
      </w:tr>
      <w:tr>
        <w:trPr>
          <w:trHeight w:val="165"/>
        </w:trPr>
        <w:tc>
          <w:tcPr>
            <w:tcW w:w="1660" w:type="dxa"/>
            <w:vAlign w:val="bottom"/>
          </w:tcPr>
          <w:p>
            <w:pPr>
              <w:spacing w:after="0" w:line="166" w:lineRule="exact"/>
              <w:rPr>
                <w:sz w:val="20"/>
                <w:szCs w:val="20"/>
                <w:color w:val="auto"/>
              </w:rPr>
            </w:pPr>
            <w:r>
              <w:rPr>
                <w:rFonts w:ascii="Arial" w:cs="Arial" w:eastAsia="Arial" w:hAnsi="Arial"/>
                <w:sz w:val="15"/>
                <w:szCs w:val="15"/>
                <w:color w:val="auto"/>
              </w:rPr>
              <w:t>Benefits</w:t>
            </w:r>
          </w:p>
        </w:tc>
        <w:tc>
          <w:tcPr>
            <w:tcW w:w="2980" w:type="dxa"/>
            <w:vAlign w:val="bottom"/>
          </w:tcPr>
          <w:p>
            <w:pPr>
              <w:spacing w:after="0"/>
              <w:rPr>
                <w:sz w:val="14"/>
                <w:szCs w:val="14"/>
                <w:color w:val="auto"/>
              </w:rPr>
            </w:pPr>
          </w:p>
        </w:tc>
        <w:tc>
          <w:tcPr>
            <w:tcW w:w="6780" w:type="dxa"/>
            <w:vAlign w:val="bottom"/>
          </w:tcPr>
          <w:p>
            <w:pPr>
              <w:ind w:left="100"/>
              <w:spacing w:after="0" w:line="166" w:lineRule="exact"/>
              <w:rPr>
                <w:sz w:val="20"/>
                <w:szCs w:val="20"/>
                <w:color w:val="auto"/>
              </w:rPr>
            </w:pPr>
            <w:r>
              <w:rPr>
                <w:rFonts w:ascii="Arial" w:cs="Arial" w:eastAsia="Arial" w:hAnsi="Arial"/>
                <w:sz w:val="15"/>
                <w:szCs w:val="15"/>
                <w:color w:val="auto"/>
              </w:rPr>
              <w:t>of our employee population.</w:t>
            </w:r>
          </w:p>
        </w:tc>
      </w:tr>
      <w:tr>
        <w:trPr>
          <w:trHeight w:val="159"/>
        </w:trPr>
        <w:tc>
          <w:tcPr>
            <w:tcW w:w="1660" w:type="dxa"/>
            <w:vAlign w:val="bottom"/>
            <w:shd w:val="clear" w:color="auto" w:fill="DCDDDE"/>
          </w:tcPr>
          <w:p>
            <w:pPr>
              <w:spacing w:after="0" w:line="159" w:lineRule="exact"/>
              <w:rPr>
                <w:sz w:val="20"/>
                <w:szCs w:val="20"/>
                <w:color w:val="auto"/>
              </w:rPr>
            </w:pPr>
            <w:r>
              <w:rPr>
                <w:rFonts w:ascii="Arial" w:cs="Arial" w:eastAsia="Arial" w:hAnsi="Arial"/>
                <w:sz w:val="15"/>
                <w:szCs w:val="15"/>
                <w:color w:val="auto"/>
              </w:rPr>
              <w:t>Severance and</w:t>
            </w:r>
          </w:p>
        </w:tc>
        <w:tc>
          <w:tcPr>
            <w:tcW w:w="2980" w:type="dxa"/>
            <w:vAlign w:val="bottom"/>
            <w:shd w:val="clear" w:color="auto" w:fill="DCDDDE"/>
          </w:tcPr>
          <w:p>
            <w:pPr>
              <w:ind w:left="460"/>
              <w:spacing w:after="0" w:line="159" w:lineRule="exact"/>
              <w:rPr>
                <w:sz w:val="20"/>
                <w:szCs w:val="20"/>
                <w:color w:val="auto"/>
              </w:rPr>
            </w:pPr>
            <w:r>
              <w:rPr>
                <w:rFonts w:ascii="Arial" w:cs="Arial" w:eastAsia="Arial" w:hAnsi="Arial"/>
                <w:sz w:val="15"/>
                <w:szCs w:val="15"/>
                <w:color w:val="auto"/>
              </w:rPr>
              <w:t>Contingent</w:t>
            </w:r>
          </w:p>
        </w:tc>
        <w:tc>
          <w:tcPr>
            <w:tcW w:w="6780" w:type="dxa"/>
            <w:vAlign w:val="bottom"/>
            <w:shd w:val="clear" w:color="auto" w:fill="DCDDDE"/>
          </w:tcPr>
          <w:p>
            <w:pPr>
              <w:ind w:left="100"/>
              <w:spacing w:after="0" w:line="159" w:lineRule="exact"/>
              <w:rPr>
                <w:sz w:val="20"/>
                <w:szCs w:val="20"/>
                <w:color w:val="auto"/>
              </w:rPr>
            </w:pPr>
            <w:r>
              <w:rPr>
                <w:rFonts w:ascii="Arial" w:cs="Arial" w:eastAsia="Arial" w:hAnsi="Arial"/>
                <w:sz w:val="15"/>
                <w:szCs w:val="15"/>
                <w:color w:val="auto"/>
              </w:rPr>
              <w:t>Provide cash payments upon termination without “cause” or resignation for “good reason” (as</w:t>
            </w:r>
          </w:p>
        </w:tc>
      </w:tr>
      <w:tr>
        <w:trPr>
          <w:trHeight w:val="162"/>
        </w:trPr>
        <w:tc>
          <w:tcPr>
            <w:tcW w:w="1660" w:type="dxa"/>
            <w:vAlign w:val="bottom"/>
            <w:shd w:val="clear" w:color="auto" w:fill="DCDDDE"/>
          </w:tcPr>
          <w:p>
            <w:pPr>
              <w:spacing w:after="0" w:line="162" w:lineRule="exact"/>
              <w:rPr>
                <w:sz w:val="20"/>
                <w:szCs w:val="20"/>
                <w:color w:val="auto"/>
              </w:rPr>
            </w:pPr>
            <w:r>
              <w:rPr>
                <w:rFonts w:ascii="Arial" w:cs="Arial" w:eastAsia="Arial" w:hAnsi="Arial"/>
                <w:sz w:val="15"/>
                <w:szCs w:val="15"/>
                <w:color w:val="auto"/>
              </w:rPr>
              <w:t>Restrictive</w:t>
            </w:r>
          </w:p>
        </w:tc>
        <w:tc>
          <w:tcPr>
            <w:tcW w:w="2980" w:type="dxa"/>
            <w:vAlign w:val="bottom"/>
            <w:shd w:val="clear" w:color="auto" w:fill="DCDDDE"/>
          </w:tcPr>
          <w:p>
            <w:pPr>
              <w:spacing w:after="0"/>
              <w:rPr>
                <w:sz w:val="14"/>
                <w:szCs w:val="14"/>
                <w:color w:val="auto"/>
              </w:rPr>
            </w:pPr>
          </w:p>
        </w:tc>
        <w:tc>
          <w:tcPr>
            <w:tcW w:w="6780" w:type="dxa"/>
            <w:vAlign w:val="bottom"/>
            <w:shd w:val="clear" w:color="auto" w:fill="DCDDDE"/>
          </w:tcPr>
          <w:p>
            <w:pPr>
              <w:ind w:left="100"/>
              <w:spacing w:after="0" w:line="162" w:lineRule="exact"/>
              <w:rPr>
                <w:sz w:val="20"/>
                <w:szCs w:val="20"/>
                <w:color w:val="auto"/>
              </w:rPr>
            </w:pPr>
            <w:r>
              <w:rPr>
                <w:rFonts w:ascii="Arial" w:cs="Arial" w:eastAsia="Arial" w:hAnsi="Arial"/>
                <w:sz w:val="15"/>
                <w:szCs w:val="15"/>
                <w:color w:val="auto"/>
              </w:rPr>
              <w:t>defined in the executive’s employment agreement) capped at two times base salary and target</w:t>
            </w:r>
          </w:p>
        </w:tc>
      </w:tr>
      <w:tr>
        <w:trPr>
          <w:trHeight w:val="162"/>
        </w:trPr>
        <w:tc>
          <w:tcPr>
            <w:tcW w:w="1660" w:type="dxa"/>
            <w:vAlign w:val="bottom"/>
            <w:shd w:val="clear" w:color="auto" w:fill="DCDDDE"/>
          </w:tcPr>
          <w:p>
            <w:pPr>
              <w:spacing w:after="0" w:line="162" w:lineRule="exact"/>
              <w:rPr>
                <w:sz w:val="20"/>
                <w:szCs w:val="20"/>
                <w:color w:val="auto"/>
              </w:rPr>
            </w:pPr>
            <w:r>
              <w:rPr>
                <w:rFonts w:ascii="Arial" w:cs="Arial" w:eastAsia="Arial" w:hAnsi="Arial"/>
                <w:sz w:val="15"/>
                <w:szCs w:val="15"/>
                <w:color w:val="auto"/>
              </w:rPr>
              <w:t>Covenants</w:t>
            </w:r>
          </w:p>
        </w:tc>
        <w:tc>
          <w:tcPr>
            <w:tcW w:w="2980" w:type="dxa"/>
            <w:vAlign w:val="bottom"/>
            <w:shd w:val="clear" w:color="auto" w:fill="DCDDDE"/>
          </w:tcPr>
          <w:p>
            <w:pPr>
              <w:spacing w:after="0"/>
              <w:rPr>
                <w:sz w:val="14"/>
                <w:szCs w:val="14"/>
                <w:color w:val="auto"/>
              </w:rPr>
            </w:pPr>
          </w:p>
        </w:tc>
        <w:tc>
          <w:tcPr>
            <w:tcW w:w="6780" w:type="dxa"/>
            <w:vAlign w:val="bottom"/>
            <w:shd w:val="clear" w:color="auto" w:fill="DCDDDE"/>
          </w:tcPr>
          <w:p>
            <w:pPr>
              <w:ind w:left="100"/>
              <w:spacing w:after="0" w:line="162" w:lineRule="exact"/>
              <w:rPr>
                <w:sz w:val="20"/>
                <w:szCs w:val="20"/>
                <w:color w:val="auto"/>
              </w:rPr>
            </w:pPr>
            <w:r>
              <w:rPr>
                <w:rFonts w:ascii="Arial" w:cs="Arial" w:eastAsia="Arial" w:hAnsi="Arial"/>
                <w:sz w:val="15"/>
                <w:szCs w:val="15"/>
                <w:color w:val="auto"/>
              </w:rPr>
              <w:t>bonus. No severance payment is made if an employee leaves voluntarily or is terminated for</w:t>
            </w:r>
          </w:p>
        </w:tc>
      </w:tr>
      <w:tr>
        <w:trPr>
          <w:trHeight w:val="162"/>
        </w:trPr>
        <w:tc>
          <w:tcPr>
            <w:tcW w:w="1660" w:type="dxa"/>
            <w:vAlign w:val="bottom"/>
            <w:shd w:val="clear" w:color="auto" w:fill="DCDDDE"/>
          </w:tcPr>
          <w:p>
            <w:pPr>
              <w:spacing w:after="0"/>
              <w:rPr>
                <w:sz w:val="14"/>
                <w:szCs w:val="14"/>
                <w:color w:val="auto"/>
              </w:rPr>
            </w:pPr>
          </w:p>
        </w:tc>
        <w:tc>
          <w:tcPr>
            <w:tcW w:w="2980" w:type="dxa"/>
            <w:vAlign w:val="bottom"/>
            <w:shd w:val="clear" w:color="auto" w:fill="DCDDDE"/>
          </w:tcPr>
          <w:p>
            <w:pPr>
              <w:spacing w:after="0"/>
              <w:rPr>
                <w:sz w:val="14"/>
                <w:szCs w:val="14"/>
                <w:color w:val="auto"/>
              </w:rPr>
            </w:pPr>
          </w:p>
        </w:tc>
        <w:tc>
          <w:tcPr>
            <w:tcW w:w="6780" w:type="dxa"/>
            <w:vAlign w:val="bottom"/>
            <w:shd w:val="clear" w:color="auto" w:fill="DCDDDE"/>
          </w:tcPr>
          <w:p>
            <w:pPr>
              <w:ind w:left="100"/>
              <w:spacing w:after="0" w:line="162" w:lineRule="exact"/>
              <w:rPr>
                <w:sz w:val="20"/>
                <w:szCs w:val="20"/>
                <w:color w:val="auto"/>
              </w:rPr>
            </w:pPr>
            <w:r>
              <w:rPr>
                <w:rFonts w:ascii="Arial" w:cs="Arial" w:eastAsia="Arial" w:hAnsi="Arial"/>
                <w:sz w:val="15"/>
                <w:szCs w:val="15"/>
                <w:color w:val="auto"/>
              </w:rPr>
              <w:t>“cause.” Severance protections are designed to attract and retain talent in a competitive</w:t>
            </w:r>
          </w:p>
        </w:tc>
      </w:tr>
      <w:tr>
        <w:trPr>
          <w:trHeight w:val="162"/>
        </w:trPr>
        <w:tc>
          <w:tcPr>
            <w:tcW w:w="1660" w:type="dxa"/>
            <w:vAlign w:val="bottom"/>
            <w:shd w:val="clear" w:color="auto" w:fill="DCDDDE"/>
          </w:tcPr>
          <w:p>
            <w:pPr>
              <w:spacing w:after="0"/>
              <w:rPr>
                <w:sz w:val="14"/>
                <w:szCs w:val="14"/>
                <w:color w:val="auto"/>
              </w:rPr>
            </w:pPr>
          </w:p>
        </w:tc>
        <w:tc>
          <w:tcPr>
            <w:tcW w:w="2980" w:type="dxa"/>
            <w:vAlign w:val="bottom"/>
            <w:shd w:val="clear" w:color="auto" w:fill="DCDDDE"/>
          </w:tcPr>
          <w:p>
            <w:pPr>
              <w:spacing w:after="0"/>
              <w:rPr>
                <w:sz w:val="14"/>
                <w:szCs w:val="14"/>
                <w:color w:val="auto"/>
              </w:rPr>
            </w:pPr>
          </w:p>
        </w:tc>
        <w:tc>
          <w:tcPr>
            <w:tcW w:w="6780" w:type="dxa"/>
            <w:vAlign w:val="bottom"/>
            <w:shd w:val="clear" w:color="auto" w:fill="DCDDDE"/>
          </w:tcPr>
          <w:p>
            <w:pPr>
              <w:ind w:left="100"/>
              <w:spacing w:after="0" w:line="162" w:lineRule="exact"/>
              <w:rPr>
                <w:sz w:val="20"/>
                <w:szCs w:val="20"/>
                <w:color w:val="auto"/>
              </w:rPr>
            </w:pPr>
            <w:r>
              <w:rPr>
                <w:rFonts w:ascii="Arial" w:cs="Arial" w:eastAsia="Arial" w:hAnsi="Arial"/>
                <w:sz w:val="15"/>
                <w:szCs w:val="15"/>
                <w:color w:val="auto"/>
              </w:rPr>
              <w:t>marketplace, allow executives to think and act without the distraction of possible termination</w:t>
            </w:r>
          </w:p>
        </w:tc>
      </w:tr>
      <w:tr>
        <w:trPr>
          <w:trHeight w:val="162"/>
        </w:trPr>
        <w:tc>
          <w:tcPr>
            <w:tcW w:w="1660" w:type="dxa"/>
            <w:vAlign w:val="bottom"/>
            <w:shd w:val="clear" w:color="auto" w:fill="DCDDDE"/>
          </w:tcPr>
          <w:p>
            <w:pPr>
              <w:spacing w:after="0"/>
              <w:rPr>
                <w:sz w:val="14"/>
                <w:szCs w:val="14"/>
                <w:color w:val="auto"/>
              </w:rPr>
            </w:pPr>
          </w:p>
        </w:tc>
        <w:tc>
          <w:tcPr>
            <w:tcW w:w="2980" w:type="dxa"/>
            <w:vAlign w:val="bottom"/>
            <w:shd w:val="clear" w:color="auto" w:fill="DCDDDE"/>
          </w:tcPr>
          <w:p>
            <w:pPr>
              <w:spacing w:after="0"/>
              <w:rPr>
                <w:sz w:val="14"/>
                <w:szCs w:val="14"/>
                <w:color w:val="auto"/>
              </w:rPr>
            </w:pPr>
          </w:p>
        </w:tc>
        <w:tc>
          <w:tcPr>
            <w:tcW w:w="6780" w:type="dxa"/>
            <w:vAlign w:val="bottom"/>
            <w:shd w:val="clear" w:color="auto" w:fill="DCDDDE"/>
          </w:tcPr>
          <w:p>
            <w:pPr>
              <w:ind w:left="100"/>
              <w:spacing w:after="0" w:line="162" w:lineRule="exact"/>
              <w:rPr>
                <w:sz w:val="20"/>
                <w:szCs w:val="20"/>
                <w:color w:val="auto"/>
              </w:rPr>
            </w:pPr>
            <w:r>
              <w:rPr>
                <w:rFonts w:ascii="Arial" w:cs="Arial" w:eastAsia="Arial" w:hAnsi="Arial"/>
                <w:sz w:val="15"/>
                <w:szCs w:val="15"/>
                <w:color w:val="auto"/>
              </w:rPr>
              <w:t>(balanced by our ability to terminate without “cause”) and provide consideration for restrictive</w:t>
            </w:r>
          </w:p>
        </w:tc>
      </w:tr>
      <w:tr>
        <w:trPr>
          <w:trHeight w:val="165"/>
        </w:trPr>
        <w:tc>
          <w:tcPr>
            <w:tcW w:w="1660" w:type="dxa"/>
            <w:vAlign w:val="bottom"/>
            <w:tcBorders>
              <w:bottom w:val="single" w:sz="8" w:color="auto"/>
            </w:tcBorders>
            <w:shd w:val="clear" w:color="auto" w:fill="DCDDDE"/>
          </w:tcPr>
          <w:p>
            <w:pPr>
              <w:spacing w:after="0"/>
              <w:rPr>
                <w:sz w:val="14"/>
                <w:szCs w:val="14"/>
                <w:color w:val="auto"/>
              </w:rPr>
            </w:pPr>
          </w:p>
        </w:tc>
        <w:tc>
          <w:tcPr>
            <w:tcW w:w="2980" w:type="dxa"/>
            <w:vAlign w:val="bottom"/>
            <w:tcBorders>
              <w:bottom w:val="single" w:sz="8" w:color="auto"/>
            </w:tcBorders>
            <w:shd w:val="clear" w:color="auto" w:fill="DCDDDE"/>
          </w:tcPr>
          <w:p>
            <w:pPr>
              <w:spacing w:after="0"/>
              <w:rPr>
                <w:sz w:val="14"/>
                <w:szCs w:val="14"/>
                <w:color w:val="auto"/>
              </w:rPr>
            </w:pPr>
          </w:p>
        </w:tc>
        <w:tc>
          <w:tcPr>
            <w:tcW w:w="6780" w:type="dxa"/>
            <w:vAlign w:val="bottom"/>
            <w:tcBorders>
              <w:bottom w:val="single" w:sz="8" w:color="auto"/>
            </w:tcBorders>
            <w:shd w:val="clear" w:color="auto" w:fill="DCDDDE"/>
          </w:tcPr>
          <w:p>
            <w:pPr>
              <w:ind w:left="100"/>
              <w:spacing w:after="0" w:line="166" w:lineRule="exact"/>
              <w:rPr>
                <w:sz w:val="20"/>
                <w:szCs w:val="20"/>
                <w:color w:val="auto"/>
              </w:rPr>
            </w:pPr>
            <w:r>
              <w:rPr>
                <w:rFonts w:ascii="Arial" w:cs="Arial" w:eastAsia="Arial" w:hAnsi="Arial"/>
                <w:sz w:val="15"/>
                <w:szCs w:val="15"/>
                <w:color w:val="auto"/>
              </w:rPr>
              <w:t>covenants.</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33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Base salaries for our NEOs and other executive officers are generally reviewed annually by the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Bonus</w:t>
      </w:r>
    </w:p>
    <w:p>
      <w:pPr>
        <w:spacing w:after="0" w:line="31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annual bonuses are paid under our STIP, which is a broad-based program that we use to incentivize and reward management at all levels to obtain superior operating, strategic and individual results during a particular year. Prior to the start of fiscal year 2018, the Board approved a fiscal year 2018 budget that, consistent with prior years, contained challenging targets to drive growth. The Committee then established 2018 bonus targets that were directly linked to achievement of the budget’s goals as well as specific qualitative objectives. A participant’s ability to realize a bonus at target is directly linked to the company’s achievement of results at budget.</w:t>
      </w:r>
    </w:p>
    <w:p>
      <w:pPr>
        <w:spacing w:after="0" w:line="4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NEOs participate in the Senior Executive STIP, a plan that contains a separate performance goal and, for fiscal year 2018, was designed to comply with the provisions on performance-based compensation of Section 162(m) of the Internal Revenue Code (“Section 162(m)”) that were in effect for fiscal year 2018. This performance goal was achieved in fiscal year 2018, since our operating income for STIP purposes of $2.571 billion exceeded the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Committee and increased at its discretion if individual performance and competitive considerations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target set for the Senior Executive STIP of $1.555 billion. The Senior Executive STIP provides for a maximum allowable bonus amount of eight times base salary or $50,000,000, whichever is lower, if the performance target is achieved and certified by the Committee. The Committee then applies its negative discretion to set actual bonuses, based on an award structure and performance goals that are the same as the STIP. In no event may the actual bonus that we pay an NEO exceed the maximum allowable amount. Based on the achievement of the performance goals set by the Committee, as well as individual performance, cash bonus amounts can range from 0% to 200% of an individual’s target annual bonus amount.</w:t>
      </w:r>
    </w:p>
    <w:p>
      <w:pPr>
        <w:spacing w:after="0" w:line="4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Tax Cuts and Jobs Act eliminated our ability to deduct compensation paid to a participant that exceeds the $1,000,000 limit under Section 162(m). Accordingly, in November 2018, the Senior Executive STIP was amended to remove the procedural requirements mandated by Section 162(m). The Senior Executive STIP continues to contain provisions establishing a maximum allowable</w:t>
      </w:r>
    </w:p>
    <w:p>
      <w:pPr>
        <w:spacing w:after="0" w:line="73" w:lineRule="exact"/>
        <w:rPr>
          <w:sz w:val="20"/>
          <w:szCs w:val="20"/>
          <w:color w:val="auto"/>
        </w:rPr>
      </w:pPr>
    </w:p>
    <w:tbl>
      <w:tblPr>
        <w:tblLayout w:type="fixed"/>
        <w:tblInd w:w="980" w:type="dxa"/>
        <w:tblCellMar>
          <w:top w:w="0" w:type="dxa"/>
          <w:left w:w="0" w:type="dxa"/>
          <w:bottom w:w="0" w:type="dxa"/>
          <w:right w:w="0" w:type="dxa"/>
        </w:tblCellMar>
      </w:tblPr>
      <w:tr>
        <w:trPr>
          <w:trHeight w:val="419"/>
        </w:trPr>
        <w:tc>
          <w:tcPr>
            <w:tcW w:w="130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1CB6EA"/>
              </w:rPr>
              <w:t>VIACOM INC.</w:t>
            </w:r>
          </w:p>
        </w:tc>
        <w:tc>
          <w:tcPr>
            <w:tcW w:w="320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73025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818005"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18005" cy="15430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bonus for each participant.</w:t>
      </w:r>
    </w:p>
    <w:p>
      <w:pPr>
        <w:spacing w:after="0" w:line="6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design of our STIP and Senior Executive STIP programs are reviewed and approved by the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3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Long-Term Management Incentive Plan (“LTMIP”) is a broad-reaching program that motivates management to focus on long-term growth and the performance of our stock price, while supporting long-term retention through multi-year vesting schedules for equity awards. Equity awards link the value the executive receives to the value of our company as measured by our stock price and company performance and ensures that our executives’ interests are aligned with those of our stockholders. In fiscal year 2018, approximately 1,450 employees participated in the LTMIP.</w:t>
      </w:r>
    </w:p>
    <w:p>
      <w:pPr>
        <w:spacing w:after="0" w:line="5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approves all equity awards to NEOs, including those granted to our Chief Executive Officer. The Committee determines, either by employment agreement or at the time of grant, the appropriate type, combination and value of each equity award. The target values for our NEO equity awards are specified in their employment agreements.</w:t>
      </w:r>
    </w:p>
    <w:p>
      <w:pPr>
        <w:spacing w:after="0" w:line="5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believes it is appropriate for our NEOs to receive annual equity awards that are comprised of a mix of stock options, PSUs and Restricted Share Units (“RSUs”). In determining the appropriate mix of the awards to each NEO, the Committee considers a number of factors, including:</w:t>
      </w:r>
    </w:p>
    <w:p>
      <w:pPr>
        <w:spacing w:after="0" w:line="69" w:lineRule="exact"/>
        <w:rPr>
          <w:sz w:val="20"/>
          <w:szCs w:val="20"/>
          <w:color w:val="auto"/>
        </w:rPr>
      </w:pPr>
    </w:p>
    <w:p>
      <w:pPr>
        <w:ind w:left="220" w:hanging="212"/>
        <w:spacing w:after="0" w:line="232" w:lineRule="auto"/>
        <w:tabs>
          <w:tab w:leader="none" w:pos="220" w:val="left"/>
        </w:tabs>
        <w:numPr>
          <w:ilvl w:val="0"/>
          <w:numId w:val="58"/>
        </w:numPr>
        <w:rPr>
          <w:rFonts w:ascii="Arial" w:cs="Arial" w:eastAsia="Arial" w:hAnsi="Arial"/>
          <w:sz w:val="17"/>
          <w:szCs w:val="17"/>
          <w:color w:val="1CB6EA"/>
        </w:rPr>
      </w:pPr>
      <w:r>
        <w:rPr>
          <w:rFonts w:ascii="Arial" w:cs="Arial" w:eastAsia="Arial" w:hAnsi="Arial"/>
          <w:sz w:val="17"/>
          <w:szCs w:val="17"/>
          <w:color w:val="auto"/>
        </w:rPr>
        <w:t>The potential dilutive effect to stockholders of RSUs versus stock options.</w:t>
      </w:r>
    </w:p>
    <w:p>
      <w:pPr>
        <w:ind w:left="220" w:right="20" w:hanging="212"/>
        <w:spacing w:after="0" w:line="232" w:lineRule="auto"/>
        <w:tabs>
          <w:tab w:leader="none" w:pos="220" w:val="left"/>
        </w:tabs>
        <w:numPr>
          <w:ilvl w:val="0"/>
          <w:numId w:val="58"/>
        </w:numPr>
        <w:rPr>
          <w:rFonts w:ascii="Arial" w:cs="Arial" w:eastAsia="Arial" w:hAnsi="Arial"/>
          <w:sz w:val="17"/>
          <w:szCs w:val="17"/>
          <w:color w:val="1CB6EA"/>
        </w:rPr>
      </w:pPr>
      <w:r>
        <w:rPr>
          <w:rFonts w:ascii="Arial" w:cs="Arial" w:eastAsia="Arial" w:hAnsi="Arial"/>
          <w:sz w:val="17"/>
          <w:szCs w:val="17"/>
          <w:color w:val="auto"/>
        </w:rPr>
        <w:t>The accounting expense associated with stock options, RSUs and PSUs.</w:t>
      </w:r>
    </w:p>
    <w:p>
      <w:pPr>
        <w:jc w:val="both"/>
        <w:ind w:left="220" w:hanging="212"/>
        <w:spacing w:after="0" w:line="232" w:lineRule="auto"/>
        <w:tabs>
          <w:tab w:leader="none" w:pos="220" w:val="left"/>
        </w:tabs>
        <w:numPr>
          <w:ilvl w:val="0"/>
          <w:numId w:val="58"/>
        </w:numPr>
        <w:rPr>
          <w:rFonts w:ascii="Arial" w:cs="Arial" w:eastAsia="Arial" w:hAnsi="Arial"/>
          <w:sz w:val="17"/>
          <w:szCs w:val="17"/>
          <w:color w:val="1CB6EA"/>
        </w:rPr>
      </w:pPr>
      <w:r>
        <w:rPr>
          <w:rFonts w:ascii="Arial" w:cs="Arial" w:eastAsia="Arial" w:hAnsi="Arial"/>
          <w:sz w:val="17"/>
          <w:szCs w:val="17"/>
          <w:color w:val="auto"/>
        </w:rPr>
        <w:t>The stock price performance because stock options provide no value to the NEO if the future stock price does not appreciate above the stock price at grant.</w:t>
      </w:r>
    </w:p>
    <w:p>
      <w:pPr>
        <w:jc w:val="both"/>
        <w:ind w:left="220" w:hanging="212"/>
        <w:spacing w:after="0" w:line="232" w:lineRule="auto"/>
        <w:tabs>
          <w:tab w:leader="none" w:pos="220" w:val="left"/>
        </w:tabs>
        <w:numPr>
          <w:ilvl w:val="0"/>
          <w:numId w:val="58"/>
        </w:numPr>
        <w:rPr>
          <w:rFonts w:ascii="Arial" w:cs="Arial" w:eastAsia="Arial" w:hAnsi="Arial"/>
          <w:sz w:val="17"/>
          <w:szCs w:val="17"/>
          <w:color w:val="1CB6EA"/>
        </w:rPr>
      </w:pPr>
      <w:r>
        <w:rPr>
          <w:rFonts w:ascii="Arial" w:cs="Arial" w:eastAsia="Arial" w:hAnsi="Arial"/>
          <w:sz w:val="17"/>
          <w:szCs w:val="17"/>
          <w:color w:val="auto"/>
        </w:rPr>
        <w:t>The degree to which the executive has corporate oversight and responsibilities since PSUs, which are earned based on the performance of our stock relative to a broad market index at the end of a three-year period, are an effective tool to align executives with long-term objectives and shareholder value.</w:t>
      </w:r>
    </w:p>
    <w:p>
      <w:pPr>
        <w:jc w:val="both"/>
        <w:ind w:left="220" w:hanging="212"/>
        <w:spacing w:after="0" w:line="236" w:lineRule="auto"/>
        <w:tabs>
          <w:tab w:leader="none" w:pos="220" w:val="left"/>
        </w:tabs>
        <w:numPr>
          <w:ilvl w:val="0"/>
          <w:numId w:val="58"/>
        </w:numPr>
        <w:rPr>
          <w:rFonts w:ascii="Arial" w:cs="Arial" w:eastAsia="Arial" w:hAnsi="Arial"/>
          <w:sz w:val="17"/>
          <w:szCs w:val="17"/>
          <w:color w:val="1CB6EA"/>
        </w:rPr>
      </w:pPr>
      <w:r>
        <w:rPr>
          <w:rFonts w:ascii="Arial" w:cs="Arial" w:eastAsia="Arial" w:hAnsi="Arial"/>
          <w:sz w:val="17"/>
          <w:szCs w:val="17"/>
          <w:color w:val="auto"/>
        </w:rPr>
        <w:t>Retentive value, especially in down markets, since RSUs vest based on continued service and always have value equal to our stock price. Therefore, RSUs provide greater retentive value than stock options or PSUs in down markets.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38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Committee each year. In fiscal year 2018, approximately 5,020 of our 10,400 employees participated in the STIP and Senior Executive STIP.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November 2017, as part of the Committee’s review of the company’s executive compensation program and a continuing shift towards performance-based and equity-linked compensation packages for the company’s leadership, the Committee determined to award PSUs to a broader group of executives than simply Mr. Bakish, and approved a portion of the fiscal year 2018 LTMIP awards in the form of PSUs to Messrs. Bakish, Davis and Mills and Mses. D’Alimonte and Lea and other members of Mr. Bakish’s senior leadership team.</w:t>
      </w:r>
    </w:p>
    <w:p>
      <w:pPr>
        <w:spacing w:after="0" w:line="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 Mr. Bakish, the Committee believes that a mix of 50% stock options and 50% PSUs for his annual LTMIP awards appropriately balances the goals of providing performance incentives, retention value and stockholder alignment with the cost of the awards to us. In determining that Mr. Bakish should receive only stock options and PSUs for his mix of annual LTMIP awards, the Committee considered his greater responsibility for long-term business strategy, his relative ability to impact stockholder value and the company’s historical mix of equity awards for the CEO role.</w:t>
      </w:r>
    </w:p>
    <w:p>
      <w:pPr>
        <w:spacing w:after="0" w:line="4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For each of Messrs. Davis and Mills and Mses. D’Alimonte and Lea, the Committee believes that a mix of 30% stock options, 35% PSUs and 35% RSUs is the appropriate balance for their annual equity awards. The Committee believes this mix of equity incentives supports its emphasis on performance-based pay, while also providing retentive value.</w:t>
      </w:r>
    </w:p>
    <w:p>
      <w:pPr>
        <w:spacing w:after="0" w:line="6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additional information regarding various components of our compensation program, see the section titled “Additional Detail Regarding Compensation Program Design.”</w:t>
      </w:r>
    </w:p>
    <w:p>
      <w:pPr>
        <w:spacing w:after="0" w:line="5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As the Committee is focused on ensuring that a large portion of our NEOs’ compensation packages is performance-based, the Committee generally does not consider past wealth accumulation in connection with its compensation decisions. The Committee believes that executives and employees should not be penalized in future years for strong performance in prior years; that all employees, regardless of individual financial situation, should have a compensation package that is competitive for their respective positions; and that the company’s ability to retain employees is diminished if pay is not at competitive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548640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94"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Robust Clawback Policy</w:t>
      </w:r>
    </w:p>
    <w:p>
      <w:pPr>
        <w:sectPr>
          <w:pgSz w:w="11900" w:h="16838" w:orient="portrait"/>
          <w:cols w:equalWidth="0" w:num="1">
            <w:col w:w="11440"/>
          </w:cols>
          <w:pgMar w:left="240" w:top="125" w:right="219" w:bottom="1440" w:gutter="0" w:footer="0" w:header="0"/>
        </w:sectPr>
      </w:pPr>
    </w:p>
    <w:p>
      <w:pPr>
        <w:spacing w:after="0" w:line="24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Since 2006, the Committee has had a policy under which it can require, at any time, any of our employees or former employees to return all or a portion of the bonus and/or equity compensation the employee receives. This can occur if any of the performance goals or quantitative factors considered in determining the amount of the award are restated in a manner that would have affected the amount if known prior to the grant or, with respect to bonus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Prohibition Against Pledges and Hedges of Viacom Stock</w:t>
      </w:r>
    </w:p>
    <w:p>
      <w:pPr>
        <w:spacing w:after="0" w:line="32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executive officers are prohibited from hedging or pledging any Viacom securities that they hold directly. In addition, all of our employees are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amounts, if such restatement alters the Committee’s assessment of the employee’s or former employee’s individual performance in a manner that warrants reduction. The Committee may also require employees to return certain compensation as a result of their material breach of certain restrictive covenants under various agreements. Our incentive plans expressly reserve these powers to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prohibited from engaging in short sales of our stock and may not hedge or pledge equity compensation.</w:t>
      </w:r>
    </w:p>
    <w:p>
      <w:pPr>
        <w:spacing w:after="0" w:line="38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Single Trigger Change-in-Control Provisions or Excise Tax Gross-Ups</w:t>
      </w:r>
    </w:p>
    <w:p>
      <w:pPr>
        <w:sectPr>
          <w:pgSz w:w="11900" w:h="16838" w:orient="portrait"/>
          <w:cols w:equalWidth="0" w:num="1">
            <w:col w:w="11440"/>
          </w:cols>
          <w:pgMar w:left="240" w:top="125" w:right="219" w:bottom="1440" w:gutter="0" w:footer="0" w:header="0"/>
          <w:type w:val="continuous"/>
        </w:sectPr>
      </w:pPr>
    </w:p>
    <w:p>
      <w:pPr>
        <w:spacing w:after="0" w:line="25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As further discussed in the section “Payments Upon Termination or Change-In-Control,” we do not have any plans or arrangements that provide for payments or accelerated vesting of incentives solely in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Safeguards Regarding the Timing of Equity Grants</w:t>
      </w:r>
    </w:p>
    <w:p>
      <w:pPr>
        <w:spacing w:after="0" w:line="32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protect against issues associated with timing of equity awards by granting them on an annual basis at regular Committee meetings generally scheduled more than a year in advance. The sizes of the annual equity grants, and stock option exercise prices, are determined based on the closing price of our Class B common stock on the date of grant. From 2006 through fiscal year 2017, the Committee made our annual equity grants to senior executives and other employees at the meeting of the Committee that took place in May or June of each year, other than PSU grants, which were historically made on January 1 pursuant to the terms of the applicable executive’s employment agreement.</w:t>
      </w:r>
    </w:p>
    <w:p>
      <w:pPr>
        <w:spacing w:after="0" w:line="7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November 2017, the Committee determined to approve future annual LTMIP awards at the meeting of the Committee that takes place in November of each year in order to align all grants with the start of the new fiscal year. In November 2017, the Committee approved the annual PSU awards for</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Prohibition Against Repricing of Stock Options</w:t>
      </w:r>
    </w:p>
    <w:p>
      <w:pPr>
        <w:spacing w:after="0" w:line="323" w:lineRule="exact"/>
        <w:rPr>
          <w:sz w:val="20"/>
          <w:szCs w:val="20"/>
          <w:color w:val="auto"/>
        </w:rPr>
      </w:pPr>
    </w:p>
    <w:p>
      <w:pPr>
        <w:ind w:right="1500"/>
        <w:spacing w:after="0" w:line="243" w:lineRule="auto"/>
        <w:rPr>
          <w:sz w:val="20"/>
          <w:szCs w:val="20"/>
          <w:color w:val="auto"/>
        </w:rPr>
      </w:pPr>
      <w:r>
        <w:rPr>
          <w:rFonts w:ascii="Arial" w:cs="Arial" w:eastAsia="Arial" w:hAnsi="Arial"/>
          <w:sz w:val="17"/>
          <w:szCs w:val="17"/>
          <w:color w:val="auto"/>
        </w:rPr>
        <w:t>The repricing of stock options is prohibited under our LTMIP.</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Executive Stock Ownership</w:t>
      </w:r>
    </w:p>
    <w:p>
      <w:pPr>
        <w:spacing w:after="0" w:line="32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Each member of our executive team has significant Viacom equity holdings, with multi-year vesting schedules, and is, therefore, appropriately incentivized to manage the business in line with</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connection with a change in control of Viacom. We also do not provide excise tax gross-ups to any of our executives in the event of a change in control or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fiscal year 2018, and determined that, for the 2018 transition year, the remaining LTMIP grants for fiscal year 2018 would be made on January 31, 2018 (the same date as the annual RSU grants to our directors). Beginning with fiscal year 2019, the Committee will approve our annual equity awards at the meeting of the Committee that takes place in November of each year, with the grants to be made on November 30</w:t>
      </w:r>
      <w:r>
        <w:rPr>
          <w:rFonts w:ascii="Arial" w:cs="Arial" w:eastAsia="Arial" w:hAnsi="Arial"/>
          <w:sz w:val="14"/>
          <w:szCs w:val="14"/>
          <w:color w:val="auto"/>
        </w:rPr>
        <w:t>th</w:t>
      </w:r>
      <w:r>
        <w:rPr>
          <w:rFonts w:ascii="Arial" w:cs="Arial" w:eastAsia="Arial" w:hAnsi="Arial"/>
          <w:sz w:val="17"/>
          <w:szCs w:val="17"/>
          <w:color w:val="auto"/>
        </w:rPr>
        <w:t>.</w:t>
      </w:r>
    </w:p>
    <w:p>
      <w:pPr>
        <w:spacing w:after="0" w:line="67"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For certain newly hired executives, and rarely upon entering into new or amended employment agreements with existing executives, the Committee may award off-cycle equity grants. In the case of stock options and RSUs, these grants are generally made 10 days after the later of Committee approval, the execution of the employment agreement by both parties or commencement of employment and have an exercise price or value, as applicable, based on the closing price of our Class B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stockholders’ interests. As such, we do not feel that specified executive stock ownership requirements are necessary.</w:t>
      </w:r>
    </w:p>
    <w:p>
      <w:pPr>
        <w:spacing w:after="0" w:line="38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39</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81800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18005" cy="15430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Stockholders’ Views</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Committee considers our stockholders’ views about our compensation program to be important when determining executive compensation. At our 2017 Annual Meeting of Stockholders, we held a stockholder advisory vote on the compensation of our NEOs, as disclosed in our 2017 proxy statement. 96% of our stockholders approved the compensation of the NEOs. The Committee has considered the results of the vote and concluded that our executive compensation program provides a competitive 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for-performance package that effectively incentivizes our NEOs and encourages long-term retention.</w:t>
      </w:r>
    </w:p>
    <w:p>
      <w:pPr>
        <w:spacing w:after="0" w:line="5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At our 2017 Annual Meeting of Stockholders, our stockholders also approved a frequency of every three years to conduct the advisory vote on executive compensation, as permitted under SEC rules, and we will hold the next such advisory vote at the 2020 Annual Meeting. We will hold the next advisory vote on the frequency of the executive compensation advisory vote at the 2023 Annual Meeting.</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1CB6EA"/>
        </w:rPr>
        <w:t>Fiscal Year 2018 Named Executive Officer Compensation and our Pay-for-Performance Approach</w:t>
      </w:r>
    </w:p>
    <w:p>
      <w:pPr>
        <w:sectPr>
          <w:pgSz w:w="11900" w:h="16838" w:orient="portrait"/>
          <w:cols w:equalWidth="0" w:num="1">
            <w:col w:w="11440"/>
          </w:cols>
          <w:pgMar w:left="240" w:top="125" w:right="219" w:bottom="1440" w:gutter="0" w:footer="0" w:header="0"/>
          <w:type w:val="continuous"/>
        </w:sectPr>
      </w:pPr>
    </w:p>
    <w:p>
      <w:pPr>
        <w:spacing w:after="0" w:line="160" w:lineRule="exact"/>
        <w:rPr>
          <w:sz w:val="20"/>
          <w:szCs w:val="20"/>
          <w:color w:val="auto"/>
        </w:rPr>
      </w:pPr>
    </w:p>
    <w:p>
      <w:pPr>
        <w:ind w:right="600"/>
        <w:spacing w:after="0" w:line="444" w:lineRule="auto"/>
        <w:rPr>
          <w:sz w:val="20"/>
          <w:szCs w:val="20"/>
          <w:color w:val="auto"/>
        </w:rPr>
      </w:pPr>
      <w:r>
        <w:rPr>
          <w:rFonts w:ascii="Arial" w:cs="Arial" w:eastAsia="Arial" w:hAnsi="Arial"/>
          <w:sz w:val="18"/>
          <w:szCs w:val="18"/>
          <w:b w:val="1"/>
          <w:bCs w:val="1"/>
          <w:i w:val="1"/>
          <w:iCs w:val="1"/>
          <w:color w:val="auto"/>
        </w:rPr>
        <w:t xml:space="preserve">Fiscal Year 2018 Named Executive Officer Compensation </w:t>
      </w:r>
      <w:r>
        <w:rPr>
          <w:rFonts w:ascii="Arial" w:cs="Arial" w:eastAsia="Arial" w:hAnsi="Arial"/>
          <w:sz w:val="18"/>
          <w:szCs w:val="18"/>
          <w:i w:val="1"/>
          <w:iCs w:val="1"/>
          <w:color w:val="auto"/>
        </w:rPr>
        <w:t>Base Salary and Target Annual Cash Bonus</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fiscal year 2018, Mr. Bakish’s annual base salary remained $3,000,000 and his target annual bonus remained $7,000,000.</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fiscal year 2018, Mr. Davis’ and Mr. Mills’ annual base salaries remained $1,750,000 and their target annual bonuses remained $2,500,000.</w:t>
      </w: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Effective January 1, 2018, Ms. D’Alimonte’s base salary was increased to $1,060,000 from $1,000,000 and her target annual bonus remained 100% of base salary.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Determination of Fiscal Year 2018 Bonus Awards</w:t>
      </w:r>
    </w:p>
    <w:p>
      <w:pPr>
        <w:spacing w:after="0" w:line="200" w:lineRule="exact"/>
        <w:rPr>
          <w:sz w:val="20"/>
          <w:szCs w:val="20"/>
          <w:color w:val="auto"/>
        </w:rPr>
      </w:pP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approves individual bonus amounts for the executives within its oversight, which includes all of the NEOs. Each NEO’s fiscal year 2018 bonus award reflects (1) a business performance multiplier that is based on achievement of company financial and qualitative performance goals and (2) an individual performance multiplier that is based on the Committee’s assessment of the executive’s performance.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Business Performance</w:t>
      </w:r>
    </w:p>
    <w:p>
      <w:pPr>
        <w:spacing w:after="0" w:line="120"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business performance goals for our NEOs for fiscal year 2018 related to achievement of operating income (weighted 50%), free cash flow (weighted 20%) and qualitative objectives (weighted 30%).</w:t>
      </w:r>
    </w:p>
    <w:p>
      <w:pPr>
        <w:spacing w:after="0" w:line="67" w:lineRule="exact"/>
        <w:rPr>
          <w:sz w:val="20"/>
          <w:szCs w:val="20"/>
          <w:color w:val="auto"/>
        </w:rPr>
      </w:pPr>
    </w:p>
    <w:p>
      <w:pPr>
        <w:jc w:val="both"/>
        <w:ind w:left="300" w:hanging="197"/>
        <w:spacing w:after="0" w:line="234" w:lineRule="auto"/>
        <w:tabs>
          <w:tab w:leader="none" w:pos="300" w:val="left"/>
        </w:tabs>
        <w:numPr>
          <w:ilvl w:val="0"/>
          <w:numId w:val="59"/>
        </w:numPr>
        <w:rPr>
          <w:rFonts w:ascii="Arial" w:cs="Arial" w:eastAsia="Arial" w:hAnsi="Arial"/>
          <w:sz w:val="17"/>
          <w:szCs w:val="17"/>
          <w:color w:val="1CB6EA"/>
        </w:rPr>
      </w:pPr>
      <w:r>
        <w:rPr>
          <w:rFonts w:ascii="Arial" w:cs="Arial" w:eastAsia="Arial" w:hAnsi="Arial"/>
          <w:sz w:val="17"/>
          <w:szCs w:val="17"/>
          <w:color w:val="auto"/>
        </w:rPr>
        <w:t>Operating income and free cash flow performance goals were used because they encourage executives to achieve superior operating results while appropriately managing costs. When setting the range of performance goals for operating income and free cash flow before the start of the fiscal year, the Committee considered our financial results from the prior year and our annual operating budget for the coming year, as approved by the Board. The budget reflected desired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Effective January 1, 2018, Ms. Lea’s annual base salary was increased to $911,550 from $885,000 and her target annual bonus remained 80% of her base salary.</w:t>
      </w:r>
    </w:p>
    <w:p>
      <w:pPr>
        <w:spacing w:after="0" w:line="53"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base salaries and target bonuses for these executives reflected the Compensation Committee’s evaluation of the respective NEO’s role and performance, competitive market data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300" w:right="40"/>
        <w:spacing w:after="0" w:line="238" w:lineRule="auto"/>
        <w:rPr>
          <w:sz w:val="20"/>
          <w:szCs w:val="20"/>
          <w:color w:val="auto"/>
        </w:rPr>
      </w:pPr>
      <w:r>
        <w:rPr>
          <w:rFonts w:ascii="Arial" w:cs="Arial" w:eastAsia="Arial" w:hAnsi="Arial"/>
          <w:sz w:val="17"/>
          <w:szCs w:val="17"/>
          <w:color w:val="auto"/>
        </w:rPr>
        <w:t>growth rates, strategic initiatives, the economic environment and other business fundamentals, on an individualized basis for corporate and each division.</w:t>
      </w:r>
    </w:p>
    <w:p>
      <w:pPr>
        <w:spacing w:after="0" w:line="53" w:lineRule="exact"/>
        <w:rPr>
          <w:sz w:val="20"/>
          <w:szCs w:val="20"/>
          <w:color w:val="auto"/>
        </w:rPr>
      </w:pPr>
    </w:p>
    <w:p>
      <w:pPr>
        <w:jc w:val="both"/>
        <w:ind w:left="620" w:right="40" w:hanging="202"/>
        <w:spacing w:after="0" w:line="226" w:lineRule="auto"/>
        <w:rPr>
          <w:sz w:val="20"/>
          <w:szCs w:val="20"/>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We believe our budgeting process is rigorous and results in</w:t>
      </w:r>
      <w:r>
        <w:rPr>
          <w:rFonts w:ascii="Courier New" w:cs="Courier New" w:eastAsia="Courier New" w:hAnsi="Courier New"/>
          <w:sz w:val="17"/>
          <w:szCs w:val="17"/>
          <w:color w:val="auto"/>
        </w:rPr>
        <w:t xml:space="preserve"> </w:t>
      </w:r>
      <w:r>
        <w:rPr>
          <w:rFonts w:ascii="Arial" w:cs="Arial" w:eastAsia="Arial" w:hAnsi="Arial"/>
          <w:sz w:val="17"/>
          <w:szCs w:val="17"/>
          <w:color w:val="auto"/>
        </w:rPr>
        <w:t>goals that are meaningful and challenging, the achievement of which is designed to drive stockholder value.</w:t>
      </w:r>
    </w:p>
    <w:p>
      <w:pPr>
        <w:spacing w:after="0" w:line="54" w:lineRule="exact"/>
        <w:rPr>
          <w:sz w:val="20"/>
          <w:szCs w:val="20"/>
          <w:color w:val="auto"/>
        </w:rPr>
      </w:pPr>
    </w:p>
    <w:p>
      <w:pPr>
        <w:jc w:val="both"/>
        <w:ind w:left="620" w:right="20" w:hanging="199"/>
        <w:spacing w:after="0" w:line="232" w:lineRule="auto"/>
        <w:tabs>
          <w:tab w:leader="none" w:pos="620" w:val="left"/>
        </w:tabs>
        <w:numPr>
          <w:ilvl w:val="0"/>
          <w:numId w:val="60"/>
        </w:numPr>
        <w:rPr>
          <w:rFonts w:ascii="Courier New" w:cs="Courier New" w:eastAsia="Courier New" w:hAnsi="Courier New"/>
          <w:sz w:val="17"/>
          <w:szCs w:val="17"/>
          <w:color w:val="auto"/>
        </w:rPr>
      </w:pPr>
      <w:r>
        <w:rPr>
          <w:rFonts w:ascii="Arial" w:cs="Arial" w:eastAsia="Arial" w:hAnsi="Arial"/>
          <w:sz w:val="17"/>
          <w:szCs w:val="17"/>
          <w:color w:val="auto"/>
        </w:rPr>
        <w:t>The Committee used this information to set operating income and free cash flow performance grids for corporate and each of the divisions.</w:t>
      </w:r>
    </w:p>
    <w:p>
      <w:pPr>
        <w:spacing w:after="0" w:line="53" w:lineRule="exact"/>
        <w:rPr>
          <w:rFonts w:ascii="Courier New" w:cs="Courier New" w:eastAsia="Courier New" w:hAnsi="Courier New"/>
          <w:sz w:val="17"/>
          <w:szCs w:val="17"/>
          <w:color w:val="auto"/>
        </w:rPr>
      </w:pPr>
    </w:p>
    <w:p>
      <w:pPr>
        <w:jc w:val="both"/>
        <w:ind w:left="620" w:right="20" w:hanging="199"/>
        <w:spacing w:after="0" w:line="232" w:lineRule="auto"/>
        <w:tabs>
          <w:tab w:leader="none" w:pos="620" w:val="left"/>
        </w:tabs>
        <w:numPr>
          <w:ilvl w:val="0"/>
          <w:numId w:val="60"/>
        </w:numPr>
        <w:rPr>
          <w:rFonts w:ascii="Courier New" w:cs="Courier New" w:eastAsia="Courier New" w:hAnsi="Courier New"/>
          <w:sz w:val="17"/>
          <w:szCs w:val="17"/>
          <w:color w:val="auto"/>
        </w:rPr>
      </w:pPr>
      <w:r>
        <w:rPr>
          <w:rFonts w:ascii="Arial" w:cs="Arial" w:eastAsia="Arial" w:hAnsi="Arial"/>
          <w:sz w:val="17"/>
          <w:szCs w:val="17"/>
          <w:color w:val="auto"/>
        </w:rPr>
        <w:t>The payout range on the grids was 25% to 200% of the target annual bonus amount, with performance at budget resulting in a payout factor of 100% (before the respective weightings are applied). The Committee set the required performance necessary to achieve a payout factor on each grid from 25% to 200% in a manner that is designed to, within reasonable limits, encourage achievement that exceeds target goals and penalize underachievement.</w:t>
      </w:r>
    </w:p>
    <w:p>
      <w:pPr>
        <w:spacing w:after="0" w:line="482"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40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ind w:left="300" w:hanging="197"/>
        <w:spacing w:after="0" w:line="234" w:lineRule="auto"/>
        <w:tabs>
          <w:tab w:leader="none" w:pos="300" w:val="left"/>
        </w:tabs>
        <w:numPr>
          <w:ilvl w:val="0"/>
          <w:numId w:val="61"/>
        </w:numPr>
        <w:rPr>
          <w:rFonts w:ascii="Arial" w:cs="Arial" w:eastAsia="Arial" w:hAnsi="Arial"/>
          <w:sz w:val="17"/>
          <w:szCs w:val="17"/>
          <w:color w:val="1CB6EA"/>
        </w:rPr>
      </w:pPr>
      <w:r>
        <w:rPr>
          <w:rFonts w:ascii="Arial" w:cs="Arial" w:eastAsia="Arial" w:hAnsi="Arial"/>
          <w:sz w:val="17"/>
          <w:szCs w:val="17"/>
          <w:color w:val="auto"/>
        </w:rPr>
        <w:t>The qualitative objectives for our NEOs in fiscal year 2018 were also set before the start of the fiscal year: (i) achievement of fiscal year 2018 restructuring initiative goals; (ii) implementation of Viacom’s strategic plan, including a Media Networks revitalization and corresponding ratings improvement, successful launch of Viacom Digital Studios and support of Paramount’s turnaround; and (iii) achievement of diversity and inclusion goals.</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When determining the final bonus amounts, the Committee reviewed actual fiscal year financial performance compared to the financial goals set by the Committee prior to the commencement of the year, as well as Mr. Bakish’s and senior management’s assessment of the achievement of the qualitative objectives.</w:t>
      </w:r>
    </w:p>
    <w:p>
      <w:pPr>
        <w:spacing w:after="0" w:line="5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Under the STIP and Senior Executive STIP, the Committee may consider other financial or qualitative objectives significant to the year, such as the extent to which the performance targets were met in ways that related to the fundamentals of the business and furthered our long-term interests, as well as the appropriateness of excluding unusual expenses or impacts on financial results that it believes have the effect of distorting the performance goals.</w:t>
      </w:r>
    </w:p>
    <w:p>
      <w:pPr>
        <w:spacing w:after="0" w:line="70" w:lineRule="exact"/>
        <w:rPr>
          <w:sz w:val="20"/>
          <w:szCs w:val="20"/>
          <w:color w:val="auto"/>
        </w:rPr>
      </w:pPr>
    </w:p>
    <w:p>
      <w:pPr>
        <w:ind w:left="300" w:right="20" w:hanging="197"/>
        <w:spacing w:after="0" w:line="243" w:lineRule="auto"/>
        <w:tabs>
          <w:tab w:leader="none" w:pos="300" w:val="left"/>
        </w:tabs>
        <w:numPr>
          <w:ilvl w:val="0"/>
          <w:numId w:val="62"/>
        </w:numPr>
        <w:rPr>
          <w:rFonts w:ascii="Arial" w:cs="Arial" w:eastAsia="Arial" w:hAnsi="Arial"/>
          <w:sz w:val="17"/>
          <w:szCs w:val="17"/>
          <w:color w:val="1CB6EA"/>
        </w:rPr>
      </w:pPr>
      <w:r>
        <w:rPr>
          <w:rFonts w:ascii="Arial" w:cs="Arial" w:eastAsia="Arial" w:hAnsi="Arial"/>
          <w:sz w:val="17"/>
          <w:szCs w:val="17"/>
          <w:color w:val="auto"/>
        </w:rPr>
        <w:t>For fiscal year 2018, the Committee increased our operating income for STIP purposes applicable to our NEOs to $3.055 billion (from</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70" w:lineRule="exact"/>
        <w:rPr>
          <w:sz w:val="20"/>
          <w:szCs w:val="20"/>
          <w:color w:val="auto"/>
        </w:rPr>
      </w:pPr>
    </w:p>
    <w:p>
      <w:pPr>
        <w:jc w:val="both"/>
        <w:ind w:left="300"/>
        <w:spacing w:after="0" w:line="234" w:lineRule="auto"/>
        <w:rPr>
          <w:sz w:val="20"/>
          <w:szCs w:val="20"/>
          <w:color w:val="auto"/>
        </w:rPr>
      </w:pPr>
      <w:r>
        <w:rPr>
          <w:rFonts w:ascii="Arial" w:cs="Arial" w:eastAsia="Arial" w:hAnsi="Arial"/>
          <w:sz w:val="17"/>
          <w:szCs w:val="17"/>
          <w:color w:val="auto"/>
        </w:rPr>
        <w:t>our adjusted operating income as reported in our financial statements of $2.795 billion) and decreased our free cash flow for STIP purposes applicable to our NEOs to $1.597 billion (from our reported free cash flow of $1.644 billion). The adjustments principally reflected the exclusion of restructuring and related costs, including severance charges, exit costs principally resulting from vacating certain leased properties and related costs principally comprised of third-party professional services, as well as the elimination of certain benefits realized from the rate reduction under the Tax Cuts and Jobs Act.</w:t>
      </w:r>
    </w:p>
    <w:p>
      <w:pPr>
        <w:spacing w:after="0" w:line="5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following table sets forth the business performance goals that applied to our NEOs other than Mr. Mills in fiscal year 2018, with the bottom of the performance range equal to a payout factor of 25% of target and the top of the range equal to a payout factor of 200% of target. Based on Viacom’s financial performance for the year, the Committee determined that the business performance multiplier applicable to participants in the Senior Executive STIP for fiscal year 2018 other than Mr. Mills was 119.6%, as shown in the table. The business performance multiplier applicable to Mr. Mills for fiscal year 2018 was 128.6%, which was the business performance multiplier for BET.</w:t>
      </w:r>
    </w:p>
    <w:p>
      <w:pPr>
        <w:spacing w:after="0" w:line="358" w:lineRule="exact"/>
        <w:rPr>
          <w:sz w:val="20"/>
          <w:szCs w:val="20"/>
          <w:color w:val="auto"/>
        </w:rPr>
      </w:pPr>
    </w:p>
    <w:p>
      <w:pPr>
        <w:sectPr>
          <w:pgSz w:w="11900" w:h="16838" w:orient="portrait"/>
          <w:cols w:equalWidth="0" w:num="2">
            <w:col w:w="5480" w:space="460"/>
            <w:col w:w="5480"/>
          </w:cols>
          <w:pgMar w:left="240" w:top="125" w:right="239" w:bottom="144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jc w:val="center"/>
              <w:ind w:right="208"/>
              <w:spacing w:after="0"/>
              <w:rPr>
                <w:sz w:val="20"/>
                <w:szCs w:val="20"/>
                <w:color w:val="auto"/>
              </w:rPr>
            </w:pPr>
            <w:r>
              <w:rPr>
                <w:rFonts w:ascii="Arial" w:cs="Arial" w:eastAsia="Arial" w:hAnsi="Arial"/>
                <w:sz w:val="14"/>
                <w:szCs w:val="14"/>
                <w:b w:val="1"/>
                <w:bCs w:val="1"/>
                <w:color w:val="auto"/>
              </w:rPr>
              <w:t>Performance</w:t>
            </w:r>
          </w:p>
        </w:tc>
        <w:tc>
          <w:tcPr>
            <w:tcW w:w="11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Performance</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Fiscal 2018</w:t>
            </w:r>
          </w:p>
        </w:tc>
        <w:tc>
          <w:tcPr>
            <w:tcW w:w="340" w:type="dxa"/>
            <w:vAlign w:val="bottom"/>
          </w:tcPr>
          <w:p>
            <w:pPr>
              <w:spacing w:after="0"/>
              <w:rPr>
                <w:sz w:val="14"/>
                <w:szCs w:val="14"/>
                <w:color w:val="auto"/>
              </w:rPr>
            </w:pPr>
          </w:p>
        </w:tc>
        <w:tc>
          <w:tcPr>
            <w:tcW w:w="1240" w:type="dxa"/>
            <w:vAlign w:val="bottom"/>
          </w:tcPr>
          <w:p>
            <w:pPr>
              <w:jc w:val="center"/>
              <w:ind w:right="28"/>
              <w:spacing w:after="0"/>
              <w:rPr>
                <w:sz w:val="20"/>
                <w:szCs w:val="20"/>
                <w:color w:val="auto"/>
              </w:rPr>
            </w:pPr>
            <w:r>
              <w:rPr>
                <w:rFonts w:ascii="Arial" w:cs="Arial" w:eastAsia="Arial" w:hAnsi="Arial"/>
                <w:sz w:val="14"/>
                <w:szCs w:val="14"/>
                <w:b w:val="1"/>
                <w:bCs w:val="1"/>
                <w:color w:val="auto"/>
              </w:rPr>
              <w:t>Resulting</w:t>
            </w:r>
          </w:p>
        </w:tc>
        <w:tc>
          <w:tcPr>
            <w:tcW w:w="1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jc w:val="center"/>
              <w:ind w:right="208"/>
              <w:spacing w:after="0"/>
              <w:rPr>
                <w:sz w:val="20"/>
                <w:szCs w:val="20"/>
                <w:color w:val="auto"/>
              </w:rPr>
            </w:pPr>
            <w:r>
              <w:rPr>
                <w:rFonts w:ascii="Arial" w:cs="Arial" w:eastAsia="Arial" w:hAnsi="Arial"/>
                <w:sz w:val="14"/>
                <w:szCs w:val="14"/>
                <w:b w:val="1"/>
                <w:bCs w:val="1"/>
                <w:color w:val="auto"/>
              </w:rPr>
              <w:t>Range</w:t>
            </w:r>
          </w:p>
        </w:tc>
        <w:tc>
          <w:tcPr>
            <w:tcW w:w="320" w:type="dxa"/>
            <w:vAlign w:val="bottom"/>
          </w:tcPr>
          <w:p>
            <w:pPr>
              <w:spacing w:after="0"/>
              <w:rPr>
                <w:sz w:val="14"/>
                <w:szCs w:val="14"/>
                <w:color w:val="auto"/>
              </w:rPr>
            </w:pPr>
          </w:p>
        </w:tc>
        <w:tc>
          <w:tcPr>
            <w:tcW w:w="820" w:type="dxa"/>
            <w:vAlign w:val="bottom"/>
          </w:tcPr>
          <w:p>
            <w:pPr>
              <w:jc w:val="center"/>
              <w:ind w:right="328"/>
              <w:spacing w:after="0"/>
              <w:rPr>
                <w:sz w:val="20"/>
                <w:szCs w:val="20"/>
                <w:color w:val="auto"/>
              </w:rPr>
            </w:pPr>
            <w:r>
              <w:rPr>
                <w:rFonts w:ascii="Arial" w:cs="Arial" w:eastAsia="Arial" w:hAnsi="Arial"/>
                <w:sz w:val="14"/>
                <w:szCs w:val="14"/>
                <w:b w:val="1"/>
                <w:bCs w:val="1"/>
                <w:color w:val="auto"/>
                <w:w w:val="98"/>
              </w:rPr>
              <w:t>Target</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Performance</w:t>
            </w:r>
          </w:p>
        </w:tc>
        <w:tc>
          <w:tcPr>
            <w:tcW w:w="340" w:type="dxa"/>
            <w:vAlign w:val="bottom"/>
          </w:tcPr>
          <w:p>
            <w:pPr>
              <w:spacing w:after="0"/>
              <w:rPr>
                <w:sz w:val="14"/>
                <w:szCs w:val="14"/>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b w:val="1"/>
                <w:bCs w:val="1"/>
                <w:color w:val="auto"/>
              </w:rPr>
              <w:t>Performance</w:t>
            </w:r>
          </w:p>
        </w:tc>
        <w:tc>
          <w:tcPr>
            <w:tcW w:w="1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175"/>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Goals</w:t>
            </w:r>
          </w:p>
        </w:tc>
        <w:tc>
          <w:tcPr>
            <w:tcW w:w="8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Factor</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Weighting</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r>
      <w:tr>
        <w:trPr>
          <w:trHeight w:val="169"/>
        </w:trPr>
        <w:tc>
          <w:tcPr>
            <w:tcW w:w="30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Operating income for STIP Purposes</w:t>
            </w:r>
          </w:p>
        </w:tc>
        <w:tc>
          <w:tcPr>
            <w:tcW w:w="880" w:type="dxa"/>
            <w:vAlign w:val="bottom"/>
            <w:tcBorders>
              <w:bottom w:val="single" w:sz="8" w:color="auto"/>
            </w:tcBorders>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2,177-3,732</w:t>
            </w:r>
          </w:p>
        </w:tc>
        <w:tc>
          <w:tcPr>
            <w:tcW w:w="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8D8D8"/>
          </w:tcPr>
          <w:p>
            <w:pPr>
              <w:jc w:val="right"/>
              <w:ind w:right="68"/>
              <w:spacing w:after="0"/>
              <w:rPr>
                <w:sz w:val="20"/>
                <w:szCs w:val="20"/>
                <w:color w:val="auto"/>
              </w:rPr>
            </w:pPr>
            <w:r>
              <w:rPr>
                <w:rFonts w:ascii="Arial" w:cs="Arial" w:eastAsia="Arial" w:hAnsi="Arial"/>
                <w:sz w:val="14"/>
                <w:szCs w:val="14"/>
                <w:color w:val="auto"/>
              </w:rPr>
              <w:t>3,110</w:t>
            </w:r>
          </w:p>
        </w:tc>
        <w:tc>
          <w:tcPr>
            <w:tcW w:w="520" w:type="dxa"/>
            <w:vAlign w:val="bottom"/>
            <w:tcBorders>
              <w:bottom w:val="single" w:sz="8" w:color="auto"/>
            </w:tcBorders>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3,055</w:t>
            </w:r>
          </w:p>
        </w:tc>
        <w:tc>
          <w:tcPr>
            <w:tcW w:w="340" w:type="dxa"/>
            <w:vAlign w:val="bottom"/>
            <w:tcBorders>
              <w:bottom w:val="single" w:sz="8" w:color="auto"/>
            </w:tcBorders>
            <w:shd w:val="clear" w:color="auto" w:fill="D8D8D8"/>
          </w:tcPr>
          <w:p>
            <w:pPr>
              <w:spacing w:after="0"/>
              <w:rPr>
                <w:sz w:val="14"/>
                <w:szCs w:val="14"/>
                <w:color w:val="auto"/>
              </w:rPr>
            </w:pPr>
          </w:p>
        </w:tc>
        <w:tc>
          <w:tcPr>
            <w:tcW w:w="1240" w:type="dxa"/>
            <w:vAlign w:val="bottom"/>
            <w:tcBorders>
              <w:bottom w:val="single" w:sz="8" w:color="auto"/>
            </w:tcBorders>
            <w:shd w:val="clear" w:color="auto" w:fill="D8D8D8"/>
          </w:tcPr>
          <w:p>
            <w:pPr>
              <w:jc w:val="right"/>
              <w:ind w:right="88"/>
              <w:spacing w:after="0"/>
              <w:rPr>
                <w:sz w:val="20"/>
                <w:szCs w:val="20"/>
                <w:color w:val="auto"/>
              </w:rPr>
            </w:pPr>
            <w:r>
              <w:rPr>
                <w:rFonts w:ascii="Arial" w:cs="Arial" w:eastAsia="Arial" w:hAnsi="Arial"/>
                <w:sz w:val="14"/>
                <w:szCs w:val="14"/>
                <w:color w:val="auto"/>
              </w:rPr>
              <w:t>96%</w:t>
            </w:r>
          </w:p>
        </w:tc>
        <w:tc>
          <w:tcPr>
            <w:tcW w:w="1160" w:type="dxa"/>
            <w:vAlign w:val="bottom"/>
            <w:tcBorders>
              <w:bottom w:val="single" w:sz="8" w:color="auto"/>
            </w:tcBorders>
            <w:shd w:val="clear" w:color="auto" w:fill="D8D8D8"/>
          </w:tcPr>
          <w:p>
            <w:pPr>
              <w:jc w:val="right"/>
              <w:ind w:right="48"/>
              <w:spacing w:after="0"/>
              <w:rPr>
                <w:sz w:val="20"/>
                <w:szCs w:val="20"/>
                <w:color w:val="auto"/>
              </w:rPr>
            </w:pPr>
            <w:r>
              <w:rPr>
                <w:rFonts w:ascii="Arial" w:cs="Arial" w:eastAsia="Arial" w:hAnsi="Arial"/>
                <w:sz w:val="14"/>
                <w:szCs w:val="14"/>
                <w:color w:val="auto"/>
              </w:rPr>
              <w:t>50%</w:t>
            </w: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47.8%</w:t>
            </w:r>
          </w:p>
        </w:tc>
      </w:tr>
      <w:tr>
        <w:trPr>
          <w:trHeight w:val="169"/>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Free cash flow for STIP Purposes</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624-1,747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1,248</w:t>
            </w: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170%</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r>
      <w:tr>
        <w:trPr>
          <w:trHeight w:val="169"/>
        </w:trPr>
        <w:tc>
          <w:tcPr>
            <w:tcW w:w="30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Qualitative objectives</w:t>
            </w:r>
          </w:p>
        </w:tc>
        <w:tc>
          <w:tcPr>
            <w:tcW w:w="880" w:type="dxa"/>
            <w:vAlign w:val="bottom"/>
            <w:tcBorders>
              <w:bottom w:val="single" w:sz="8" w:color="auto"/>
            </w:tcBorders>
            <w:shd w:val="clear" w:color="auto" w:fill="D8D8D8"/>
          </w:tcPr>
          <w:p>
            <w:pPr>
              <w:spacing w:after="0"/>
              <w:rPr>
                <w:sz w:val="14"/>
                <w:szCs w:val="14"/>
                <w:color w:val="auto"/>
              </w:rPr>
            </w:pPr>
          </w:p>
        </w:tc>
        <w:tc>
          <w:tcPr>
            <w:tcW w:w="136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N/A</w:t>
            </w:r>
          </w:p>
        </w:tc>
        <w:tc>
          <w:tcPr>
            <w:tcW w:w="320" w:type="dxa"/>
            <w:vAlign w:val="bottom"/>
            <w:tcBorders>
              <w:bottom w:val="single" w:sz="8" w:color="auto"/>
            </w:tcBorders>
            <w:shd w:val="clear" w:color="auto" w:fill="D8D8D8"/>
          </w:tcPr>
          <w:p>
            <w:pPr>
              <w:spacing w:after="0"/>
              <w:rPr>
                <w:sz w:val="14"/>
                <w:szCs w:val="14"/>
                <w:color w:val="auto"/>
              </w:rPr>
            </w:pPr>
          </w:p>
        </w:tc>
        <w:tc>
          <w:tcPr>
            <w:tcW w:w="820" w:type="dxa"/>
            <w:vAlign w:val="bottom"/>
            <w:tcBorders>
              <w:bottom w:val="single" w:sz="8" w:color="auto"/>
            </w:tcBorders>
            <w:shd w:val="clear" w:color="auto" w:fill="D8D8D8"/>
          </w:tcPr>
          <w:p>
            <w:pPr>
              <w:jc w:val="right"/>
              <w:ind w:right="68"/>
              <w:spacing w:after="0"/>
              <w:rPr>
                <w:sz w:val="20"/>
                <w:szCs w:val="20"/>
                <w:color w:val="auto"/>
              </w:rPr>
            </w:pPr>
            <w:r>
              <w:rPr>
                <w:rFonts w:ascii="Arial" w:cs="Arial" w:eastAsia="Arial" w:hAnsi="Arial"/>
                <w:sz w:val="14"/>
                <w:szCs w:val="14"/>
                <w:color w:val="auto"/>
              </w:rPr>
              <w:t>N/A</w:t>
            </w:r>
          </w:p>
        </w:tc>
        <w:tc>
          <w:tcPr>
            <w:tcW w:w="520" w:type="dxa"/>
            <w:vAlign w:val="bottom"/>
            <w:tcBorders>
              <w:bottom w:val="single" w:sz="8" w:color="auto"/>
            </w:tcBorders>
            <w:shd w:val="clear" w:color="auto" w:fill="D8D8D8"/>
          </w:tcPr>
          <w:p>
            <w:pPr>
              <w:spacing w:after="0"/>
              <w:rPr>
                <w:sz w:val="14"/>
                <w:szCs w:val="14"/>
                <w:color w:val="auto"/>
              </w:rPr>
            </w:pPr>
          </w:p>
        </w:tc>
        <w:tc>
          <w:tcPr>
            <w:tcW w:w="6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N/A</w:t>
            </w:r>
          </w:p>
        </w:tc>
        <w:tc>
          <w:tcPr>
            <w:tcW w:w="340" w:type="dxa"/>
            <w:vAlign w:val="bottom"/>
            <w:tcBorders>
              <w:bottom w:val="single" w:sz="8" w:color="auto"/>
            </w:tcBorders>
            <w:shd w:val="clear" w:color="auto" w:fill="D8D8D8"/>
          </w:tcPr>
          <w:p>
            <w:pPr>
              <w:spacing w:after="0"/>
              <w:rPr>
                <w:sz w:val="14"/>
                <w:szCs w:val="14"/>
                <w:color w:val="auto"/>
              </w:rPr>
            </w:pPr>
          </w:p>
        </w:tc>
        <w:tc>
          <w:tcPr>
            <w:tcW w:w="1240" w:type="dxa"/>
            <w:vAlign w:val="bottom"/>
            <w:tcBorders>
              <w:bottom w:val="single" w:sz="8" w:color="auto"/>
            </w:tcBorders>
            <w:shd w:val="clear" w:color="auto" w:fill="D8D8D8"/>
          </w:tcPr>
          <w:p>
            <w:pPr>
              <w:jc w:val="right"/>
              <w:ind w:right="88"/>
              <w:spacing w:after="0"/>
              <w:rPr>
                <w:sz w:val="20"/>
                <w:szCs w:val="20"/>
                <w:color w:val="auto"/>
              </w:rPr>
            </w:pPr>
            <w:r>
              <w:rPr>
                <w:rFonts w:ascii="Arial" w:cs="Arial" w:eastAsia="Arial" w:hAnsi="Arial"/>
                <w:sz w:val="14"/>
                <w:szCs w:val="14"/>
                <w:color w:val="auto"/>
              </w:rPr>
              <w:t>125%</w:t>
            </w:r>
          </w:p>
        </w:tc>
        <w:tc>
          <w:tcPr>
            <w:tcW w:w="1160" w:type="dxa"/>
            <w:vAlign w:val="bottom"/>
            <w:tcBorders>
              <w:bottom w:val="single" w:sz="8" w:color="auto"/>
            </w:tcBorders>
            <w:shd w:val="clear" w:color="auto" w:fill="D8D8D8"/>
          </w:tcPr>
          <w:p>
            <w:pPr>
              <w:jc w:val="right"/>
              <w:ind w:right="48"/>
              <w:spacing w:after="0"/>
              <w:rPr>
                <w:sz w:val="20"/>
                <w:szCs w:val="20"/>
                <w:color w:val="auto"/>
              </w:rPr>
            </w:pPr>
            <w:r>
              <w:rPr>
                <w:rFonts w:ascii="Arial" w:cs="Arial" w:eastAsia="Arial" w:hAnsi="Arial"/>
                <w:sz w:val="14"/>
                <w:szCs w:val="14"/>
                <w:color w:val="auto"/>
              </w:rPr>
              <w:t>30%</w:t>
            </w: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37.5%</w:t>
            </w:r>
          </w:p>
        </w:tc>
      </w:tr>
      <w:tr>
        <w:trPr>
          <w:trHeight w:val="169"/>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Business performance multiplier</w:t>
            </w:r>
          </w:p>
        </w:tc>
        <w:tc>
          <w:tcPr>
            <w:tcW w:w="8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119.6%</w:t>
            </w:r>
          </w:p>
        </w:tc>
      </w:tr>
    </w:tbl>
    <w:p>
      <w:pPr>
        <w:spacing w:after="0" w:line="107"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10"/>
          <w:szCs w:val="10"/>
          <w:i w:val="1"/>
          <w:iCs w:val="1"/>
          <w:color w:val="auto"/>
        </w:rPr>
      </w:pPr>
      <w:r>
        <w:rPr>
          <w:rFonts w:ascii="Arial" w:cs="Arial" w:eastAsia="Arial" w:hAnsi="Arial"/>
          <w:sz w:val="14"/>
          <w:szCs w:val="14"/>
          <w:i w:val="1"/>
          <w:iCs w:val="1"/>
          <w:color w:val="auto"/>
        </w:rPr>
        <w:t>We define free cash flow, which is a non-GAAP measure, as net cash provided by operating activities minus capital expenditures, as applicable.</w:t>
      </w:r>
    </w:p>
    <w:p>
      <w:pPr>
        <w:sectPr>
          <w:pgSz w:w="11900" w:h="16838" w:orient="portrait"/>
          <w:cols w:equalWidth="0" w:num="1">
            <w:col w:w="11420"/>
          </w:cols>
          <w:pgMar w:left="240" w:top="125" w:right="2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Individual Performance</w:t>
      </w:r>
    </w:p>
    <w:p>
      <w:pPr>
        <w:spacing w:after="0" w:line="39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Once the bonus pools were established, individual bonus amounts were increased above or decreased below target based on individual performance. Mr. Bakish made specific bonus recommendations for each of the executives within the Committee’s oversight, including the NEOs, other than himself. The Committee established certain bonus amounts for each of the executives listed below based on the business performance multiplier and their individual accomplishments.</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addition to the accomplishments and other considerations discussed earlier in this section:</w:t>
      </w:r>
    </w:p>
    <w:p>
      <w:pPr>
        <w:spacing w:after="0" w:line="63" w:lineRule="exact"/>
        <w:rPr>
          <w:sz w:val="20"/>
          <w:szCs w:val="20"/>
          <w:color w:val="auto"/>
        </w:rPr>
      </w:pPr>
    </w:p>
    <w:p>
      <w:pPr>
        <w:ind w:left="140" w:hanging="132"/>
        <w:spacing w:after="0" w:line="243" w:lineRule="auto"/>
        <w:tabs>
          <w:tab w:leader="none" w:pos="140" w:val="left"/>
        </w:tabs>
        <w:numPr>
          <w:ilvl w:val="0"/>
          <w:numId w:val="64"/>
        </w:numPr>
        <w:rPr>
          <w:rFonts w:ascii="Arial" w:cs="Arial" w:eastAsia="Arial" w:hAnsi="Arial"/>
          <w:sz w:val="17"/>
          <w:szCs w:val="17"/>
          <w:color w:val="1CB6EA"/>
        </w:rPr>
      </w:pPr>
      <w:r>
        <w:rPr>
          <w:rFonts w:ascii="Arial" w:cs="Arial" w:eastAsia="Arial" w:hAnsi="Arial"/>
          <w:sz w:val="17"/>
          <w:szCs w:val="17"/>
          <w:color w:val="auto"/>
        </w:rPr>
        <w:t>Mr. Bakish continued to provide strategic leadership and management for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a uniquely challenging time of uncertainty and transition. He and his senior executive team:</w:t>
      </w:r>
    </w:p>
    <w:p>
      <w:pPr>
        <w:spacing w:after="0" w:line="50" w:lineRule="exact"/>
        <w:rPr>
          <w:sz w:val="20"/>
          <w:szCs w:val="20"/>
          <w:color w:val="auto"/>
        </w:rPr>
      </w:pPr>
    </w:p>
    <w:p>
      <w:pPr>
        <w:jc w:val="both"/>
        <w:ind w:left="220" w:right="20" w:hanging="209"/>
        <w:spacing w:after="0" w:line="236" w:lineRule="auto"/>
        <w:tabs>
          <w:tab w:leader="none" w:pos="2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executed a turnaround of the core business, including revitalization of the media networks business, ratings improvement and aggregate share growth across flagship networks and resurgence at Paramount with notable improvement in operating income;</w:t>
      </w:r>
    </w:p>
    <w:p>
      <w:pPr>
        <w:spacing w:after="0" w:line="54" w:lineRule="exact"/>
        <w:rPr>
          <w:rFonts w:ascii="Arial" w:cs="Arial" w:eastAsia="Arial" w:hAnsi="Arial"/>
          <w:sz w:val="17"/>
          <w:szCs w:val="17"/>
          <w:color w:val="auto"/>
        </w:rPr>
      </w:pPr>
    </w:p>
    <w:p>
      <w:pPr>
        <w:jc w:val="both"/>
        <w:ind w:left="220" w:right="20" w:hanging="209"/>
        <w:spacing w:after="0" w:line="238" w:lineRule="auto"/>
        <w:tabs>
          <w:tab w:leader="none" w:pos="2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delivered on key operational goals such as mobilizing a new senior management team with continued changes across the company, including at senior levels and at key brands;</w:t>
      </w:r>
    </w:p>
    <w:p>
      <w:pPr>
        <w:spacing w:after="0" w:line="200" w:lineRule="exact"/>
        <w:rPr>
          <w:sz w:val="20"/>
          <w:szCs w:val="20"/>
          <w:color w:val="auto"/>
        </w:rPr>
      </w:pPr>
    </w:p>
    <w:p>
      <w:pPr>
        <w:spacing w:after="0" w:line="350" w:lineRule="exact"/>
        <w:rPr>
          <w:sz w:val="20"/>
          <w:szCs w:val="20"/>
          <w:color w:val="auto"/>
        </w:rPr>
      </w:pPr>
    </w:p>
    <w:tbl>
      <w:tblPr>
        <w:tblLayout w:type="fixed"/>
        <w:tblInd w:w="840" w:type="dxa"/>
        <w:tblCellMar>
          <w:top w:w="0" w:type="dxa"/>
          <w:left w:w="0" w:type="dxa"/>
          <w:bottom w:w="0" w:type="dxa"/>
          <w:right w:w="0" w:type="dxa"/>
        </w:tblCellMar>
      </w:tblPr>
      <w:tr>
        <w:trPr>
          <w:trHeight w:val="23"/>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1CB6EA"/>
              </w:rPr>
              <w:t>VIACOM INC.</w:t>
            </w:r>
          </w:p>
        </w:tc>
        <w:tc>
          <w:tcPr>
            <w:tcW w:w="20" w:type="dxa"/>
            <w:vAlign w:val="bottom"/>
          </w:tcPr>
          <w:p>
            <w:pPr>
              <w:spacing w:after="0" w:line="20" w:lineRule="exact"/>
              <w:rPr>
                <w:sz w:val="1"/>
                <w:szCs w:val="1"/>
                <w:color w:val="auto"/>
              </w:rPr>
            </w:pPr>
          </w:p>
        </w:tc>
        <w:tc>
          <w:tcPr>
            <w:tcW w:w="3200" w:type="dxa"/>
            <w:vAlign w:val="bottom"/>
            <w:vMerge w:val="restart"/>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41</w:t>
            </w:r>
          </w:p>
        </w:tc>
        <w:tc>
          <w:tcPr>
            <w:tcW w:w="0" w:type="dxa"/>
            <w:vAlign w:val="bottom"/>
          </w:tcPr>
          <w:p>
            <w:pPr>
              <w:spacing w:after="0" w:line="20" w:lineRule="exact"/>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20" w:type="dxa"/>
            <w:vAlign w:val="bottom"/>
            <w:shd w:val="clear" w:color="auto" w:fill="00BBE6"/>
          </w:tcPr>
          <w:p>
            <w:pPr>
              <w:spacing w:after="0"/>
              <w:rPr>
                <w:sz w:val="17"/>
                <w:szCs w:val="17"/>
                <w:color w:val="auto"/>
              </w:rPr>
            </w:pP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2">
            <w:col w:w="5480" w:space="600"/>
            <w:col w:w="534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70" w:lineRule="exact"/>
        <w:rPr>
          <w:sz w:val="20"/>
          <w:szCs w:val="20"/>
          <w:color w:val="auto"/>
        </w:rPr>
      </w:pPr>
    </w:p>
    <w:p>
      <w:pPr>
        <w:jc w:val="both"/>
        <w:ind w:left="360" w:hanging="203"/>
        <w:spacing w:after="0" w:line="238"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delivered a turnaround in affiliate sales with the achievement of favorable affiliation renewals in addition to new distribution partnerships;</w:t>
      </w:r>
    </w:p>
    <w:p>
      <w:pPr>
        <w:spacing w:after="0" w:line="53" w:lineRule="exact"/>
        <w:rPr>
          <w:rFonts w:ascii="Arial" w:cs="Arial" w:eastAsia="Arial" w:hAnsi="Arial"/>
          <w:sz w:val="17"/>
          <w:szCs w:val="17"/>
          <w:color w:val="auto"/>
        </w:rPr>
      </w:pPr>
    </w:p>
    <w:p>
      <w:pPr>
        <w:ind w:left="360" w:right="20" w:hanging="203"/>
        <w:spacing w:after="0" w:line="243"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continued to execute the company’s multiplatform strategy by launching new products and services;</w:t>
      </w:r>
    </w:p>
    <w:p>
      <w:pPr>
        <w:spacing w:after="0" w:line="49" w:lineRule="exact"/>
        <w:rPr>
          <w:rFonts w:ascii="Arial" w:cs="Arial" w:eastAsia="Arial" w:hAnsi="Arial"/>
          <w:sz w:val="17"/>
          <w:szCs w:val="17"/>
          <w:color w:val="auto"/>
        </w:rPr>
      </w:pPr>
    </w:p>
    <w:p>
      <w:pPr>
        <w:jc w:val="both"/>
        <w:ind w:left="360" w:hanging="203"/>
        <w:spacing w:after="0" w:line="238"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drove the company to a leadership position in the development of new audience measurement and monetization tools and in developing a rapidly growing line of business at AMS;</w:t>
      </w:r>
    </w:p>
    <w:p>
      <w:pPr>
        <w:spacing w:after="0" w:line="53" w:lineRule="exact"/>
        <w:rPr>
          <w:rFonts w:ascii="Arial" w:cs="Arial" w:eastAsia="Arial" w:hAnsi="Arial"/>
          <w:sz w:val="17"/>
          <w:szCs w:val="17"/>
          <w:color w:val="auto"/>
        </w:rPr>
      </w:pPr>
    </w:p>
    <w:p>
      <w:pPr>
        <w:ind w:left="360" w:hanging="203"/>
        <w:spacing w:after="0" w:line="243"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continued to expand our international operations while delivering a record year in revenue and profitability;</w:t>
      </w:r>
    </w:p>
    <w:p>
      <w:pPr>
        <w:spacing w:after="0" w:line="49" w:lineRule="exact"/>
        <w:rPr>
          <w:rFonts w:ascii="Arial" w:cs="Arial" w:eastAsia="Arial" w:hAnsi="Arial"/>
          <w:sz w:val="17"/>
          <w:szCs w:val="17"/>
          <w:color w:val="auto"/>
        </w:rPr>
      </w:pPr>
    </w:p>
    <w:p>
      <w:pPr>
        <w:jc w:val="both"/>
        <w:ind w:left="360" w:right="20" w:hanging="203"/>
        <w:spacing w:after="0" w:line="238"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invested in far-ranging new business initiatives such as cross-company studio production and consumer products initiatives, scaling the number and size of the company’s live events;</w:t>
      </w:r>
    </w:p>
    <w:p>
      <w:pPr>
        <w:spacing w:after="0" w:line="53" w:lineRule="exact"/>
        <w:rPr>
          <w:rFonts w:ascii="Arial" w:cs="Arial" w:eastAsia="Arial" w:hAnsi="Arial"/>
          <w:sz w:val="17"/>
          <w:szCs w:val="17"/>
          <w:color w:val="auto"/>
        </w:rPr>
      </w:pPr>
    </w:p>
    <w:p>
      <w:pPr>
        <w:jc w:val="both"/>
        <w:ind w:left="360" w:hanging="203"/>
        <w:spacing w:after="0" w:line="238"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launched Viacom Digital Studios, a new business unit enhancing the company’s digital profile, which has notably improved the digital consumption of our flagship brands;</w:t>
      </w:r>
    </w:p>
    <w:p>
      <w:pPr>
        <w:spacing w:after="0" w:line="53" w:lineRule="exact"/>
        <w:rPr>
          <w:rFonts w:ascii="Arial" w:cs="Arial" w:eastAsia="Arial" w:hAnsi="Arial"/>
          <w:sz w:val="17"/>
          <w:szCs w:val="17"/>
          <w:color w:val="auto"/>
        </w:rPr>
      </w:pPr>
    </w:p>
    <w:p>
      <w:pPr>
        <w:ind w:left="360" w:hanging="203"/>
        <w:spacing w:after="0" w:line="243"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implemented a cost transformation initiative resulting in over $100 million in savings in fiscal year 2018; and</w:t>
      </w:r>
    </w:p>
    <w:p>
      <w:pPr>
        <w:spacing w:after="0" w:line="49" w:lineRule="exact"/>
        <w:rPr>
          <w:rFonts w:ascii="Arial" w:cs="Arial" w:eastAsia="Arial" w:hAnsi="Arial"/>
          <w:sz w:val="17"/>
          <w:szCs w:val="17"/>
          <w:color w:val="auto"/>
        </w:rPr>
      </w:pPr>
    </w:p>
    <w:p>
      <w:pPr>
        <w:ind w:left="360" w:right="20" w:hanging="203"/>
        <w:spacing w:after="0" w:line="243"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continued to execute a company-wide leadership development initiative and foster a diverse and inclusive corporate culture.</w:t>
      </w:r>
    </w:p>
    <w:p>
      <w:pPr>
        <w:spacing w:after="0" w:line="49" w:lineRule="exact"/>
        <w:rPr>
          <w:rFonts w:ascii="Arial" w:cs="Arial" w:eastAsia="Arial" w:hAnsi="Arial"/>
          <w:sz w:val="17"/>
          <w:szCs w:val="17"/>
          <w:color w:val="auto"/>
        </w:rPr>
      </w:pPr>
    </w:p>
    <w:p>
      <w:pPr>
        <w:jc w:val="both"/>
        <w:ind w:left="200" w:hanging="138"/>
        <w:spacing w:after="0" w:line="238" w:lineRule="auto"/>
        <w:tabs>
          <w:tab w:leader="none" w:pos="200" w:val="left"/>
        </w:tabs>
        <w:numPr>
          <w:ilvl w:val="0"/>
          <w:numId w:val="66"/>
        </w:numPr>
        <w:rPr>
          <w:rFonts w:ascii="Arial" w:cs="Arial" w:eastAsia="Arial" w:hAnsi="Arial"/>
          <w:sz w:val="17"/>
          <w:szCs w:val="17"/>
          <w:color w:val="1CB6EA"/>
        </w:rPr>
      </w:pPr>
      <w:r>
        <w:rPr>
          <w:rFonts w:ascii="Arial" w:cs="Arial" w:eastAsia="Arial" w:hAnsi="Arial"/>
          <w:sz w:val="17"/>
          <w:szCs w:val="17"/>
          <w:color w:val="auto"/>
        </w:rPr>
        <w:t>Mr. Davis participated in and advised the senior management team, led and continues to lead the company through a critical transition, and:</w:t>
      </w:r>
    </w:p>
    <w:p>
      <w:pPr>
        <w:spacing w:after="0" w:line="53" w:lineRule="exact"/>
        <w:rPr>
          <w:rFonts w:ascii="Arial" w:cs="Arial" w:eastAsia="Arial" w:hAnsi="Arial"/>
          <w:sz w:val="17"/>
          <w:szCs w:val="17"/>
          <w:color w:val="1CB6EA"/>
        </w:rPr>
      </w:pPr>
    </w:p>
    <w:p>
      <w:pPr>
        <w:ind w:left="360" w:right="20" w:hanging="203"/>
        <w:spacing w:after="0" w:line="243"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provided leadership of the company’s finance, corporate development, data, investor relations and technology functions;</w:t>
      </w:r>
    </w:p>
    <w:p>
      <w:pPr>
        <w:spacing w:after="0" w:line="49" w:lineRule="exact"/>
        <w:rPr>
          <w:rFonts w:ascii="Arial" w:cs="Arial" w:eastAsia="Arial" w:hAnsi="Arial"/>
          <w:sz w:val="17"/>
          <w:szCs w:val="17"/>
          <w:color w:val="auto"/>
        </w:rPr>
      </w:pPr>
    </w:p>
    <w:p>
      <w:pPr>
        <w:ind w:left="360" w:right="20" w:hanging="203"/>
        <w:spacing w:after="0" w:line="243"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continued to strengthen and streamline our finance organization and processes;</w:t>
      </w:r>
    </w:p>
    <w:p>
      <w:pPr>
        <w:spacing w:after="0" w:line="49" w:lineRule="exact"/>
        <w:rPr>
          <w:rFonts w:ascii="Arial" w:cs="Arial" w:eastAsia="Arial" w:hAnsi="Arial"/>
          <w:sz w:val="17"/>
          <w:szCs w:val="17"/>
          <w:color w:val="auto"/>
        </w:rPr>
      </w:pPr>
    </w:p>
    <w:p>
      <w:pPr>
        <w:jc w:val="both"/>
        <w:ind w:left="360" w:hanging="203"/>
        <w:spacing w:after="0" w:line="235"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played a key part in developing and executing the company’s cost transformation initiatives, including execution against 300 initiatives focused on headcount, sourcing, travel and entertainment, resulting in more than $100 million in savings in fiscal year 2018 and approximately $300 million of run-rate savings expected in 2019 and beyond;</w:t>
      </w:r>
    </w:p>
    <w:p>
      <w:pPr>
        <w:spacing w:after="0" w:line="53" w:lineRule="exact"/>
        <w:rPr>
          <w:rFonts w:ascii="Arial" w:cs="Arial" w:eastAsia="Arial" w:hAnsi="Arial"/>
          <w:sz w:val="17"/>
          <w:szCs w:val="17"/>
          <w:color w:val="auto"/>
        </w:rPr>
      </w:pPr>
    </w:p>
    <w:p>
      <w:pPr>
        <w:ind w:left="360" w:hanging="203"/>
        <w:spacing w:after="0"/>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oversaw a variety of potential and completed transactions;</w:t>
      </w:r>
    </w:p>
    <w:p>
      <w:pPr>
        <w:spacing w:after="0" w:line="74" w:lineRule="exact"/>
        <w:rPr>
          <w:rFonts w:ascii="Arial" w:cs="Arial" w:eastAsia="Arial" w:hAnsi="Arial"/>
          <w:sz w:val="17"/>
          <w:szCs w:val="17"/>
          <w:color w:val="auto"/>
        </w:rPr>
      </w:pPr>
    </w:p>
    <w:p>
      <w:pPr>
        <w:ind w:left="360" w:right="20" w:hanging="203"/>
        <w:spacing w:after="0" w:line="243"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managed the company’s data strategy in developing new systems and tools for audience measurement and engagement</w:t>
      </w:r>
    </w:p>
    <w:p>
      <w:pPr>
        <w:spacing w:after="0" w:line="49" w:lineRule="exact"/>
        <w:rPr>
          <w:rFonts w:ascii="Arial" w:cs="Arial" w:eastAsia="Arial" w:hAnsi="Arial"/>
          <w:sz w:val="17"/>
          <w:szCs w:val="17"/>
          <w:color w:val="auto"/>
        </w:rPr>
      </w:pPr>
    </w:p>
    <w:p>
      <w:pPr>
        <w:ind w:left="360" w:right="20" w:hanging="203"/>
        <w:spacing w:after="0" w:line="243" w:lineRule="auto"/>
        <w:tabs>
          <w:tab w:leader="none" w:pos="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managed various initiatives to significantly decrease the company’s leverage;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42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4" w:right="20" w:hanging="209"/>
        <w:spacing w:after="0" w:line="243"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led the financial team in overseeing financial performance and capital structure; and</w:t>
      </w:r>
    </w:p>
    <w:p>
      <w:pPr>
        <w:spacing w:after="0" w:line="49" w:lineRule="exact"/>
        <w:rPr>
          <w:rFonts w:ascii="Arial" w:cs="Arial" w:eastAsia="Arial" w:hAnsi="Arial"/>
          <w:sz w:val="17"/>
          <w:szCs w:val="17"/>
          <w:color w:val="auto"/>
        </w:rPr>
      </w:pPr>
    </w:p>
    <w:p>
      <w:pPr>
        <w:ind w:left="304" w:right="20" w:hanging="209"/>
        <w:spacing w:after="0" w:line="243"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contributed to the company’s successful renewals and commercial relationships with distribution partners.</w:t>
      </w:r>
    </w:p>
    <w:p>
      <w:pPr>
        <w:spacing w:after="0" w:line="49" w:lineRule="exact"/>
        <w:rPr>
          <w:rFonts w:ascii="Arial" w:cs="Arial" w:eastAsia="Arial" w:hAnsi="Arial"/>
          <w:sz w:val="17"/>
          <w:szCs w:val="17"/>
          <w:color w:val="auto"/>
        </w:rPr>
      </w:pPr>
    </w:p>
    <w:p>
      <w:pPr>
        <w:jc w:val="both"/>
        <w:ind w:left="144" w:right="20" w:hanging="144"/>
        <w:spacing w:after="0" w:line="238" w:lineRule="auto"/>
        <w:tabs>
          <w:tab w:leader="none" w:pos="144" w:val="left"/>
        </w:tabs>
        <w:numPr>
          <w:ilvl w:val="0"/>
          <w:numId w:val="67"/>
        </w:numPr>
        <w:rPr>
          <w:rFonts w:ascii="Arial" w:cs="Arial" w:eastAsia="Arial" w:hAnsi="Arial"/>
          <w:sz w:val="17"/>
          <w:szCs w:val="17"/>
          <w:color w:val="1CB6EA"/>
        </w:rPr>
      </w:pPr>
      <w:r>
        <w:rPr>
          <w:rFonts w:ascii="Arial" w:cs="Arial" w:eastAsia="Arial" w:hAnsi="Arial"/>
          <w:sz w:val="17"/>
          <w:szCs w:val="17"/>
          <w:color w:val="auto"/>
        </w:rPr>
        <w:t>Ms. D’Alimonte participated in and advised the senior management team, led and continues to lead the company through a critical transition, and:</w:t>
      </w:r>
    </w:p>
    <w:p>
      <w:pPr>
        <w:spacing w:after="0" w:line="53" w:lineRule="exact"/>
        <w:rPr>
          <w:rFonts w:ascii="Arial" w:cs="Arial" w:eastAsia="Arial" w:hAnsi="Arial"/>
          <w:sz w:val="17"/>
          <w:szCs w:val="17"/>
          <w:color w:val="1CB6EA"/>
        </w:rPr>
      </w:pPr>
    </w:p>
    <w:p>
      <w:pPr>
        <w:jc w:val="both"/>
        <w:ind w:left="304" w:hanging="209"/>
        <w:spacing w:after="0" w:line="236"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provided expert counsel to the Board and senior management on a wide variety of complex legal matters, including with respect to corporate governance, key strategic transactions and favorable renewals and commercial relationships with distribution partners;</w:t>
      </w:r>
    </w:p>
    <w:p>
      <w:pPr>
        <w:spacing w:after="0" w:line="54" w:lineRule="exact"/>
        <w:rPr>
          <w:rFonts w:ascii="Arial" w:cs="Arial" w:eastAsia="Arial" w:hAnsi="Arial"/>
          <w:sz w:val="17"/>
          <w:szCs w:val="17"/>
          <w:color w:val="auto"/>
        </w:rPr>
      </w:pPr>
    </w:p>
    <w:p>
      <w:pPr>
        <w:jc w:val="both"/>
        <w:ind w:left="304" w:hanging="209"/>
        <w:spacing w:after="0" w:line="238"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provided strategic leadership to the company’s litigation team, which resolved a number of key litigations on terms favorable to the company;</w:t>
      </w:r>
    </w:p>
    <w:p>
      <w:pPr>
        <w:spacing w:after="0" w:line="53" w:lineRule="exact"/>
        <w:rPr>
          <w:rFonts w:ascii="Arial" w:cs="Arial" w:eastAsia="Arial" w:hAnsi="Arial"/>
          <w:sz w:val="17"/>
          <w:szCs w:val="17"/>
          <w:color w:val="auto"/>
        </w:rPr>
      </w:pPr>
    </w:p>
    <w:p>
      <w:pPr>
        <w:jc w:val="both"/>
        <w:ind w:left="304" w:hanging="209"/>
        <w:spacing w:after="0" w:line="238"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assumed leadership of the company’s human resources, facilities and security functions following Mr. Mills’ transition to BET Networks;</w:t>
      </w:r>
    </w:p>
    <w:p>
      <w:pPr>
        <w:spacing w:after="0" w:line="53" w:lineRule="exact"/>
        <w:rPr>
          <w:rFonts w:ascii="Arial" w:cs="Arial" w:eastAsia="Arial" w:hAnsi="Arial"/>
          <w:sz w:val="17"/>
          <w:szCs w:val="17"/>
          <w:color w:val="auto"/>
        </w:rPr>
      </w:pPr>
    </w:p>
    <w:p>
      <w:pPr>
        <w:ind w:left="304" w:right="20" w:hanging="209"/>
        <w:spacing w:after="0" w:line="243"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held a leadership position on the company’s Global Inclusion Advisory Committee;</w:t>
      </w:r>
    </w:p>
    <w:p>
      <w:pPr>
        <w:spacing w:after="0" w:line="49" w:lineRule="exact"/>
        <w:rPr>
          <w:rFonts w:ascii="Arial" w:cs="Arial" w:eastAsia="Arial" w:hAnsi="Arial"/>
          <w:sz w:val="17"/>
          <w:szCs w:val="17"/>
          <w:color w:val="auto"/>
        </w:rPr>
      </w:pPr>
    </w:p>
    <w:p>
      <w:pPr>
        <w:ind w:left="304" w:hanging="209"/>
        <w:spacing w:after="0"/>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expanded the company’s pro bono initiatives; and</w:t>
      </w:r>
    </w:p>
    <w:p>
      <w:pPr>
        <w:spacing w:after="0" w:line="74" w:lineRule="exact"/>
        <w:rPr>
          <w:rFonts w:ascii="Arial" w:cs="Arial" w:eastAsia="Arial" w:hAnsi="Arial"/>
          <w:sz w:val="17"/>
          <w:szCs w:val="17"/>
          <w:color w:val="auto"/>
        </w:rPr>
      </w:pPr>
    </w:p>
    <w:p>
      <w:pPr>
        <w:ind w:left="304" w:right="20" w:hanging="209"/>
        <w:spacing w:after="0" w:line="243"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enhanced the collaboration, collegiality and continuing education of the company’s legal affairs team.</w:t>
      </w:r>
    </w:p>
    <w:p>
      <w:pPr>
        <w:spacing w:after="0" w:line="49" w:lineRule="exact"/>
        <w:rPr>
          <w:rFonts w:ascii="Arial" w:cs="Arial" w:eastAsia="Arial" w:hAnsi="Arial"/>
          <w:sz w:val="17"/>
          <w:szCs w:val="17"/>
          <w:color w:val="auto"/>
        </w:rPr>
      </w:pPr>
    </w:p>
    <w:p>
      <w:pPr>
        <w:jc w:val="both"/>
        <w:ind w:left="144" w:right="20" w:hanging="144"/>
        <w:spacing w:after="0"/>
        <w:tabs>
          <w:tab w:leader="none" w:pos="144" w:val="left"/>
        </w:tabs>
        <w:numPr>
          <w:ilvl w:val="0"/>
          <w:numId w:val="67"/>
        </w:numPr>
        <w:rPr>
          <w:rFonts w:ascii="Arial" w:cs="Arial" w:eastAsia="Arial" w:hAnsi="Arial"/>
          <w:sz w:val="17"/>
          <w:szCs w:val="17"/>
          <w:color w:val="1CB6EA"/>
        </w:rPr>
      </w:pPr>
      <w:r>
        <w:rPr>
          <w:rFonts w:ascii="Arial" w:cs="Arial" w:eastAsia="Arial" w:hAnsi="Arial"/>
          <w:sz w:val="17"/>
          <w:szCs w:val="17"/>
          <w:color w:val="auto"/>
        </w:rPr>
        <w:t>Ms. Lea participated in and advised the senior management team, led and continues to lead the company through a critical transition, and:</w:t>
      </w:r>
    </w:p>
    <w:p>
      <w:pPr>
        <w:spacing w:after="0" w:line="243" w:lineRule="exact"/>
        <w:rPr>
          <w:rFonts w:ascii="Arial" w:cs="Arial" w:eastAsia="Arial" w:hAnsi="Arial"/>
          <w:sz w:val="17"/>
          <w:szCs w:val="17"/>
          <w:color w:val="1CB6EA"/>
        </w:rPr>
      </w:pPr>
    </w:p>
    <w:p>
      <w:pPr>
        <w:jc w:val="both"/>
        <w:ind w:left="304" w:right="20" w:hanging="209"/>
        <w:spacing w:after="0" w:line="236"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provided leadership of the company’s worldwide government relations function, overseeing the development and execution of government relations strategy for the company both domestically and internationally;</w:t>
      </w:r>
    </w:p>
    <w:p>
      <w:pPr>
        <w:spacing w:after="0" w:line="54" w:lineRule="exact"/>
        <w:rPr>
          <w:rFonts w:ascii="Arial" w:cs="Arial" w:eastAsia="Arial" w:hAnsi="Arial"/>
          <w:sz w:val="17"/>
          <w:szCs w:val="17"/>
          <w:color w:val="auto"/>
        </w:rPr>
      </w:pPr>
    </w:p>
    <w:p>
      <w:pPr>
        <w:ind w:left="304" w:right="20" w:hanging="209"/>
        <w:spacing w:after="0" w:line="243"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advocated public policy positions for the content distribution and film industries at the international, national, state and local levels;</w:t>
      </w:r>
    </w:p>
    <w:p>
      <w:pPr>
        <w:spacing w:after="0" w:line="49" w:lineRule="exact"/>
        <w:rPr>
          <w:rFonts w:ascii="Arial" w:cs="Arial" w:eastAsia="Arial" w:hAnsi="Arial"/>
          <w:sz w:val="17"/>
          <w:szCs w:val="17"/>
          <w:color w:val="auto"/>
        </w:rPr>
      </w:pPr>
    </w:p>
    <w:p>
      <w:pPr>
        <w:ind w:left="304" w:right="20" w:hanging="209"/>
        <w:spacing w:after="0" w:line="243"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worked extensively on corporate tax reform and television and film production tax credits; and</w:t>
      </w:r>
    </w:p>
    <w:p>
      <w:pPr>
        <w:spacing w:after="0" w:line="49" w:lineRule="exact"/>
        <w:rPr>
          <w:rFonts w:ascii="Arial" w:cs="Arial" w:eastAsia="Arial" w:hAnsi="Arial"/>
          <w:sz w:val="17"/>
          <w:szCs w:val="17"/>
          <w:color w:val="auto"/>
        </w:rPr>
      </w:pPr>
    </w:p>
    <w:p>
      <w:pPr>
        <w:jc w:val="both"/>
        <w:ind w:left="304" w:hanging="209"/>
        <w:spacing w:after="0" w:line="238" w:lineRule="auto"/>
        <w:tabs>
          <w:tab w:leader="none" w:pos="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provided political, policy and regulatory expertise to our executives, including strategic regulatory advice with respect to acquisitions and other strategic investments.</w:t>
      </w:r>
    </w:p>
    <w:p>
      <w:pPr>
        <w:spacing w:after="0" w:line="53" w:lineRule="exact"/>
        <w:rPr>
          <w:rFonts w:ascii="Arial" w:cs="Arial" w:eastAsia="Arial" w:hAnsi="Arial"/>
          <w:sz w:val="17"/>
          <w:szCs w:val="17"/>
          <w:color w:val="auto"/>
        </w:rPr>
      </w:pPr>
    </w:p>
    <w:p>
      <w:pPr>
        <w:jc w:val="both"/>
        <w:ind w:left="144" w:right="20" w:hanging="144"/>
        <w:spacing w:after="0" w:line="243" w:lineRule="auto"/>
        <w:tabs>
          <w:tab w:leader="none" w:pos="144" w:val="left"/>
        </w:tabs>
        <w:numPr>
          <w:ilvl w:val="0"/>
          <w:numId w:val="67"/>
        </w:numPr>
        <w:rPr>
          <w:rFonts w:ascii="Arial" w:cs="Arial" w:eastAsia="Arial" w:hAnsi="Arial"/>
          <w:sz w:val="17"/>
          <w:szCs w:val="17"/>
          <w:color w:val="1CB6EA"/>
        </w:rPr>
      </w:pPr>
      <w:r>
        <w:rPr>
          <w:rFonts w:ascii="Arial" w:cs="Arial" w:eastAsia="Arial" w:hAnsi="Arial"/>
          <w:sz w:val="17"/>
          <w:szCs w:val="17"/>
          <w:color w:val="auto"/>
        </w:rPr>
        <w:t>Until January 1, 2018, Mr. Mills participated in and advised the senior management team, led the company through a critical transition, and:</w:t>
      </w:r>
    </w:p>
    <w:p>
      <w:pPr>
        <w:sectPr>
          <w:pgSz w:w="11900" w:h="16838" w:orient="portrait"/>
          <w:cols w:equalWidth="0" w:num="2">
            <w:col w:w="5480" w:space="516"/>
            <w:col w:w="5424"/>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ind w:left="360" w:hanging="203"/>
        <w:spacing w:after="0" w:line="243" w:lineRule="auto"/>
        <w:tabs>
          <w:tab w:leader="none" w:pos="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provided leadership of the company’s human resources, facilities and security functions;</w:t>
      </w:r>
    </w:p>
    <w:p>
      <w:pPr>
        <w:spacing w:after="0" w:line="49" w:lineRule="exact"/>
        <w:rPr>
          <w:rFonts w:ascii="Arial" w:cs="Arial" w:eastAsia="Arial" w:hAnsi="Arial"/>
          <w:sz w:val="17"/>
          <w:szCs w:val="17"/>
          <w:color w:val="auto"/>
        </w:rPr>
      </w:pPr>
    </w:p>
    <w:p>
      <w:pPr>
        <w:jc w:val="both"/>
        <w:ind w:left="360" w:hanging="203"/>
        <w:spacing w:after="0" w:line="238" w:lineRule="auto"/>
        <w:tabs>
          <w:tab w:leader="none" w:pos="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led the company’s talent management strategy, including several leadership transitions and a myriad of other organizational changes; and</w:t>
      </w:r>
    </w:p>
    <w:p>
      <w:pPr>
        <w:spacing w:after="0" w:line="53" w:lineRule="exact"/>
        <w:rPr>
          <w:rFonts w:ascii="Arial" w:cs="Arial" w:eastAsia="Arial" w:hAnsi="Arial"/>
          <w:sz w:val="17"/>
          <w:szCs w:val="17"/>
          <w:color w:val="auto"/>
        </w:rPr>
      </w:pPr>
    </w:p>
    <w:p>
      <w:pPr>
        <w:ind w:left="360" w:hanging="203"/>
        <w:spacing w:after="0"/>
        <w:tabs>
          <w:tab w:leader="none" w:pos="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managed the company’s strategic real estate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471805</wp:posOffset>
            </wp:positionV>
            <wp:extent cx="15779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70" w:lineRule="exact"/>
        <w:rPr>
          <w:sz w:val="20"/>
          <w:szCs w:val="20"/>
          <w:color w:val="auto"/>
        </w:rPr>
      </w:pPr>
    </w:p>
    <w:p>
      <w:pPr>
        <w:jc w:val="both"/>
        <w:ind w:left="160" w:right="20"/>
        <w:spacing w:after="0" w:line="236" w:lineRule="auto"/>
        <w:rPr>
          <w:sz w:val="20"/>
          <w:szCs w:val="20"/>
          <w:color w:val="auto"/>
        </w:rPr>
      </w:pPr>
      <w:r>
        <w:rPr>
          <w:rFonts w:ascii="Arial" w:cs="Arial" w:eastAsia="Arial" w:hAnsi="Arial"/>
          <w:sz w:val="17"/>
          <w:szCs w:val="17"/>
          <w:color w:val="auto"/>
        </w:rPr>
        <w:t>For the remainder of fiscal year 2018, Mr. Mills led BET Networks, achieving strong ratings and share growth, driving positive advertising sales performance and securing significant savings through various cost transformation efforts.</w:t>
      </w:r>
    </w:p>
    <w:p>
      <w:pPr>
        <w:spacing w:after="0" w:line="55"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Each NEO’s definitive performance multiplier used to determine his or her bonus was the product of the NEO’s business performance multiplier and individual performance multiplier,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389255</wp:posOffset>
            </wp:positionV>
            <wp:extent cx="33020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sect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540" w:type="dxa"/>
            <w:vAlign w:val="bottom"/>
          </w:tcPr>
          <w:p>
            <w:pPr>
              <w:spacing w:after="0"/>
              <w:rPr>
                <w:sz w:val="20"/>
                <w:szCs w:val="20"/>
                <w:color w:val="auto"/>
              </w:rPr>
            </w:pPr>
            <w:r>
              <w:rPr>
                <w:rFonts w:ascii="Arial" w:cs="Arial" w:eastAsia="Arial" w:hAnsi="Arial"/>
                <w:sz w:val="14"/>
                <w:szCs w:val="14"/>
                <w:b w:val="1"/>
                <w:bCs w:val="1"/>
                <w:color w:val="auto"/>
              </w:rPr>
              <w:t>NEO</w:t>
            </w:r>
          </w:p>
        </w:tc>
        <w:tc>
          <w:tcPr>
            <w:tcW w:w="3540" w:type="dxa"/>
            <w:vAlign w:val="bottom"/>
            <w:gridSpan w:val="2"/>
          </w:tcPr>
          <w:p>
            <w:pPr>
              <w:ind w:left="1100"/>
              <w:spacing w:after="0"/>
              <w:rPr>
                <w:sz w:val="20"/>
                <w:szCs w:val="20"/>
                <w:color w:val="auto"/>
              </w:rPr>
            </w:pPr>
            <w:r>
              <w:rPr>
                <w:rFonts w:ascii="Arial" w:cs="Arial" w:eastAsia="Arial" w:hAnsi="Arial"/>
                <w:sz w:val="14"/>
                <w:szCs w:val="14"/>
                <w:b w:val="1"/>
                <w:bCs w:val="1"/>
                <w:color w:val="auto"/>
              </w:rPr>
              <w:t>Business Performance Multiplier</w:t>
            </w:r>
          </w:p>
        </w:tc>
        <w:tc>
          <w:tcPr>
            <w:tcW w:w="26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Individual Performance Multiplier</w:t>
            </w:r>
          </w:p>
        </w:tc>
        <w:tc>
          <w:tcPr>
            <w:tcW w:w="26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Definitive Performance Multiplier</w:t>
            </w:r>
          </w:p>
        </w:tc>
      </w:tr>
      <w:tr>
        <w:trPr>
          <w:trHeight w:val="223"/>
        </w:trPr>
        <w:tc>
          <w:tcPr>
            <w:tcW w:w="2540" w:type="dxa"/>
            <w:vAlign w:val="bottom"/>
            <w:tcBorders>
              <w:top w:val="single" w:sz="8" w:color="auto"/>
              <w:bottom w:val="single" w:sz="8" w:color="DCDDDE"/>
            </w:tcBorders>
            <w:shd w:val="clear" w:color="auto" w:fill="DCDDDE"/>
          </w:tcPr>
          <w:p>
            <w:pPr>
              <w:spacing w:after="0"/>
              <w:rPr>
                <w:sz w:val="20"/>
                <w:szCs w:val="20"/>
                <w:color w:val="auto"/>
              </w:rPr>
            </w:pPr>
            <w:r>
              <w:rPr>
                <w:rFonts w:ascii="Arial" w:cs="Arial" w:eastAsia="Arial" w:hAnsi="Arial"/>
                <w:sz w:val="14"/>
                <w:szCs w:val="14"/>
                <w:color w:val="auto"/>
              </w:rPr>
              <w:t>Robert M. Bakish</w:t>
            </w:r>
          </w:p>
        </w:tc>
        <w:tc>
          <w:tcPr>
            <w:tcW w:w="3460" w:type="dxa"/>
            <w:vAlign w:val="bottom"/>
            <w:tcBorders>
              <w:top w:val="single" w:sz="8" w:color="auto"/>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119.6%</w:t>
            </w:r>
          </w:p>
        </w:tc>
        <w:tc>
          <w:tcPr>
            <w:tcW w:w="80" w:type="dxa"/>
            <w:vAlign w:val="bottom"/>
            <w:tcBorders>
              <w:top w:val="single" w:sz="8" w:color="DCDDDE"/>
              <w:bottom w:val="single" w:sz="8" w:color="DCDDDE"/>
            </w:tcBorders>
            <w:shd w:val="clear" w:color="auto" w:fill="DCDDDE"/>
          </w:tcPr>
          <w:p>
            <w:pPr>
              <w:spacing w:after="0"/>
              <w:rPr>
                <w:sz w:val="19"/>
                <w:szCs w:val="19"/>
                <w:color w:val="auto"/>
              </w:rPr>
            </w:pPr>
          </w:p>
        </w:tc>
        <w:tc>
          <w:tcPr>
            <w:tcW w:w="2560" w:type="dxa"/>
            <w:vAlign w:val="bottom"/>
            <w:tcBorders>
              <w:top w:val="single" w:sz="8" w:color="auto"/>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112%</w:t>
            </w:r>
          </w:p>
        </w:tc>
        <w:tc>
          <w:tcPr>
            <w:tcW w:w="60" w:type="dxa"/>
            <w:vAlign w:val="bottom"/>
            <w:tcBorders>
              <w:top w:val="single" w:sz="8" w:color="DCDDDE"/>
              <w:bottom w:val="single" w:sz="8" w:color="DCDDDE"/>
            </w:tcBorders>
            <w:shd w:val="clear" w:color="auto" w:fill="DCDDDE"/>
          </w:tcPr>
          <w:p>
            <w:pPr>
              <w:spacing w:after="0"/>
              <w:rPr>
                <w:sz w:val="19"/>
                <w:szCs w:val="19"/>
                <w:color w:val="auto"/>
              </w:rPr>
            </w:pPr>
          </w:p>
        </w:tc>
        <w:tc>
          <w:tcPr>
            <w:tcW w:w="2580" w:type="dxa"/>
            <w:vAlign w:val="bottom"/>
            <w:tcBorders>
              <w:top w:val="single" w:sz="8" w:color="auto"/>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133.9%</w:t>
            </w:r>
          </w:p>
        </w:tc>
        <w:tc>
          <w:tcPr>
            <w:tcW w:w="60" w:type="dxa"/>
            <w:vAlign w:val="bottom"/>
            <w:tcBorders>
              <w:top w:val="single" w:sz="8" w:color="DCDDDE"/>
              <w:bottom w:val="single" w:sz="8" w:color="DCDDDE"/>
            </w:tcBorders>
            <w:shd w:val="clear" w:color="auto" w:fill="DCDDDE"/>
          </w:tcPr>
          <w:p>
            <w:pPr>
              <w:spacing w:after="0"/>
              <w:rPr>
                <w:sz w:val="19"/>
                <w:szCs w:val="19"/>
                <w:color w:val="auto"/>
              </w:rPr>
            </w:pPr>
          </w:p>
        </w:tc>
      </w:tr>
      <w:tr>
        <w:trPr>
          <w:trHeight w:val="184"/>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Wade C. Davis</w:t>
            </w:r>
          </w:p>
        </w:tc>
        <w:tc>
          <w:tcPr>
            <w:tcW w:w="3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119.6%</w:t>
            </w:r>
          </w:p>
        </w:tc>
        <w:tc>
          <w:tcPr>
            <w:tcW w:w="80" w:type="dxa"/>
            <w:vAlign w:val="bottom"/>
          </w:tcPr>
          <w:p>
            <w:pPr>
              <w:spacing w:after="0"/>
              <w:rPr>
                <w:sz w:val="16"/>
                <w:szCs w:val="16"/>
                <w:color w:val="auto"/>
              </w:rPr>
            </w:pP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6"/>
                <w:szCs w:val="16"/>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119.6%</w:t>
            </w:r>
          </w:p>
        </w:tc>
        <w:tc>
          <w:tcPr>
            <w:tcW w:w="60" w:type="dxa"/>
            <w:vAlign w:val="bottom"/>
          </w:tcPr>
          <w:p>
            <w:pPr>
              <w:spacing w:after="0"/>
              <w:rPr>
                <w:sz w:val="16"/>
                <w:szCs w:val="16"/>
                <w:color w:val="auto"/>
              </w:rPr>
            </w:pPr>
          </w:p>
        </w:tc>
      </w:tr>
      <w:tr>
        <w:trPr>
          <w:trHeight w:val="39"/>
        </w:trPr>
        <w:tc>
          <w:tcPr>
            <w:tcW w:w="254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80" w:type="dxa"/>
            <w:vAlign w:val="bottom"/>
            <w:tcBorders>
              <w:bottom w:val="single" w:sz="8" w:color="DCDDDE"/>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60" w:type="dxa"/>
            <w:vAlign w:val="bottom"/>
            <w:tcBorders>
              <w:bottom w:val="single" w:sz="8" w:color="DCDDDE"/>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60" w:type="dxa"/>
            <w:vAlign w:val="bottom"/>
            <w:tcBorders>
              <w:bottom w:val="single" w:sz="8" w:color="DCDDDE"/>
            </w:tcBorders>
          </w:tcPr>
          <w:p>
            <w:pPr>
              <w:spacing w:after="0"/>
              <w:rPr>
                <w:sz w:val="3"/>
                <w:szCs w:val="3"/>
                <w:color w:val="auto"/>
              </w:rPr>
            </w:pPr>
          </w:p>
        </w:tc>
      </w:tr>
      <w:tr>
        <w:trPr>
          <w:trHeight w:val="223"/>
        </w:trPr>
        <w:tc>
          <w:tcPr>
            <w:tcW w:w="254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4"/>
                <w:szCs w:val="14"/>
                <w:color w:val="auto"/>
              </w:rPr>
              <w:t>Christa A. D'Alimonte</w:t>
            </w:r>
          </w:p>
        </w:tc>
        <w:tc>
          <w:tcPr>
            <w:tcW w:w="34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119.6%</w:t>
            </w:r>
          </w:p>
        </w:tc>
        <w:tc>
          <w:tcPr>
            <w:tcW w:w="80" w:type="dxa"/>
            <w:vAlign w:val="bottom"/>
            <w:tcBorders>
              <w:bottom w:val="single" w:sz="8" w:color="DCDDDE"/>
            </w:tcBorders>
            <w:shd w:val="clear" w:color="auto" w:fill="DCDDDE"/>
          </w:tcPr>
          <w:p>
            <w:pPr>
              <w:spacing w:after="0"/>
              <w:rPr>
                <w:sz w:val="19"/>
                <w:szCs w:val="19"/>
                <w:color w:val="auto"/>
              </w:rPr>
            </w:pPr>
          </w:p>
        </w:tc>
        <w:tc>
          <w:tcPr>
            <w:tcW w:w="25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DCDDDE"/>
            </w:tcBorders>
            <w:shd w:val="clear" w:color="auto" w:fill="DCDDDE"/>
          </w:tcPr>
          <w:p>
            <w:pPr>
              <w:spacing w:after="0"/>
              <w:rPr>
                <w:sz w:val="19"/>
                <w:szCs w:val="19"/>
                <w:color w:val="auto"/>
              </w:rPr>
            </w:pPr>
          </w:p>
        </w:tc>
        <w:tc>
          <w:tcPr>
            <w:tcW w:w="25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119.6%</w:t>
            </w:r>
          </w:p>
        </w:tc>
        <w:tc>
          <w:tcPr>
            <w:tcW w:w="60" w:type="dxa"/>
            <w:vAlign w:val="bottom"/>
            <w:tcBorders>
              <w:bottom w:val="single" w:sz="8" w:color="DCDDDE"/>
            </w:tcBorders>
            <w:shd w:val="clear" w:color="auto" w:fill="DCDDDE"/>
          </w:tcPr>
          <w:p>
            <w:pPr>
              <w:spacing w:after="0"/>
              <w:rPr>
                <w:sz w:val="19"/>
                <w:szCs w:val="19"/>
                <w:color w:val="auto"/>
              </w:rPr>
            </w:pPr>
          </w:p>
        </w:tc>
      </w:tr>
      <w:tr>
        <w:trPr>
          <w:trHeight w:val="184"/>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Doretha (DeDe) F. Lea</w:t>
            </w:r>
          </w:p>
        </w:tc>
        <w:tc>
          <w:tcPr>
            <w:tcW w:w="3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119.6%</w:t>
            </w:r>
          </w:p>
        </w:tc>
        <w:tc>
          <w:tcPr>
            <w:tcW w:w="80" w:type="dxa"/>
            <w:vAlign w:val="bottom"/>
          </w:tcPr>
          <w:p>
            <w:pPr>
              <w:spacing w:after="0"/>
              <w:rPr>
                <w:sz w:val="16"/>
                <w:szCs w:val="16"/>
                <w:color w:val="auto"/>
              </w:rPr>
            </w:pP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6"/>
                <w:szCs w:val="16"/>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127.9%</w:t>
            </w:r>
          </w:p>
        </w:tc>
        <w:tc>
          <w:tcPr>
            <w:tcW w:w="60" w:type="dxa"/>
            <w:vAlign w:val="bottom"/>
          </w:tcPr>
          <w:p>
            <w:pPr>
              <w:spacing w:after="0"/>
              <w:rPr>
                <w:sz w:val="16"/>
                <w:szCs w:val="16"/>
                <w:color w:val="auto"/>
              </w:rPr>
            </w:pPr>
          </w:p>
        </w:tc>
      </w:tr>
      <w:tr>
        <w:trPr>
          <w:trHeight w:val="39"/>
        </w:trPr>
        <w:tc>
          <w:tcPr>
            <w:tcW w:w="254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80" w:type="dxa"/>
            <w:vAlign w:val="bottom"/>
            <w:tcBorders>
              <w:bottom w:val="single" w:sz="8" w:color="DCDDDE"/>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60" w:type="dxa"/>
            <w:vAlign w:val="bottom"/>
            <w:tcBorders>
              <w:bottom w:val="single" w:sz="8" w:color="DCDDDE"/>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60" w:type="dxa"/>
            <w:vAlign w:val="bottom"/>
            <w:tcBorders>
              <w:bottom w:val="single" w:sz="8" w:color="DCDDDE"/>
            </w:tcBorders>
          </w:tcPr>
          <w:p>
            <w:pPr>
              <w:spacing w:after="0"/>
              <w:rPr>
                <w:sz w:val="3"/>
                <w:szCs w:val="3"/>
                <w:color w:val="auto"/>
              </w:rPr>
            </w:pPr>
          </w:p>
        </w:tc>
      </w:tr>
      <w:tr>
        <w:trPr>
          <w:trHeight w:val="203"/>
        </w:trPr>
        <w:tc>
          <w:tcPr>
            <w:tcW w:w="254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4"/>
                <w:szCs w:val="14"/>
                <w:color w:val="auto"/>
              </w:rPr>
              <w:t>Scott M. Mills</w:t>
            </w:r>
          </w:p>
        </w:tc>
        <w:tc>
          <w:tcPr>
            <w:tcW w:w="34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128.6%</w:t>
            </w:r>
          </w:p>
        </w:tc>
        <w:tc>
          <w:tcPr>
            <w:tcW w:w="80" w:type="dxa"/>
            <w:vAlign w:val="bottom"/>
            <w:tcBorders>
              <w:bottom w:val="single" w:sz="8" w:color="DCDDDE"/>
            </w:tcBorders>
            <w:shd w:val="clear" w:color="auto" w:fill="DCDDDE"/>
          </w:tcPr>
          <w:p>
            <w:pPr>
              <w:spacing w:after="0"/>
              <w:rPr>
                <w:sz w:val="17"/>
                <w:szCs w:val="17"/>
                <w:color w:val="auto"/>
              </w:rPr>
            </w:pPr>
          </w:p>
        </w:tc>
        <w:tc>
          <w:tcPr>
            <w:tcW w:w="25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DCDDDE"/>
            </w:tcBorders>
            <w:shd w:val="clear" w:color="auto" w:fill="DCDDDE"/>
          </w:tcPr>
          <w:p>
            <w:pPr>
              <w:spacing w:after="0"/>
              <w:rPr>
                <w:sz w:val="17"/>
                <w:szCs w:val="17"/>
                <w:color w:val="auto"/>
              </w:rPr>
            </w:pPr>
          </w:p>
        </w:tc>
        <w:tc>
          <w:tcPr>
            <w:tcW w:w="25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128.6%</w:t>
            </w:r>
          </w:p>
        </w:tc>
        <w:tc>
          <w:tcPr>
            <w:tcW w:w="60" w:type="dxa"/>
            <w:vAlign w:val="bottom"/>
            <w:tcBorders>
              <w:bottom w:val="single" w:sz="8" w:color="DCDDDE"/>
            </w:tcBorders>
            <w:shd w:val="clear" w:color="auto" w:fill="DCDDDE"/>
          </w:tcPr>
          <w:p>
            <w:pPr>
              <w:spacing w:after="0"/>
              <w:rPr>
                <w:sz w:val="17"/>
                <w:szCs w:val="17"/>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Committee also determined to award a one-time special bonus in the amount of $500,000 to each of Mr. Davis and Ms. D’Alimonte to recognize their significant contributions to the execution of the Company’s strategic priorities in fiscal year 2018.</w:t>
      </w:r>
    </w:p>
    <w:p>
      <w:pPr>
        <w:sectPr>
          <w:pgSz w:w="11900" w:h="16838" w:orient="portrait"/>
          <w:cols w:equalWidth="0" w:num="1">
            <w:col w:w="11440"/>
          </w:cols>
          <w:pgMar w:left="240" w:top="125" w:right="219"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3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annual equity awards to NEOs under the LTMIP in fiscal year 2018 were granted at the target values under their employment agreements, except for Ms. D’Alimonte, whose target annual equity award was increased to $1,100,000 from $800,000, effective January 1, 2018, in consideration of her increased role and responsibilities.</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fiscal year 2018, the target values under the employment agreements for the NEOs other than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Ms. D’Alimonte were as follows: for Mr. Bakish, $10,000,000; for Mr.</w:t>
      </w:r>
    </w:p>
    <w:p>
      <w:pPr>
        <w:spacing w:after="0"/>
        <w:rPr>
          <w:sz w:val="20"/>
          <w:szCs w:val="20"/>
          <w:color w:val="auto"/>
        </w:rPr>
      </w:pPr>
      <w:r>
        <w:rPr>
          <w:rFonts w:ascii="Arial" w:cs="Arial" w:eastAsia="Arial" w:hAnsi="Arial"/>
          <w:sz w:val="17"/>
          <w:szCs w:val="17"/>
          <w:color w:val="auto"/>
        </w:rPr>
        <w:t>Davis and Mr. Mills, $2,250,000; and for Ms. Lea, $700,000.</w:t>
      </w:r>
    </w:p>
    <w:p>
      <w:pPr>
        <w:spacing w:after="0" w:line="75"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PSUs were granted to the NEOs at the meeting of the Compensation Committee that took place in November 2017, and Mr. Bakish also received his stock options at that time. Stock options and RSUs were granted to the NEOs (other than Mr. Bakish) on January 31, 2018.</w:t>
      </w:r>
    </w:p>
    <w:p>
      <w:pPr>
        <w:spacing w:after="0" w:line="394"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8200" w:type="dxa"/>
            <w:vAlign w:val="bottom"/>
            <w:vMerge w:val="restart"/>
          </w:tcPr>
          <w:p>
            <w:pPr>
              <w:ind w:left="6920"/>
              <w:spacing w:after="0"/>
              <w:rPr>
                <w:sz w:val="20"/>
                <w:szCs w:val="20"/>
                <w:color w:val="auto"/>
              </w:rPr>
            </w:pPr>
            <w:r>
              <w:rPr>
                <w:rFonts w:ascii="Arial" w:cs="Arial" w:eastAsia="Arial" w:hAnsi="Arial"/>
                <w:sz w:val="18"/>
                <w:szCs w:val="18"/>
                <w:b w:val="1"/>
                <w:bCs w:val="1"/>
                <w:color w:val="1CB6EA"/>
              </w:rPr>
              <w:t>VIACOM INC.</w:t>
            </w:r>
          </w:p>
        </w:tc>
        <w:tc>
          <w:tcPr>
            <w:tcW w:w="20" w:type="dxa"/>
            <w:vAlign w:val="bottom"/>
          </w:tcPr>
          <w:p>
            <w:pPr>
              <w:spacing w:after="0" w:line="20" w:lineRule="exact"/>
              <w:rPr>
                <w:sz w:val="1"/>
                <w:szCs w:val="1"/>
                <w:color w:val="auto"/>
              </w:rPr>
            </w:pPr>
          </w:p>
        </w:tc>
        <w:tc>
          <w:tcPr>
            <w:tcW w:w="3220" w:type="dxa"/>
            <w:vAlign w:val="bottom"/>
            <w:vMerge w:val="restart"/>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43</w:t>
            </w:r>
          </w:p>
        </w:tc>
        <w:tc>
          <w:tcPr>
            <w:tcW w:w="0" w:type="dxa"/>
            <w:vAlign w:val="bottom"/>
          </w:tcPr>
          <w:p>
            <w:pPr>
              <w:spacing w:after="0" w:line="20" w:lineRule="exact"/>
              <w:rPr>
                <w:sz w:val="1"/>
                <w:szCs w:val="1"/>
                <w:color w:val="auto"/>
              </w:rPr>
            </w:pPr>
          </w:p>
        </w:tc>
      </w:tr>
      <w:tr>
        <w:trPr>
          <w:trHeight w:val="203"/>
        </w:trPr>
        <w:tc>
          <w:tcPr>
            <w:tcW w:w="8200" w:type="dxa"/>
            <w:vAlign w:val="bottom"/>
            <w:vMerge w:val="continue"/>
          </w:tcPr>
          <w:p>
            <w:pPr>
              <w:spacing w:after="0"/>
              <w:rPr>
                <w:sz w:val="17"/>
                <w:szCs w:val="17"/>
                <w:color w:val="auto"/>
              </w:rPr>
            </w:pPr>
          </w:p>
        </w:tc>
        <w:tc>
          <w:tcPr>
            <w:tcW w:w="20" w:type="dxa"/>
            <w:vAlign w:val="bottom"/>
            <w:shd w:val="clear" w:color="auto" w:fill="00BBE6"/>
          </w:tcPr>
          <w:p>
            <w:pPr>
              <w:spacing w:after="0"/>
              <w:rPr>
                <w:sz w:val="17"/>
                <w:szCs w:val="17"/>
                <w:color w:val="auto"/>
              </w:rPr>
            </w:pP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2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bottom w:val="single" w:sz="8" w:color="1CB6EA"/>
            </w:tcBorders>
            <w:shd w:val="clear" w:color="auto" w:fill="1CB6EA"/>
          </w:tcPr>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284"/>
        </w:trPr>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jc w:val="center"/>
              <w:ind w:left="41"/>
              <w:spacing w:after="0"/>
              <w:rPr>
                <w:sz w:val="20"/>
                <w:szCs w:val="20"/>
                <w:color w:val="auto"/>
              </w:rPr>
            </w:pPr>
            <w:r>
              <w:rPr>
                <w:rFonts w:ascii="Arial" w:cs="Arial" w:eastAsia="Arial" w:hAnsi="Arial"/>
                <w:sz w:val="14"/>
                <w:szCs w:val="14"/>
                <w:b w:val="1"/>
                <w:bCs w:val="1"/>
                <w:color w:val="auto"/>
              </w:rPr>
              <w:t>Award</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Vesting or</w:t>
            </w:r>
          </w:p>
        </w:tc>
        <w:tc>
          <w:tcPr>
            <w:tcW w:w="3400" w:type="dxa"/>
            <w:vAlign w:val="bottom"/>
          </w:tcPr>
          <w:p>
            <w:pPr>
              <w:spacing w:after="0"/>
              <w:rPr>
                <w:sz w:val="24"/>
                <w:szCs w:val="24"/>
                <w:color w:val="auto"/>
              </w:rPr>
            </w:pPr>
          </w:p>
        </w:tc>
      </w:tr>
      <w:tr>
        <w:trPr>
          <w:trHeight w:val="159"/>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20" w:type="dxa"/>
            <w:vAlign w:val="bottom"/>
          </w:tcPr>
          <w:p>
            <w:pPr>
              <w:jc w:val="center"/>
              <w:ind w:left="41"/>
              <w:spacing w:after="0" w:line="159" w:lineRule="exact"/>
              <w:rPr>
                <w:sz w:val="20"/>
                <w:szCs w:val="20"/>
                <w:color w:val="auto"/>
              </w:rPr>
            </w:pPr>
            <w:r>
              <w:rPr>
                <w:rFonts w:ascii="Arial" w:cs="Arial" w:eastAsia="Arial" w:hAnsi="Arial"/>
                <w:sz w:val="14"/>
                <w:szCs w:val="14"/>
                <w:b w:val="1"/>
                <w:bCs w:val="1"/>
                <w:color w:val="auto"/>
              </w:rPr>
              <w:t>Percentage of</w:t>
            </w:r>
          </w:p>
        </w:tc>
        <w:tc>
          <w:tcPr>
            <w:tcW w:w="17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Class B Shares</w:t>
            </w:r>
          </w:p>
        </w:tc>
        <w:tc>
          <w:tcPr>
            <w:tcW w:w="12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Performance</w:t>
            </w:r>
          </w:p>
        </w:tc>
        <w:tc>
          <w:tcPr>
            <w:tcW w:w="3400" w:type="dxa"/>
            <w:vAlign w:val="bottom"/>
          </w:tcPr>
          <w:p>
            <w:pPr>
              <w:ind w:left="760"/>
              <w:spacing w:after="0" w:line="159" w:lineRule="exact"/>
              <w:rPr>
                <w:sz w:val="20"/>
                <w:szCs w:val="20"/>
                <w:color w:val="auto"/>
              </w:rPr>
            </w:pPr>
            <w:r>
              <w:rPr>
                <w:rFonts w:ascii="Arial" w:cs="Arial" w:eastAsia="Arial" w:hAnsi="Arial"/>
                <w:sz w:val="14"/>
                <w:szCs w:val="14"/>
                <w:b w:val="1"/>
                <w:bCs w:val="1"/>
                <w:color w:val="auto"/>
              </w:rPr>
              <w:t>Exercise Price/Performance</w:t>
            </w:r>
          </w:p>
        </w:tc>
      </w:tr>
      <w:tr>
        <w:trPr>
          <w:trHeight w:val="179"/>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Award Type</w:t>
            </w:r>
          </w:p>
        </w:tc>
        <w:tc>
          <w:tcPr>
            <w:tcW w:w="132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99"/>
              </w:rPr>
              <w:t>Target Value</w:t>
            </w:r>
          </w:p>
        </w:tc>
        <w:tc>
          <w:tcPr>
            <w:tcW w:w="176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 xml:space="preserve">Underlying Award </w:t>
            </w:r>
            <w:r>
              <w:rPr>
                <w:rFonts w:ascii="Arial" w:cs="Arial" w:eastAsia="Arial" w:hAnsi="Arial"/>
                <w:sz w:val="20"/>
                <w:szCs w:val="20"/>
                <w:b w:val="1"/>
                <w:bCs w:val="1"/>
                <w:color w:val="auto"/>
                <w:vertAlign w:val="superscript"/>
              </w:rPr>
              <w:t>(1)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3400" w:type="dxa"/>
            <w:vAlign w:val="bottom"/>
            <w:tcBorders>
              <w:bottom w:val="single" w:sz="8" w:color="auto"/>
            </w:tcBorders>
          </w:tcPr>
          <w:p>
            <w:pPr>
              <w:ind w:left="1240"/>
              <w:spacing w:after="0" w:line="179" w:lineRule="exact"/>
              <w:rPr>
                <w:sz w:val="20"/>
                <w:szCs w:val="20"/>
                <w:color w:val="auto"/>
              </w:rPr>
            </w:pPr>
            <w:r>
              <w:rPr>
                <w:rFonts w:ascii="Arial" w:cs="Arial" w:eastAsia="Arial" w:hAnsi="Arial"/>
                <w:sz w:val="12"/>
                <w:szCs w:val="12"/>
                <w:b w:val="1"/>
                <w:bCs w:val="1"/>
                <w:color w:val="auto"/>
              </w:rPr>
              <w:t xml:space="preserve">Conditions </w:t>
            </w:r>
            <w:r>
              <w:rPr>
                <w:rFonts w:ascii="Arial" w:cs="Arial" w:eastAsia="Arial" w:hAnsi="Arial"/>
                <w:sz w:val="20"/>
                <w:szCs w:val="20"/>
                <w:b w:val="1"/>
                <w:bCs w:val="1"/>
                <w:color w:val="auto"/>
                <w:vertAlign w:val="superscript"/>
              </w:rPr>
              <w:t>(2)</w:t>
            </w:r>
          </w:p>
        </w:tc>
      </w:tr>
      <w:tr>
        <w:trPr>
          <w:trHeight w:val="196"/>
        </w:trPr>
        <w:tc>
          <w:tcPr>
            <w:tcW w:w="2160" w:type="dxa"/>
            <w:vAlign w:val="bottom"/>
            <w:shd w:val="clear" w:color="auto" w:fill="D8D8D8"/>
          </w:tcPr>
          <w:p>
            <w:pPr>
              <w:spacing w:after="0"/>
              <w:rPr>
                <w:sz w:val="20"/>
                <w:szCs w:val="20"/>
                <w:color w:val="auto"/>
              </w:rPr>
            </w:pPr>
            <w:r>
              <w:rPr>
                <w:rFonts w:ascii="Arial" w:cs="Arial" w:eastAsia="Arial" w:hAnsi="Arial"/>
                <w:sz w:val="16"/>
                <w:szCs w:val="16"/>
                <w:color w:val="auto"/>
              </w:rPr>
              <w:t>Robert M. Bakish</w:t>
            </w:r>
          </w:p>
        </w:tc>
        <w:tc>
          <w:tcPr>
            <w:tcW w:w="220" w:type="dxa"/>
            <w:vAlign w:val="bottom"/>
            <w:shd w:val="clear" w:color="auto" w:fill="D8D8D8"/>
          </w:tcPr>
          <w:p>
            <w:pPr>
              <w:spacing w:after="0"/>
              <w:rPr>
                <w:sz w:val="17"/>
                <w:szCs w:val="17"/>
                <w:color w:val="auto"/>
              </w:rPr>
            </w:pPr>
          </w:p>
        </w:tc>
        <w:tc>
          <w:tcPr>
            <w:tcW w:w="1420" w:type="dxa"/>
            <w:vAlign w:val="bottom"/>
            <w:shd w:val="clear" w:color="auto" w:fill="D9D9D9"/>
          </w:tcPr>
          <w:p>
            <w:pPr>
              <w:spacing w:after="0" w:line="197" w:lineRule="exact"/>
              <w:rPr>
                <w:sz w:val="20"/>
                <w:szCs w:val="20"/>
                <w:color w:val="auto"/>
              </w:rPr>
            </w:pPr>
            <w:r>
              <w:rPr>
                <w:rFonts w:ascii="Arial" w:cs="Arial" w:eastAsia="Arial" w:hAnsi="Arial"/>
                <w:sz w:val="14"/>
                <w:szCs w:val="14"/>
                <w:color w:val="auto"/>
              </w:rPr>
              <w:t>Stock Options</w:t>
            </w:r>
            <w:r>
              <w:rPr>
                <w:rFonts w:ascii="Arial" w:cs="Arial" w:eastAsia="Arial" w:hAnsi="Arial"/>
                <w:sz w:val="22"/>
                <w:szCs w:val="22"/>
                <w:color w:val="auto"/>
                <w:vertAlign w:val="superscript"/>
              </w:rPr>
              <w:t>(3)</w:t>
            </w:r>
          </w:p>
        </w:tc>
        <w:tc>
          <w:tcPr>
            <w:tcW w:w="1320" w:type="dxa"/>
            <w:vAlign w:val="bottom"/>
            <w:shd w:val="clear" w:color="auto" w:fill="D9D9D9"/>
          </w:tcPr>
          <w:p>
            <w:pPr>
              <w:jc w:val="center"/>
              <w:ind w:left="41"/>
              <w:spacing w:after="0"/>
              <w:rPr>
                <w:sz w:val="20"/>
                <w:szCs w:val="20"/>
                <w:color w:val="auto"/>
              </w:rPr>
            </w:pPr>
            <w:r>
              <w:rPr>
                <w:rFonts w:ascii="Arial" w:cs="Arial" w:eastAsia="Arial" w:hAnsi="Arial"/>
                <w:sz w:val="16"/>
                <w:szCs w:val="16"/>
                <w:color w:val="auto"/>
                <w:w w:val="99"/>
              </w:rPr>
              <w:t>50%</w:t>
            </w:r>
          </w:p>
        </w:tc>
        <w:tc>
          <w:tcPr>
            <w:tcW w:w="17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734,214</w:t>
            </w:r>
          </w:p>
        </w:tc>
        <w:tc>
          <w:tcPr>
            <w:tcW w:w="120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4 years</w:t>
            </w:r>
          </w:p>
        </w:tc>
        <w:tc>
          <w:tcPr>
            <w:tcW w:w="34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$26.17</w:t>
            </w:r>
          </w:p>
        </w:tc>
      </w:tr>
      <w:tr>
        <w:trPr>
          <w:trHeight w:val="204"/>
        </w:trPr>
        <w:tc>
          <w:tcPr>
            <w:tcW w:w="21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420" w:type="dxa"/>
            <w:vAlign w:val="bottom"/>
            <w:shd w:val="clear" w:color="auto" w:fill="D8D8D8"/>
          </w:tcPr>
          <w:p>
            <w:pPr>
              <w:spacing w:after="0" w:line="204" w:lineRule="exact"/>
              <w:rPr>
                <w:sz w:val="20"/>
                <w:szCs w:val="20"/>
                <w:color w:val="auto"/>
              </w:rPr>
            </w:pPr>
            <w:r>
              <w:rPr>
                <w:rFonts w:ascii="Arial" w:cs="Arial" w:eastAsia="Arial" w:hAnsi="Arial"/>
                <w:sz w:val="14"/>
                <w:szCs w:val="14"/>
                <w:color w:val="auto"/>
              </w:rPr>
              <w:t>PSUs</w:t>
            </w:r>
            <w:r>
              <w:rPr>
                <w:rFonts w:ascii="Arial" w:cs="Arial" w:eastAsia="Arial" w:hAnsi="Arial"/>
                <w:sz w:val="23"/>
                <w:szCs w:val="23"/>
                <w:color w:val="auto"/>
                <w:vertAlign w:val="superscript"/>
              </w:rPr>
              <w:t>(3)</w:t>
            </w:r>
          </w:p>
        </w:tc>
        <w:tc>
          <w:tcPr>
            <w:tcW w:w="1320" w:type="dxa"/>
            <w:vAlign w:val="bottom"/>
            <w:shd w:val="clear" w:color="auto" w:fill="D8D8D8"/>
          </w:tcPr>
          <w:p>
            <w:pPr>
              <w:jc w:val="center"/>
              <w:ind w:left="41"/>
              <w:spacing w:after="0"/>
              <w:rPr>
                <w:sz w:val="20"/>
                <w:szCs w:val="20"/>
                <w:color w:val="auto"/>
              </w:rPr>
            </w:pPr>
            <w:r>
              <w:rPr>
                <w:rFonts w:ascii="Arial" w:cs="Arial" w:eastAsia="Arial" w:hAnsi="Arial"/>
                <w:sz w:val="16"/>
                <w:szCs w:val="16"/>
                <w:color w:val="auto"/>
                <w:w w:val="99"/>
              </w:rPr>
              <w:t>50%</w:t>
            </w:r>
          </w:p>
        </w:tc>
        <w:tc>
          <w:tcPr>
            <w:tcW w:w="176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188,453</w:t>
            </w:r>
          </w:p>
        </w:tc>
        <w:tc>
          <w:tcPr>
            <w:tcW w:w="120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9"/>
              </w:rPr>
              <w:t>3 years</w:t>
            </w:r>
          </w:p>
        </w:tc>
        <w:tc>
          <w:tcPr>
            <w:tcW w:w="3400" w:type="dxa"/>
            <w:vAlign w:val="bottom"/>
            <w:shd w:val="clear" w:color="auto" w:fill="D8D8D8"/>
          </w:tcPr>
          <w:p>
            <w:pPr>
              <w:ind w:left="120"/>
              <w:spacing w:after="0"/>
              <w:rPr>
                <w:sz w:val="20"/>
                <w:szCs w:val="20"/>
                <w:color w:val="auto"/>
              </w:rPr>
            </w:pPr>
            <w:r>
              <w:rPr>
                <w:rFonts w:ascii="Arial" w:cs="Arial" w:eastAsia="Arial" w:hAnsi="Arial"/>
                <w:sz w:val="16"/>
                <w:szCs w:val="16"/>
                <w:color w:val="auto"/>
              </w:rPr>
              <w:t>EPS performance (75%) and TSR</w:t>
            </w:r>
          </w:p>
        </w:tc>
      </w:tr>
      <w:tr>
        <w:trPr>
          <w:trHeight w:val="189"/>
        </w:trPr>
        <w:tc>
          <w:tcPr>
            <w:tcW w:w="2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1420" w:type="dxa"/>
            <w:vAlign w:val="bottom"/>
            <w:shd w:val="clear" w:color="auto" w:fill="D8D8D8"/>
          </w:tcPr>
          <w:p>
            <w:pPr>
              <w:spacing w:after="0"/>
              <w:rPr>
                <w:sz w:val="16"/>
                <w:szCs w:val="16"/>
                <w:color w:val="auto"/>
              </w:rPr>
            </w:pPr>
          </w:p>
        </w:tc>
        <w:tc>
          <w:tcPr>
            <w:tcW w:w="1320" w:type="dxa"/>
            <w:vAlign w:val="bottom"/>
            <w:shd w:val="clear" w:color="auto" w:fill="D8D8D8"/>
          </w:tcPr>
          <w:p>
            <w:pPr>
              <w:spacing w:after="0"/>
              <w:rPr>
                <w:sz w:val="16"/>
                <w:szCs w:val="16"/>
                <w:color w:val="auto"/>
              </w:rPr>
            </w:pPr>
          </w:p>
        </w:tc>
        <w:tc>
          <w:tcPr>
            <w:tcW w:w="176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3400" w:type="dxa"/>
            <w:vAlign w:val="bottom"/>
            <w:shd w:val="clear" w:color="auto" w:fill="D8D8D8"/>
          </w:tcPr>
          <w:p>
            <w:pPr>
              <w:ind w:left="120"/>
              <w:spacing w:after="0"/>
              <w:rPr>
                <w:sz w:val="20"/>
                <w:szCs w:val="20"/>
                <w:color w:val="auto"/>
              </w:rPr>
            </w:pPr>
            <w:r>
              <w:rPr>
                <w:rFonts w:ascii="Arial" w:cs="Arial" w:eastAsia="Arial" w:hAnsi="Arial"/>
                <w:sz w:val="16"/>
                <w:szCs w:val="16"/>
                <w:color w:val="auto"/>
              </w:rPr>
              <w:t>performance relative to S&amp;P 500 companies</w:t>
            </w:r>
          </w:p>
        </w:tc>
      </w:tr>
      <w:tr>
        <w:trPr>
          <w:trHeight w:val="187"/>
        </w:trPr>
        <w:tc>
          <w:tcPr>
            <w:tcW w:w="2160" w:type="dxa"/>
            <w:vAlign w:val="bottom"/>
            <w:tcBorders>
              <w:bottom w:val="single" w:sz="8" w:color="auto"/>
            </w:tcBorders>
            <w:shd w:val="clear" w:color="auto" w:fill="D8D8D8"/>
          </w:tcPr>
          <w:p>
            <w:pPr>
              <w:spacing w:after="0"/>
              <w:rPr>
                <w:sz w:val="16"/>
                <w:szCs w:val="16"/>
                <w:color w:val="auto"/>
              </w:rPr>
            </w:pPr>
          </w:p>
        </w:tc>
        <w:tc>
          <w:tcPr>
            <w:tcW w:w="220" w:type="dxa"/>
            <w:vAlign w:val="bottom"/>
            <w:tcBorders>
              <w:bottom w:val="single" w:sz="8" w:color="auto"/>
            </w:tcBorders>
            <w:shd w:val="clear" w:color="auto" w:fill="D8D8D8"/>
          </w:tcPr>
          <w:p>
            <w:pPr>
              <w:spacing w:after="0"/>
              <w:rPr>
                <w:sz w:val="16"/>
                <w:szCs w:val="16"/>
                <w:color w:val="auto"/>
              </w:rPr>
            </w:pPr>
          </w:p>
        </w:tc>
        <w:tc>
          <w:tcPr>
            <w:tcW w:w="1420" w:type="dxa"/>
            <w:vAlign w:val="bottom"/>
            <w:tcBorders>
              <w:bottom w:val="single" w:sz="8" w:color="auto"/>
            </w:tcBorders>
            <w:shd w:val="clear" w:color="auto" w:fill="D8D8D8"/>
          </w:tcPr>
          <w:p>
            <w:pPr>
              <w:spacing w:after="0"/>
              <w:rPr>
                <w:sz w:val="16"/>
                <w:szCs w:val="16"/>
                <w:color w:val="auto"/>
              </w:rPr>
            </w:pPr>
          </w:p>
        </w:tc>
        <w:tc>
          <w:tcPr>
            <w:tcW w:w="1320" w:type="dxa"/>
            <w:vAlign w:val="bottom"/>
            <w:tcBorders>
              <w:bottom w:val="single" w:sz="8" w:color="auto"/>
            </w:tcBorders>
            <w:shd w:val="clear" w:color="auto" w:fill="D8D8D8"/>
          </w:tcPr>
          <w:p>
            <w:pPr>
              <w:spacing w:after="0"/>
              <w:rPr>
                <w:sz w:val="16"/>
                <w:szCs w:val="16"/>
                <w:color w:val="auto"/>
              </w:rPr>
            </w:pPr>
          </w:p>
        </w:tc>
        <w:tc>
          <w:tcPr>
            <w:tcW w:w="1760" w:type="dxa"/>
            <w:vAlign w:val="bottom"/>
            <w:tcBorders>
              <w:bottom w:val="single" w:sz="8" w:color="auto"/>
            </w:tcBorders>
            <w:shd w:val="clear" w:color="auto" w:fill="D8D8D8"/>
          </w:tcPr>
          <w:p>
            <w:pPr>
              <w:spacing w:after="0"/>
              <w:rPr>
                <w:sz w:val="16"/>
                <w:szCs w:val="16"/>
                <w:color w:val="auto"/>
              </w:rPr>
            </w:pPr>
          </w:p>
        </w:tc>
        <w:tc>
          <w:tcPr>
            <w:tcW w:w="1200" w:type="dxa"/>
            <w:vAlign w:val="bottom"/>
            <w:tcBorders>
              <w:bottom w:val="single" w:sz="8" w:color="auto"/>
            </w:tcBorders>
            <w:shd w:val="clear" w:color="auto" w:fill="D8D8D8"/>
          </w:tcPr>
          <w:p>
            <w:pPr>
              <w:spacing w:after="0"/>
              <w:rPr>
                <w:sz w:val="16"/>
                <w:szCs w:val="16"/>
                <w:color w:val="auto"/>
              </w:rPr>
            </w:pPr>
          </w:p>
        </w:tc>
        <w:tc>
          <w:tcPr>
            <w:tcW w:w="340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6"/>
                <w:szCs w:val="16"/>
                <w:color w:val="auto"/>
              </w:rPr>
              <w:t>(25%)</w:t>
            </w:r>
          </w:p>
        </w:tc>
      </w:t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Wade C. Davis</w:t>
            </w:r>
          </w:p>
        </w:tc>
        <w:tc>
          <w:tcPr>
            <w:tcW w:w="220" w:type="dxa"/>
            <w:vAlign w:val="bottom"/>
          </w:tcPr>
          <w:p>
            <w:pPr>
              <w:spacing w:after="0"/>
              <w:rPr>
                <w:sz w:val="17"/>
                <w:szCs w:val="17"/>
                <w:color w:val="auto"/>
              </w:rPr>
            </w:pPr>
          </w:p>
        </w:tc>
        <w:tc>
          <w:tcPr>
            <w:tcW w:w="1420" w:type="dxa"/>
            <w:vAlign w:val="bottom"/>
          </w:tcPr>
          <w:p>
            <w:pPr>
              <w:spacing w:after="0" w:line="207" w:lineRule="exact"/>
              <w:rPr>
                <w:sz w:val="20"/>
                <w:szCs w:val="20"/>
                <w:color w:val="auto"/>
              </w:rPr>
            </w:pPr>
            <w:r>
              <w:rPr>
                <w:rFonts w:ascii="Arial" w:cs="Arial" w:eastAsia="Arial" w:hAnsi="Arial"/>
                <w:sz w:val="14"/>
                <w:szCs w:val="14"/>
                <w:color w:val="auto"/>
              </w:rPr>
              <w:t>Stock Options</w:t>
            </w:r>
            <w:r>
              <w:rPr>
                <w:rFonts w:ascii="Arial" w:cs="Arial" w:eastAsia="Arial" w:hAnsi="Arial"/>
                <w:sz w:val="23"/>
                <w:szCs w:val="23"/>
                <w:color w:val="auto"/>
                <w:vertAlign w:val="superscript"/>
              </w:rPr>
              <w:t>(4)</w:t>
            </w:r>
          </w:p>
        </w:tc>
        <w:tc>
          <w:tcPr>
            <w:tcW w:w="1320" w:type="dxa"/>
            <w:vAlign w:val="bottom"/>
          </w:tcPr>
          <w:p>
            <w:pPr>
              <w:jc w:val="center"/>
              <w:ind w:left="41"/>
              <w:spacing w:after="0"/>
              <w:rPr>
                <w:sz w:val="20"/>
                <w:szCs w:val="20"/>
                <w:color w:val="auto"/>
              </w:rPr>
            </w:pPr>
            <w:r>
              <w:rPr>
                <w:rFonts w:ascii="Arial" w:cs="Arial" w:eastAsia="Arial" w:hAnsi="Arial"/>
                <w:sz w:val="16"/>
                <w:szCs w:val="16"/>
                <w:color w:val="auto"/>
                <w:w w:val="99"/>
              </w:rPr>
              <w:t>30%</w:t>
            </w:r>
          </w:p>
        </w:tc>
        <w:tc>
          <w:tcPr>
            <w:tcW w:w="1760" w:type="dxa"/>
            <w:vAlign w:val="bottom"/>
          </w:tcPr>
          <w:p>
            <w:pPr>
              <w:jc w:val="center"/>
              <w:spacing w:after="0"/>
              <w:rPr>
                <w:sz w:val="20"/>
                <w:szCs w:val="20"/>
                <w:color w:val="auto"/>
              </w:rPr>
            </w:pPr>
            <w:r>
              <w:rPr>
                <w:rFonts w:ascii="Arial" w:cs="Arial" w:eastAsia="Arial" w:hAnsi="Arial"/>
                <w:sz w:val="16"/>
                <w:szCs w:val="16"/>
                <w:color w:val="auto"/>
              </w:rPr>
              <w:t>68,528</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4 years</w:t>
            </w:r>
          </w:p>
        </w:tc>
        <w:tc>
          <w:tcPr>
            <w:tcW w:w="3400" w:type="dxa"/>
            <w:vAlign w:val="bottom"/>
          </w:tcPr>
          <w:p>
            <w:pPr>
              <w:ind w:left="120"/>
              <w:spacing w:after="0"/>
              <w:rPr>
                <w:sz w:val="20"/>
                <w:szCs w:val="20"/>
                <w:color w:val="auto"/>
              </w:rPr>
            </w:pPr>
            <w:r>
              <w:rPr>
                <w:rFonts w:ascii="Arial" w:cs="Arial" w:eastAsia="Arial" w:hAnsi="Arial"/>
                <w:sz w:val="16"/>
                <w:szCs w:val="16"/>
                <w:color w:val="auto"/>
              </w:rPr>
              <w:t>$33.42</w:t>
            </w:r>
          </w:p>
        </w:tc>
      </w:tr>
      <w:tr>
        <w:trPr>
          <w:trHeight w:val="203"/>
        </w:trPr>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4"/>
                <w:szCs w:val="14"/>
                <w:color w:val="auto"/>
              </w:rPr>
              <w:t>RSUs</w:t>
            </w:r>
            <w:r>
              <w:rPr>
                <w:rFonts w:ascii="Arial" w:cs="Arial" w:eastAsia="Arial" w:hAnsi="Arial"/>
                <w:sz w:val="23"/>
                <w:szCs w:val="23"/>
                <w:color w:val="auto"/>
                <w:vertAlign w:val="superscript"/>
              </w:rPr>
              <w:t>(4)</w:t>
            </w:r>
          </w:p>
        </w:tc>
        <w:tc>
          <w:tcPr>
            <w:tcW w:w="1320" w:type="dxa"/>
            <w:vAlign w:val="bottom"/>
          </w:tcPr>
          <w:p>
            <w:pPr>
              <w:jc w:val="center"/>
              <w:ind w:left="41"/>
              <w:spacing w:after="0"/>
              <w:rPr>
                <w:sz w:val="20"/>
                <w:szCs w:val="20"/>
                <w:color w:val="auto"/>
              </w:rPr>
            </w:pPr>
            <w:r>
              <w:rPr>
                <w:rFonts w:ascii="Arial" w:cs="Arial" w:eastAsia="Arial" w:hAnsi="Arial"/>
                <w:sz w:val="16"/>
                <w:szCs w:val="16"/>
                <w:color w:val="auto"/>
                <w:w w:val="99"/>
              </w:rPr>
              <w:t>35%</w:t>
            </w:r>
          </w:p>
        </w:tc>
        <w:tc>
          <w:tcPr>
            <w:tcW w:w="1760" w:type="dxa"/>
            <w:vAlign w:val="bottom"/>
          </w:tcPr>
          <w:p>
            <w:pPr>
              <w:jc w:val="center"/>
              <w:spacing w:after="0"/>
              <w:rPr>
                <w:sz w:val="20"/>
                <w:szCs w:val="20"/>
                <w:color w:val="auto"/>
              </w:rPr>
            </w:pPr>
            <w:r>
              <w:rPr>
                <w:rFonts w:ascii="Arial" w:cs="Arial" w:eastAsia="Arial" w:hAnsi="Arial"/>
                <w:sz w:val="16"/>
                <w:szCs w:val="16"/>
                <w:color w:val="auto"/>
              </w:rPr>
              <w:t>23,564</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4 years</w:t>
            </w:r>
          </w:p>
        </w:tc>
        <w:tc>
          <w:tcPr>
            <w:tcW w:w="3400" w:type="dxa"/>
            <w:vAlign w:val="bottom"/>
          </w:tcPr>
          <w:p>
            <w:pPr>
              <w:ind w:left="120"/>
              <w:spacing w:after="0"/>
              <w:rPr>
                <w:sz w:val="20"/>
                <w:szCs w:val="20"/>
                <w:color w:val="auto"/>
              </w:rPr>
            </w:pPr>
            <w:r>
              <w:rPr>
                <w:rFonts w:ascii="Arial" w:cs="Arial" w:eastAsia="Arial" w:hAnsi="Arial"/>
                <w:sz w:val="16"/>
                <w:szCs w:val="16"/>
                <w:color w:val="auto"/>
              </w:rPr>
              <w:t>Time-vesting only</w:t>
            </w:r>
          </w:p>
        </w:tc>
      </w:tr>
      <w:tr>
        <w:trPr>
          <w:trHeight w:val="194"/>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line="194" w:lineRule="exact"/>
              <w:rPr>
                <w:sz w:val="20"/>
                <w:szCs w:val="20"/>
                <w:color w:val="auto"/>
              </w:rPr>
            </w:pPr>
            <w:r>
              <w:rPr>
                <w:rFonts w:ascii="Arial" w:cs="Arial" w:eastAsia="Arial" w:hAnsi="Arial"/>
                <w:sz w:val="14"/>
                <w:szCs w:val="14"/>
                <w:color w:val="auto"/>
              </w:rPr>
              <w:t>PSUs</w:t>
            </w:r>
            <w:r>
              <w:rPr>
                <w:rFonts w:ascii="Arial" w:cs="Arial" w:eastAsia="Arial" w:hAnsi="Arial"/>
                <w:sz w:val="22"/>
                <w:szCs w:val="22"/>
                <w:color w:val="auto"/>
                <w:vertAlign w:val="superscript"/>
              </w:rPr>
              <w:t>(3)</w:t>
            </w:r>
          </w:p>
        </w:tc>
        <w:tc>
          <w:tcPr>
            <w:tcW w:w="1320" w:type="dxa"/>
            <w:vAlign w:val="bottom"/>
          </w:tcPr>
          <w:p>
            <w:pPr>
              <w:jc w:val="center"/>
              <w:ind w:left="41"/>
              <w:spacing w:after="0"/>
              <w:rPr>
                <w:sz w:val="20"/>
                <w:szCs w:val="20"/>
                <w:color w:val="auto"/>
              </w:rPr>
            </w:pPr>
            <w:r>
              <w:rPr>
                <w:rFonts w:ascii="Arial" w:cs="Arial" w:eastAsia="Arial" w:hAnsi="Arial"/>
                <w:sz w:val="16"/>
                <w:szCs w:val="16"/>
                <w:color w:val="auto"/>
                <w:w w:val="99"/>
              </w:rPr>
              <w:t>35%</w:t>
            </w:r>
          </w:p>
        </w:tc>
        <w:tc>
          <w:tcPr>
            <w:tcW w:w="1760" w:type="dxa"/>
            <w:vAlign w:val="bottom"/>
          </w:tcPr>
          <w:p>
            <w:pPr>
              <w:jc w:val="center"/>
              <w:spacing w:after="0"/>
              <w:rPr>
                <w:sz w:val="20"/>
                <w:szCs w:val="20"/>
                <w:color w:val="auto"/>
              </w:rPr>
            </w:pPr>
            <w:r>
              <w:rPr>
                <w:rFonts w:ascii="Arial" w:cs="Arial" w:eastAsia="Arial" w:hAnsi="Arial"/>
                <w:sz w:val="16"/>
                <w:szCs w:val="16"/>
                <w:color w:val="auto"/>
              </w:rPr>
              <w:t>29,682</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3 years</w:t>
            </w:r>
          </w:p>
        </w:tc>
        <w:tc>
          <w:tcPr>
            <w:tcW w:w="3400" w:type="dxa"/>
            <w:vAlign w:val="bottom"/>
          </w:tcPr>
          <w:p>
            <w:pPr>
              <w:ind w:left="120"/>
              <w:spacing w:after="0"/>
              <w:rPr>
                <w:sz w:val="20"/>
                <w:szCs w:val="20"/>
                <w:color w:val="auto"/>
              </w:rPr>
            </w:pPr>
            <w:r>
              <w:rPr>
                <w:rFonts w:ascii="Arial" w:cs="Arial" w:eastAsia="Arial" w:hAnsi="Arial"/>
                <w:sz w:val="16"/>
                <w:szCs w:val="16"/>
                <w:color w:val="auto"/>
              </w:rPr>
              <w:t>EPS performance (75%) and TSR</w:t>
            </w:r>
          </w:p>
        </w:tc>
      </w:tr>
      <w:tr>
        <w:trPr>
          <w:trHeight w:val="189"/>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0" w:type="dxa"/>
            <w:vAlign w:val="bottom"/>
          </w:tcPr>
          <w:p>
            <w:pPr>
              <w:ind w:left="120"/>
              <w:spacing w:after="0"/>
              <w:rPr>
                <w:sz w:val="20"/>
                <w:szCs w:val="20"/>
                <w:color w:val="auto"/>
              </w:rPr>
            </w:pPr>
            <w:r>
              <w:rPr>
                <w:rFonts w:ascii="Arial" w:cs="Arial" w:eastAsia="Arial" w:hAnsi="Arial"/>
                <w:sz w:val="16"/>
                <w:szCs w:val="16"/>
                <w:color w:val="auto"/>
              </w:rPr>
              <w:t>performance relative to S&amp;P 500 companies</w:t>
            </w:r>
          </w:p>
        </w:tc>
      </w:tr>
      <w:tr>
        <w:trPr>
          <w:trHeight w:val="187"/>
        </w:trPr>
        <w:tc>
          <w:tcPr>
            <w:tcW w:w="2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(25%)</w:t>
            </w:r>
          </w:p>
        </w:tc>
      </w:tr>
      <w:tr>
        <w:trPr>
          <w:trHeight w:val="196"/>
        </w:trPr>
        <w:tc>
          <w:tcPr>
            <w:tcW w:w="2160" w:type="dxa"/>
            <w:vAlign w:val="bottom"/>
            <w:shd w:val="clear" w:color="auto" w:fill="D9D9D9"/>
          </w:tcPr>
          <w:p>
            <w:pPr>
              <w:spacing w:after="0"/>
              <w:rPr>
                <w:sz w:val="20"/>
                <w:szCs w:val="20"/>
                <w:color w:val="auto"/>
              </w:rPr>
            </w:pPr>
            <w:r>
              <w:rPr>
                <w:rFonts w:ascii="Arial" w:cs="Arial" w:eastAsia="Arial" w:hAnsi="Arial"/>
                <w:sz w:val="16"/>
                <w:szCs w:val="16"/>
                <w:color w:val="auto"/>
              </w:rPr>
              <w:t>Christa A. D'Alimonte</w:t>
            </w:r>
          </w:p>
        </w:tc>
        <w:tc>
          <w:tcPr>
            <w:tcW w:w="22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line="197" w:lineRule="exact"/>
              <w:rPr>
                <w:sz w:val="20"/>
                <w:szCs w:val="20"/>
                <w:color w:val="auto"/>
              </w:rPr>
            </w:pPr>
            <w:r>
              <w:rPr>
                <w:rFonts w:ascii="Arial" w:cs="Arial" w:eastAsia="Arial" w:hAnsi="Arial"/>
                <w:sz w:val="14"/>
                <w:szCs w:val="14"/>
                <w:color w:val="auto"/>
              </w:rPr>
              <w:t>Stock Options</w:t>
            </w:r>
            <w:r>
              <w:rPr>
                <w:rFonts w:ascii="Arial" w:cs="Arial" w:eastAsia="Arial" w:hAnsi="Arial"/>
                <w:sz w:val="22"/>
                <w:szCs w:val="22"/>
                <w:color w:val="auto"/>
                <w:vertAlign w:val="superscript"/>
              </w:rPr>
              <w:t>(4)</w:t>
            </w:r>
          </w:p>
        </w:tc>
        <w:tc>
          <w:tcPr>
            <w:tcW w:w="1320" w:type="dxa"/>
            <w:vAlign w:val="bottom"/>
            <w:shd w:val="clear" w:color="auto" w:fill="D9D9D9"/>
          </w:tcPr>
          <w:p>
            <w:pPr>
              <w:jc w:val="center"/>
              <w:ind w:left="41"/>
              <w:spacing w:after="0"/>
              <w:rPr>
                <w:sz w:val="20"/>
                <w:szCs w:val="20"/>
                <w:color w:val="auto"/>
              </w:rPr>
            </w:pPr>
            <w:r>
              <w:rPr>
                <w:rFonts w:ascii="Arial" w:cs="Arial" w:eastAsia="Arial" w:hAnsi="Arial"/>
                <w:sz w:val="16"/>
                <w:szCs w:val="16"/>
                <w:color w:val="auto"/>
                <w:w w:val="99"/>
              </w:rPr>
              <w:t>30%</w:t>
            </w:r>
          </w:p>
        </w:tc>
        <w:tc>
          <w:tcPr>
            <w:tcW w:w="17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38,423</w:t>
            </w:r>
          </w:p>
        </w:tc>
        <w:tc>
          <w:tcPr>
            <w:tcW w:w="120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4 years</w:t>
            </w:r>
          </w:p>
        </w:tc>
        <w:tc>
          <w:tcPr>
            <w:tcW w:w="34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$33.42</w:t>
            </w:r>
          </w:p>
        </w:tc>
      </w:tr>
      <w:tr>
        <w:trPr>
          <w:trHeight w:val="203"/>
        </w:trPr>
        <w:tc>
          <w:tcPr>
            <w:tcW w:w="21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line="202" w:lineRule="exact"/>
              <w:rPr>
                <w:sz w:val="20"/>
                <w:szCs w:val="20"/>
                <w:color w:val="auto"/>
              </w:rPr>
            </w:pPr>
            <w:r>
              <w:rPr>
                <w:rFonts w:ascii="Arial" w:cs="Arial" w:eastAsia="Arial" w:hAnsi="Arial"/>
                <w:sz w:val="14"/>
                <w:szCs w:val="14"/>
                <w:color w:val="auto"/>
              </w:rPr>
              <w:t>RSUs</w:t>
            </w:r>
            <w:r>
              <w:rPr>
                <w:rFonts w:ascii="Arial" w:cs="Arial" w:eastAsia="Arial" w:hAnsi="Arial"/>
                <w:sz w:val="23"/>
                <w:szCs w:val="23"/>
                <w:color w:val="auto"/>
                <w:vertAlign w:val="superscript"/>
              </w:rPr>
              <w:t>(4)</w:t>
            </w:r>
          </w:p>
        </w:tc>
        <w:tc>
          <w:tcPr>
            <w:tcW w:w="1320" w:type="dxa"/>
            <w:vAlign w:val="bottom"/>
            <w:shd w:val="clear" w:color="auto" w:fill="D9D9D9"/>
          </w:tcPr>
          <w:p>
            <w:pPr>
              <w:jc w:val="center"/>
              <w:ind w:left="41"/>
              <w:spacing w:after="0"/>
              <w:rPr>
                <w:sz w:val="20"/>
                <w:szCs w:val="20"/>
                <w:color w:val="auto"/>
              </w:rPr>
            </w:pPr>
            <w:r>
              <w:rPr>
                <w:rFonts w:ascii="Arial" w:cs="Arial" w:eastAsia="Arial" w:hAnsi="Arial"/>
                <w:sz w:val="16"/>
                <w:szCs w:val="16"/>
                <w:color w:val="auto"/>
                <w:w w:val="99"/>
              </w:rPr>
              <w:t>35%</w:t>
            </w:r>
          </w:p>
        </w:tc>
        <w:tc>
          <w:tcPr>
            <w:tcW w:w="17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13,212</w:t>
            </w:r>
          </w:p>
        </w:tc>
        <w:tc>
          <w:tcPr>
            <w:tcW w:w="120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4 years</w:t>
            </w:r>
          </w:p>
        </w:tc>
        <w:tc>
          <w:tcPr>
            <w:tcW w:w="34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Time-vesting only</w:t>
            </w:r>
          </w:p>
        </w:tc>
      </w:tr>
      <w:tr>
        <w:trPr>
          <w:trHeight w:val="204"/>
        </w:trPr>
        <w:tc>
          <w:tcPr>
            <w:tcW w:w="21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line="204" w:lineRule="exact"/>
              <w:rPr>
                <w:sz w:val="20"/>
                <w:szCs w:val="20"/>
                <w:color w:val="auto"/>
              </w:rPr>
            </w:pPr>
            <w:r>
              <w:rPr>
                <w:rFonts w:ascii="Arial" w:cs="Arial" w:eastAsia="Arial" w:hAnsi="Arial"/>
                <w:sz w:val="14"/>
                <w:szCs w:val="14"/>
                <w:color w:val="auto"/>
              </w:rPr>
              <w:t>PSUs</w:t>
            </w:r>
            <w:r>
              <w:rPr>
                <w:rFonts w:ascii="Arial" w:cs="Arial" w:eastAsia="Arial" w:hAnsi="Arial"/>
                <w:sz w:val="23"/>
                <w:szCs w:val="23"/>
                <w:color w:val="auto"/>
                <w:vertAlign w:val="superscript"/>
              </w:rPr>
              <w:t>(3)</w:t>
            </w:r>
          </w:p>
        </w:tc>
        <w:tc>
          <w:tcPr>
            <w:tcW w:w="1320" w:type="dxa"/>
            <w:vAlign w:val="bottom"/>
            <w:shd w:val="clear" w:color="auto" w:fill="D9D9D9"/>
          </w:tcPr>
          <w:p>
            <w:pPr>
              <w:jc w:val="center"/>
              <w:ind w:left="41"/>
              <w:spacing w:after="0"/>
              <w:rPr>
                <w:sz w:val="20"/>
                <w:szCs w:val="20"/>
                <w:color w:val="auto"/>
              </w:rPr>
            </w:pPr>
            <w:r>
              <w:rPr>
                <w:rFonts w:ascii="Arial" w:cs="Arial" w:eastAsia="Arial" w:hAnsi="Arial"/>
                <w:sz w:val="16"/>
                <w:szCs w:val="16"/>
                <w:color w:val="auto"/>
                <w:w w:val="99"/>
              </w:rPr>
              <w:t>35%</w:t>
            </w:r>
          </w:p>
        </w:tc>
        <w:tc>
          <w:tcPr>
            <w:tcW w:w="17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10,554</w:t>
            </w:r>
          </w:p>
        </w:tc>
        <w:tc>
          <w:tcPr>
            <w:tcW w:w="120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3 years</w:t>
            </w:r>
          </w:p>
        </w:tc>
        <w:tc>
          <w:tcPr>
            <w:tcW w:w="34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EPS performance (75%) and TSR</w:t>
            </w:r>
          </w:p>
        </w:tc>
      </w:tr>
      <w:tr>
        <w:trPr>
          <w:trHeight w:val="189"/>
        </w:trPr>
        <w:tc>
          <w:tcPr>
            <w:tcW w:w="216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1320" w:type="dxa"/>
            <w:vAlign w:val="bottom"/>
            <w:shd w:val="clear" w:color="auto" w:fill="D9D9D9"/>
          </w:tcPr>
          <w:p>
            <w:pPr>
              <w:spacing w:after="0"/>
              <w:rPr>
                <w:sz w:val="16"/>
                <w:szCs w:val="16"/>
                <w:color w:val="auto"/>
              </w:rPr>
            </w:pPr>
          </w:p>
        </w:tc>
        <w:tc>
          <w:tcPr>
            <w:tcW w:w="176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34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performance relative to S&amp;P 500 companies</w:t>
            </w:r>
          </w:p>
        </w:tc>
      </w:tr>
      <w:tr>
        <w:trPr>
          <w:trHeight w:val="187"/>
        </w:trPr>
        <w:tc>
          <w:tcPr>
            <w:tcW w:w="2160" w:type="dxa"/>
            <w:vAlign w:val="bottom"/>
            <w:tcBorders>
              <w:bottom w:val="single" w:sz="8" w:color="auto"/>
            </w:tcBorders>
            <w:shd w:val="clear" w:color="auto" w:fill="D9D9D9"/>
          </w:tcPr>
          <w:p>
            <w:pPr>
              <w:spacing w:after="0"/>
              <w:rPr>
                <w:sz w:val="16"/>
                <w:szCs w:val="16"/>
                <w:color w:val="auto"/>
              </w:rPr>
            </w:pPr>
          </w:p>
        </w:tc>
        <w:tc>
          <w:tcPr>
            <w:tcW w:w="220" w:type="dxa"/>
            <w:vAlign w:val="bottom"/>
            <w:tcBorders>
              <w:bottom w:val="single" w:sz="8" w:color="auto"/>
            </w:tcBorders>
            <w:shd w:val="clear" w:color="auto" w:fill="D9D9D9"/>
          </w:tcPr>
          <w:p>
            <w:pPr>
              <w:spacing w:after="0"/>
              <w:rPr>
                <w:sz w:val="16"/>
                <w:szCs w:val="16"/>
                <w:color w:val="auto"/>
              </w:rPr>
            </w:pPr>
          </w:p>
        </w:tc>
        <w:tc>
          <w:tcPr>
            <w:tcW w:w="1420" w:type="dxa"/>
            <w:vAlign w:val="bottom"/>
            <w:tcBorders>
              <w:bottom w:val="single" w:sz="8" w:color="auto"/>
            </w:tcBorders>
            <w:shd w:val="clear" w:color="auto" w:fill="D9D9D9"/>
          </w:tcPr>
          <w:p>
            <w:pPr>
              <w:spacing w:after="0"/>
              <w:rPr>
                <w:sz w:val="16"/>
                <w:szCs w:val="16"/>
                <w:color w:val="auto"/>
              </w:rPr>
            </w:pPr>
          </w:p>
        </w:tc>
        <w:tc>
          <w:tcPr>
            <w:tcW w:w="1320" w:type="dxa"/>
            <w:vAlign w:val="bottom"/>
            <w:tcBorders>
              <w:bottom w:val="single" w:sz="8" w:color="auto"/>
            </w:tcBorders>
            <w:shd w:val="clear" w:color="auto" w:fill="D9D9D9"/>
          </w:tcPr>
          <w:p>
            <w:pPr>
              <w:spacing w:after="0"/>
              <w:rPr>
                <w:sz w:val="16"/>
                <w:szCs w:val="16"/>
                <w:color w:val="auto"/>
              </w:rPr>
            </w:pPr>
          </w:p>
        </w:tc>
        <w:tc>
          <w:tcPr>
            <w:tcW w:w="1760" w:type="dxa"/>
            <w:vAlign w:val="bottom"/>
            <w:tcBorders>
              <w:bottom w:val="single" w:sz="8" w:color="auto"/>
            </w:tcBorders>
            <w:shd w:val="clear" w:color="auto" w:fill="D9D9D9"/>
          </w:tcPr>
          <w:p>
            <w:pPr>
              <w:spacing w:after="0"/>
              <w:rPr>
                <w:sz w:val="16"/>
                <w:szCs w:val="16"/>
                <w:color w:val="auto"/>
              </w:rPr>
            </w:pPr>
          </w:p>
        </w:tc>
        <w:tc>
          <w:tcPr>
            <w:tcW w:w="1200" w:type="dxa"/>
            <w:vAlign w:val="bottom"/>
            <w:tcBorders>
              <w:bottom w:val="single" w:sz="8" w:color="auto"/>
            </w:tcBorders>
            <w:shd w:val="clear" w:color="auto" w:fill="D9D9D9"/>
          </w:tcPr>
          <w:p>
            <w:pPr>
              <w:spacing w:after="0"/>
              <w:rPr>
                <w:sz w:val="16"/>
                <w:szCs w:val="16"/>
                <w:color w:val="auto"/>
              </w:rPr>
            </w:pPr>
          </w:p>
        </w:tc>
        <w:tc>
          <w:tcPr>
            <w:tcW w:w="3400" w:type="dxa"/>
            <w:vAlign w:val="bottom"/>
            <w:tcBorders>
              <w:bottom w:val="single" w:sz="8" w:color="auto"/>
            </w:tcBorders>
            <w:shd w:val="clear" w:color="auto" w:fill="D9D9D9"/>
          </w:tcPr>
          <w:p>
            <w:pPr>
              <w:ind w:left="120"/>
              <w:spacing w:after="0"/>
              <w:rPr>
                <w:sz w:val="20"/>
                <w:szCs w:val="20"/>
                <w:color w:val="auto"/>
              </w:rPr>
            </w:pPr>
            <w:r>
              <w:rPr>
                <w:rFonts w:ascii="Arial" w:cs="Arial" w:eastAsia="Arial" w:hAnsi="Arial"/>
                <w:sz w:val="16"/>
                <w:szCs w:val="16"/>
                <w:color w:val="auto"/>
              </w:rPr>
              <w:t>(25%)</w:t>
            </w:r>
          </w:p>
        </w:tc>
      </w:t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Doretha (DeDe) F. Lea</w:t>
            </w:r>
          </w:p>
        </w:tc>
        <w:tc>
          <w:tcPr>
            <w:tcW w:w="220" w:type="dxa"/>
            <w:vAlign w:val="bottom"/>
          </w:tcPr>
          <w:p>
            <w:pPr>
              <w:spacing w:after="0"/>
              <w:rPr>
                <w:sz w:val="17"/>
                <w:szCs w:val="17"/>
                <w:color w:val="auto"/>
              </w:rPr>
            </w:pPr>
          </w:p>
        </w:tc>
        <w:tc>
          <w:tcPr>
            <w:tcW w:w="1420" w:type="dxa"/>
            <w:vAlign w:val="bottom"/>
          </w:tcPr>
          <w:p>
            <w:pPr>
              <w:spacing w:after="0" w:line="207" w:lineRule="exact"/>
              <w:rPr>
                <w:sz w:val="20"/>
                <w:szCs w:val="20"/>
                <w:color w:val="auto"/>
              </w:rPr>
            </w:pPr>
            <w:r>
              <w:rPr>
                <w:rFonts w:ascii="Arial" w:cs="Arial" w:eastAsia="Arial" w:hAnsi="Arial"/>
                <w:sz w:val="14"/>
                <w:szCs w:val="14"/>
                <w:color w:val="auto"/>
              </w:rPr>
              <w:t>Stock Options</w:t>
            </w:r>
            <w:r>
              <w:rPr>
                <w:rFonts w:ascii="Arial" w:cs="Arial" w:eastAsia="Arial" w:hAnsi="Arial"/>
                <w:sz w:val="23"/>
                <w:szCs w:val="23"/>
                <w:color w:val="auto"/>
                <w:vertAlign w:val="superscript"/>
              </w:rPr>
              <w:t>(4)</w:t>
            </w:r>
          </w:p>
        </w:tc>
        <w:tc>
          <w:tcPr>
            <w:tcW w:w="1320" w:type="dxa"/>
            <w:vAlign w:val="bottom"/>
          </w:tcPr>
          <w:p>
            <w:pPr>
              <w:jc w:val="center"/>
              <w:ind w:left="41"/>
              <w:spacing w:after="0"/>
              <w:rPr>
                <w:sz w:val="20"/>
                <w:szCs w:val="20"/>
                <w:color w:val="auto"/>
              </w:rPr>
            </w:pPr>
            <w:r>
              <w:rPr>
                <w:rFonts w:ascii="Arial" w:cs="Arial" w:eastAsia="Arial" w:hAnsi="Arial"/>
                <w:sz w:val="16"/>
                <w:szCs w:val="16"/>
                <w:color w:val="auto"/>
                <w:w w:val="99"/>
              </w:rPr>
              <w:t>30%</w:t>
            </w:r>
          </w:p>
        </w:tc>
        <w:tc>
          <w:tcPr>
            <w:tcW w:w="1760" w:type="dxa"/>
            <w:vAlign w:val="bottom"/>
          </w:tcPr>
          <w:p>
            <w:pPr>
              <w:jc w:val="center"/>
              <w:spacing w:after="0"/>
              <w:rPr>
                <w:sz w:val="20"/>
                <w:szCs w:val="20"/>
                <w:color w:val="auto"/>
              </w:rPr>
            </w:pPr>
            <w:r>
              <w:rPr>
                <w:rFonts w:ascii="Arial" w:cs="Arial" w:eastAsia="Arial" w:hAnsi="Arial"/>
                <w:sz w:val="16"/>
                <w:szCs w:val="16"/>
                <w:color w:val="auto"/>
              </w:rPr>
              <w:t>21,320</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4 years</w:t>
            </w:r>
          </w:p>
        </w:tc>
        <w:tc>
          <w:tcPr>
            <w:tcW w:w="3400" w:type="dxa"/>
            <w:vAlign w:val="bottom"/>
          </w:tcPr>
          <w:p>
            <w:pPr>
              <w:ind w:left="120"/>
              <w:spacing w:after="0"/>
              <w:rPr>
                <w:sz w:val="20"/>
                <w:szCs w:val="20"/>
                <w:color w:val="auto"/>
              </w:rPr>
            </w:pPr>
            <w:r>
              <w:rPr>
                <w:rFonts w:ascii="Arial" w:cs="Arial" w:eastAsia="Arial" w:hAnsi="Arial"/>
                <w:sz w:val="16"/>
                <w:szCs w:val="16"/>
                <w:color w:val="auto"/>
              </w:rPr>
              <w:t>$33.42</w:t>
            </w:r>
          </w:p>
        </w:tc>
      </w:tr>
      <w:tr>
        <w:trPr>
          <w:trHeight w:val="203"/>
        </w:trPr>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4"/>
                <w:szCs w:val="14"/>
                <w:color w:val="auto"/>
              </w:rPr>
              <w:t>RSUs</w:t>
            </w:r>
            <w:r>
              <w:rPr>
                <w:rFonts w:ascii="Arial" w:cs="Arial" w:eastAsia="Arial" w:hAnsi="Arial"/>
                <w:sz w:val="23"/>
                <w:szCs w:val="23"/>
                <w:color w:val="auto"/>
                <w:vertAlign w:val="superscript"/>
              </w:rPr>
              <w:t>(4)</w:t>
            </w:r>
          </w:p>
        </w:tc>
        <w:tc>
          <w:tcPr>
            <w:tcW w:w="1320" w:type="dxa"/>
            <w:vAlign w:val="bottom"/>
          </w:tcPr>
          <w:p>
            <w:pPr>
              <w:jc w:val="center"/>
              <w:ind w:left="41"/>
              <w:spacing w:after="0"/>
              <w:rPr>
                <w:sz w:val="20"/>
                <w:szCs w:val="20"/>
                <w:color w:val="auto"/>
              </w:rPr>
            </w:pPr>
            <w:r>
              <w:rPr>
                <w:rFonts w:ascii="Arial" w:cs="Arial" w:eastAsia="Arial" w:hAnsi="Arial"/>
                <w:sz w:val="16"/>
                <w:szCs w:val="16"/>
                <w:color w:val="auto"/>
                <w:w w:val="99"/>
              </w:rPr>
              <w:t>35%</w:t>
            </w:r>
          </w:p>
        </w:tc>
        <w:tc>
          <w:tcPr>
            <w:tcW w:w="1760" w:type="dxa"/>
            <w:vAlign w:val="bottom"/>
          </w:tcPr>
          <w:p>
            <w:pPr>
              <w:jc w:val="center"/>
              <w:spacing w:after="0"/>
              <w:rPr>
                <w:sz w:val="20"/>
                <w:szCs w:val="20"/>
                <w:color w:val="auto"/>
              </w:rPr>
            </w:pPr>
            <w:r>
              <w:rPr>
                <w:rFonts w:ascii="Arial" w:cs="Arial" w:eastAsia="Arial" w:hAnsi="Arial"/>
                <w:sz w:val="16"/>
                <w:szCs w:val="16"/>
                <w:color w:val="auto"/>
              </w:rPr>
              <w:t>7,331</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4 years</w:t>
            </w:r>
          </w:p>
        </w:tc>
        <w:tc>
          <w:tcPr>
            <w:tcW w:w="3400" w:type="dxa"/>
            <w:vAlign w:val="bottom"/>
          </w:tcPr>
          <w:p>
            <w:pPr>
              <w:ind w:left="120"/>
              <w:spacing w:after="0"/>
              <w:rPr>
                <w:sz w:val="20"/>
                <w:szCs w:val="20"/>
                <w:color w:val="auto"/>
              </w:rPr>
            </w:pPr>
            <w:r>
              <w:rPr>
                <w:rFonts w:ascii="Arial" w:cs="Arial" w:eastAsia="Arial" w:hAnsi="Arial"/>
                <w:sz w:val="16"/>
                <w:szCs w:val="16"/>
                <w:color w:val="auto"/>
              </w:rPr>
              <w:t>Time-vesting only</w:t>
            </w:r>
          </w:p>
        </w:tc>
      </w:tr>
      <w:tr>
        <w:trPr>
          <w:trHeight w:val="194"/>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line="194" w:lineRule="exact"/>
              <w:rPr>
                <w:sz w:val="20"/>
                <w:szCs w:val="20"/>
                <w:color w:val="auto"/>
              </w:rPr>
            </w:pPr>
            <w:r>
              <w:rPr>
                <w:rFonts w:ascii="Arial" w:cs="Arial" w:eastAsia="Arial" w:hAnsi="Arial"/>
                <w:sz w:val="14"/>
                <w:szCs w:val="14"/>
                <w:color w:val="auto"/>
              </w:rPr>
              <w:t>PSUs</w:t>
            </w:r>
            <w:r>
              <w:rPr>
                <w:rFonts w:ascii="Arial" w:cs="Arial" w:eastAsia="Arial" w:hAnsi="Arial"/>
                <w:sz w:val="22"/>
                <w:szCs w:val="22"/>
                <w:color w:val="auto"/>
                <w:vertAlign w:val="superscript"/>
              </w:rPr>
              <w:t>(3)</w:t>
            </w:r>
          </w:p>
        </w:tc>
        <w:tc>
          <w:tcPr>
            <w:tcW w:w="1320" w:type="dxa"/>
            <w:vAlign w:val="bottom"/>
          </w:tcPr>
          <w:p>
            <w:pPr>
              <w:jc w:val="center"/>
              <w:ind w:left="41"/>
              <w:spacing w:after="0"/>
              <w:rPr>
                <w:sz w:val="20"/>
                <w:szCs w:val="20"/>
                <w:color w:val="auto"/>
              </w:rPr>
            </w:pPr>
            <w:r>
              <w:rPr>
                <w:rFonts w:ascii="Arial" w:cs="Arial" w:eastAsia="Arial" w:hAnsi="Arial"/>
                <w:sz w:val="16"/>
                <w:szCs w:val="16"/>
                <w:color w:val="auto"/>
                <w:w w:val="99"/>
              </w:rPr>
              <w:t>35%</w:t>
            </w:r>
          </w:p>
        </w:tc>
        <w:tc>
          <w:tcPr>
            <w:tcW w:w="1760" w:type="dxa"/>
            <w:vAlign w:val="bottom"/>
          </w:tcPr>
          <w:p>
            <w:pPr>
              <w:jc w:val="center"/>
              <w:spacing w:after="0"/>
              <w:rPr>
                <w:sz w:val="20"/>
                <w:szCs w:val="20"/>
                <w:color w:val="auto"/>
              </w:rPr>
            </w:pPr>
            <w:r>
              <w:rPr>
                <w:rFonts w:ascii="Arial" w:cs="Arial" w:eastAsia="Arial" w:hAnsi="Arial"/>
                <w:sz w:val="16"/>
                <w:szCs w:val="16"/>
                <w:color w:val="auto"/>
              </w:rPr>
              <w:t>9,235</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3 years</w:t>
            </w:r>
          </w:p>
        </w:tc>
        <w:tc>
          <w:tcPr>
            <w:tcW w:w="3400" w:type="dxa"/>
            <w:vAlign w:val="bottom"/>
          </w:tcPr>
          <w:p>
            <w:pPr>
              <w:ind w:left="120"/>
              <w:spacing w:after="0"/>
              <w:rPr>
                <w:sz w:val="20"/>
                <w:szCs w:val="20"/>
                <w:color w:val="auto"/>
              </w:rPr>
            </w:pPr>
            <w:r>
              <w:rPr>
                <w:rFonts w:ascii="Arial" w:cs="Arial" w:eastAsia="Arial" w:hAnsi="Arial"/>
                <w:sz w:val="16"/>
                <w:szCs w:val="16"/>
                <w:color w:val="auto"/>
              </w:rPr>
              <w:t>Performance relative to S&amp;P 500</w:t>
            </w:r>
          </w:p>
        </w:tc>
      </w:tr>
      <w:tr>
        <w:trPr>
          <w:trHeight w:val="187"/>
        </w:trPr>
        <w:tc>
          <w:tcPr>
            <w:tcW w:w="2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companies</w:t>
            </w:r>
          </w:p>
        </w:tc>
      </w:tr>
      <w:tr>
        <w:trPr>
          <w:trHeight w:val="196"/>
        </w:trPr>
        <w:tc>
          <w:tcPr>
            <w:tcW w:w="2160" w:type="dxa"/>
            <w:vAlign w:val="bottom"/>
            <w:shd w:val="clear" w:color="auto" w:fill="D9D9D9"/>
          </w:tcPr>
          <w:p>
            <w:pPr>
              <w:spacing w:after="0"/>
              <w:rPr>
                <w:sz w:val="20"/>
                <w:szCs w:val="20"/>
                <w:color w:val="auto"/>
              </w:rPr>
            </w:pPr>
            <w:r>
              <w:rPr>
                <w:rFonts w:ascii="Arial" w:cs="Arial" w:eastAsia="Arial" w:hAnsi="Arial"/>
                <w:sz w:val="16"/>
                <w:szCs w:val="16"/>
                <w:color w:val="auto"/>
              </w:rPr>
              <w:t>Scott M. Mills</w:t>
            </w:r>
          </w:p>
        </w:tc>
        <w:tc>
          <w:tcPr>
            <w:tcW w:w="22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line="197" w:lineRule="exact"/>
              <w:rPr>
                <w:sz w:val="20"/>
                <w:szCs w:val="20"/>
                <w:color w:val="auto"/>
              </w:rPr>
            </w:pPr>
            <w:r>
              <w:rPr>
                <w:rFonts w:ascii="Arial" w:cs="Arial" w:eastAsia="Arial" w:hAnsi="Arial"/>
                <w:sz w:val="14"/>
                <w:szCs w:val="14"/>
                <w:color w:val="auto"/>
              </w:rPr>
              <w:t>Stock Options</w:t>
            </w:r>
            <w:r>
              <w:rPr>
                <w:rFonts w:ascii="Arial" w:cs="Arial" w:eastAsia="Arial" w:hAnsi="Arial"/>
                <w:sz w:val="22"/>
                <w:szCs w:val="22"/>
                <w:color w:val="auto"/>
                <w:vertAlign w:val="superscript"/>
              </w:rPr>
              <w:t>(4)</w:t>
            </w:r>
          </w:p>
        </w:tc>
        <w:tc>
          <w:tcPr>
            <w:tcW w:w="1320" w:type="dxa"/>
            <w:vAlign w:val="bottom"/>
            <w:shd w:val="clear" w:color="auto" w:fill="D9D9D9"/>
          </w:tcPr>
          <w:p>
            <w:pPr>
              <w:jc w:val="center"/>
              <w:ind w:left="41"/>
              <w:spacing w:after="0"/>
              <w:rPr>
                <w:sz w:val="20"/>
                <w:szCs w:val="20"/>
                <w:color w:val="auto"/>
              </w:rPr>
            </w:pPr>
            <w:r>
              <w:rPr>
                <w:rFonts w:ascii="Arial" w:cs="Arial" w:eastAsia="Arial" w:hAnsi="Arial"/>
                <w:sz w:val="16"/>
                <w:szCs w:val="16"/>
                <w:color w:val="auto"/>
                <w:w w:val="99"/>
              </w:rPr>
              <w:t>30%</w:t>
            </w:r>
          </w:p>
        </w:tc>
        <w:tc>
          <w:tcPr>
            <w:tcW w:w="17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68,528</w:t>
            </w:r>
          </w:p>
        </w:tc>
        <w:tc>
          <w:tcPr>
            <w:tcW w:w="120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4 years</w:t>
            </w:r>
          </w:p>
        </w:tc>
        <w:tc>
          <w:tcPr>
            <w:tcW w:w="34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$33.42</w:t>
            </w:r>
          </w:p>
        </w:tc>
      </w:tr>
      <w:tr>
        <w:trPr>
          <w:trHeight w:val="203"/>
        </w:trPr>
        <w:tc>
          <w:tcPr>
            <w:tcW w:w="21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line="202" w:lineRule="exact"/>
              <w:rPr>
                <w:sz w:val="20"/>
                <w:szCs w:val="20"/>
                <w:color w:val="auto"/>
              </w:rPr>
            </w:pPr>
            <w:r>
              <w:rPr>
                <w:rFonts w:ascii="Arial" w:cs="Arial" w:eastAsia="Arial" w:hAnsi="Arial"/>
                <w:sz w:val="14"/>
                <w:szCs w:val="14"/>
                <w:color w:val="auto"/>
              </w:rPr>
              <w:t>RSUs</w:t>
            </w:r>
            <w:r>
              <w:rPr>
                <w:rFonts w:ascii="Arial" w:cs="Arial" w:eastAsia="Arial" w:hAnsi="Arial"/>
                <w:sz w:val="23"/>
                <w:szCs w:val="23"/>
                <w:color w:val="auto"/>
                <w:vertAlign w:val="superscript"/>
              </w:rPr>
              <w:t>(4)</w:t>
            </w:r>
          </w:p>
        </w:tc>
        <w:tc>
          <w:tcPr>
            <w:tcW w:w="1320" w:type="dxa"/>
            <w:vAlign w:val="bottom"/>
            <w:shd w:val="clear" w:color="auto" w:fill="D9D9D9"/>
          </w:tcPr>
          <w:p>
            <w:pPr>
              <w:jc w:val="center"/>
              <w:ind w:left="41"/>
              <w:spacing w:after="0"/>
              <w:rPr>
                <w:sz w:val="20"/>
                <w:szCs w:val="20"/>
                <w:color w:val="auto"/>
              </w:rPr>
            </w:pPr>
            <w:r>
              <w:rPr>
                <w:rFonts w:ascii="Arial" w:cs="Arial" w:eastAsia="Arial" w:hAnsi="Arial"/>
                <w:sz w:val="16"/>
                <w:szCs w:val="16"/>
                <w:color w:val="auto"/>
                <w:w w:val="99"/>
              </w:rPr>
              <w:t>35%</w:t>
            </w:r>
          </w:p>
        </w:tc>
        <w:tc>
          <w:tcPr>
            <w:tcW w:w="17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23,564</w:t>
            </w:r>
          </w:p>
        </w:tc>
        <w:tc>
          <w:tcPr>
            <w:tcW w:w="120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4 years</w:t>
            </w:r>
          </w:p>
        </w:tc>
        <w:tc>
          <w:tcPr>
            <w:tcW w:w="34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Time-vesting only</w:t>
            </w:r>
          </w:p>
        </w:tc>
      </w:tr>
      <w:tr>
        <w:trPr>
          <w:trHeight w:val="204"/>
        </w:trPr>
        <w:tc>
          <w:tcPr>
            <w:tcW w:w="21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line="204" w:lineRule="exact"/>
              <w:rPr>
                <w:sz w:val="20"/>
                <w:szCs w:val="20"/>
                <w:color w:val="auto"/>
              </w:rPr>
            </w:pPr>
            <w:r>
              <w:rPr>
                <w:rFonts w:ascii="Arial" w:cs="Arial" w:eastAsia="Arial" w:hAnsi="Arial"/>
                <w:sz w:val="14"/>
                <w:szCs w:val="14"/>
                <w:color w:val="auto"/>
              </w:rPr>
              <w:t>PSUs</w:t>
            </w:r>
            <w:r>
              <w:rPr>
                <w:rFonts w:ascii="Arial" w:cs="Arial" w:eastAsia="Arial" w:hAnsi="Arial"/>
                <w:sz w:val="23"/>
                <w:szCs w:val="23"/>
                <w:color w:val="auto"/>
                <w:vertAlign w:val="superscript"/>
              </w:rPr>
              <w:t>(3)</w:t>
            </w:r>
          </w:p>
        </w:tc>
        <w:tc>
          <w:tcPr>
            <w:tcW w:w="1320" w:type="dxa"/>
            <w:vAlign w:val="bottom"/>
            <w:shd w:val="clear" w:color="auto" w:fill="D9D9D9"/>
          </w:tcPr>
          <w:p>
            <w:pPr>
              <w:jc w:val="center"/>
              <w:ind w:left="41"/>
              <w:spacing w:after="0"/>
              <w:rPr>
                <w:sz w:val="20"/>
                <w:szCs w:val="20"/>
                <w:color w:val="auto"/>
              </w:rPr>
            </w:pPr>
            <w:r>
              <w:rPr>
                <w:rFonts w:ascii="Arial" w:cs="Arial" w:eastAsia="Arial" w:hAnsi="Arial"/>
                <w:sz w:val="16"/>
                <w:szCs w:val="16"/>
                <w:color w:val="auto"/>
                <w:w w:val="99"/>
              </w:rPr>
              <w:t>35%</w:t>
            </w:r>
          </w:p>
        </w:tc>
        <w:tc>
          <w:tcPr>
            <w:tcW w:w="17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29,682</w:t>
            </w:r>
          </w:p>
        </w:tc>
        <w:tc>
          <w:tcPr>
            <w:tcW w:w="120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3 years</w:t>
            </w:r>
          </w:p>
        </w:tc>
        <w:tc>
          <w:tcPr>
            <w:tcW w:w="34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EPS performance (75%) and TSR</w:t>
            </w:r>
          </w:p>
        </w:tc>
      </w:tr>
      <w:tr>
        <w:trPr>
          <w:trHeight w:val="189"/>
        </w:trPr>
        <w:tc>
          <w:tcPr>
            <w:tcW w:w="216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1320" w:type="dxa"/>
            <w:vAlign w:val="bottom"/>
            <w:shd w:val="clear" w:color="auto" w:fill="D9D9D9"/>
          </w:tcPr>
          <w:p>
            <w:pPr>
              <w:spacing w:after="0"/>
              <w:rPr>
                <w:sz w:val="16"/>
                <w:szCs w:val="16"/>
                <w:color w:val="auto"/>
              </w:rPr>
            </w:pPr>
          </w:p>
        </w:tc>
        <w:tc>
          <w:tcPr>
            <w:tcW w:w="176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3400" w:type="dxa"/>
            <w:vAlign w:val="bottom"/>
            <w:shd w:val="clear" w:color="auto" w:fill="D9D9D9"/>
          </w:tcPr>
          <w:p>
            <w:pPr>
              <w:ind w:left="120"/>
              <w:spacing w:after="0"/>
              <w:rPr>
                <w:sz w:val="20"/>
                <w:szCs w:val="20"/>
                <w:color w:val="auto"/>
              </w:rPr>
            </w:pPr>
            <w:r>
              <w:rPr>
                <w:rFonts w:ascii="Arial" w:cs="Arial" w:eastAsia="Arial" w:hAnsi="Arial"/>
                <w:sz w:val="16"/>
                <w:szCs w:val="16"/>
                <w:color w:val="auto"/>
              </w:rPr>
              <w:t>performance relative to S&amp;P 500 companies</w:t>
            </w:r>
          </w:p>
        </w:tc>
      </w:tr>
      <w:tr>
        <w:trPr>
          <w:trHeight w:val="187"/>
        </w:trPr>
        <w:tc>
          <w:tcPr>
            <w:tcW w:w="2160" w:type="dxa"/>
            <w:vAlign w:val="bottom"/>
            <w:tcBorders>
              <w:bottom w:val="single" w:sz="8" w:color="auto"/>
            </w:tcBorders>
            <w:shd w:val="clear" w:color="auto" w:fill="D9D9D9"/>
          </w:tcPr>
          <w:p>
            <w:pPr>
              <w:spacing w:after="0"/>
              <w:rPr>
                <w:sz w:val="16"/>
                <w:szCs w:val="16"/>
                <w:color w:val="auto"/>
              </w:rPr>
            </w:pPr>
          </w:p>
        </w:tc>
        <w:tc>
          <w:tcPr>
            <w:tcW w:w="220" w:type="dxa"/>
            <w:vAlign w:val="bottom"/>
            <w:tcBorders>
              <w:bottom w:val="single" w:sz="8" w:color="auto"/>
            </w:tcBorders>
            <w:shd w:val="clear" w:color="auto" w:fill="D9D9D9"/>
          </w:tcPr>
          <w:p>
            <w:pPr>
              <w:spacing w:after="0"/>
              <w:rPr>
                <w:sz w:val="16"/>
                <w:szCs w:val="16"/>
                <w:color w:val="auto"/>
              </w:rPr>
            </w:pPr>
          </w:p>
        </w:tc>
        <w:tc>
          <w:tcPr>
            <w:tcW w:w="1420" w:type="dxa"/>
            <w:vAlign w:val="bottom"/>
            <w:tcBorders>
              <w:bottom w:val="single" w:sz="8" w:color="auto"/>
            </w:tcBorders>
            <w:shd w:val="clear" w:color="auto" w:fill="D9D9D9"/>
          </w:tcPr>
          <w:p>
            <w:pPr>
              <w:spacing w:after="0"/>
              <w:rPr>
                <w:sz w:val="16"/>
                <w:szCs w:val="16"/>
                <w:color w:val="auto"/>
              </w:rPr>
            </w:pPr>
          </w:p>
        </w:tc>
        <w:tc>
          <w:tcPr>
            <w:tcW w:w="1320" w:type="dxa"/>
            <w:vAlign w:val="bottom"/>
            <w:tcBorders>
              <w:bottom w:val="single" w:sz="8" w:color="auto"/>
            </w:tcBorders>
            <w:shd w:val="clear" w:color="auto" w:fill="D9D9D9"/>
          </w:tcPr>
          <w:p>
            <w:pPr>
              <w:spacing w:after="0"/>
              <w:rPr>
                <w:sz w:val="16"/>
                <w:szCs w:val="16"/>
                <w:color w:val="auto"/>
              </w:rPr>
            </w:pPr>
          </w:p>
        </w:tc>
        <w:tc>
          <w:tcPr>
            <w:tcW w:w="1760" w:type="dxa"/>
            <w:vAlign w:val="bottom"/>
            <w:tcBorders>
              <w:bottom w:val="single" w:sz="8" w:color="auto"/>
            </w:tcBorders>
            <w:shd w:val="clear" w:color="auto" w:fill="D9D9D9"/>
          </w:tcPr>
          <w:p>
            <w:pPr>
              <w:spacing w:after="0"/>
              <w:rPr>
                <w:sz w:val="16"/>
                <w:szCs w:val="16"/>
                <w:color w:val="auto"/>
              </w:rPr>
            </w:pPr>
          </w:p>
        </w:tc>
        <w:tc>
          <w:tcPr>
            <w:tcW w:w="1200" w:type="dxa"/>
            <w:vAlign w:val="bottom"/>
            <w:tcBorders>
              <w:bottom w:val="single" w:sz="8" w:color="auto"/>
            </w:tcBorders>
            <w:shd w:val="clear" w:color="auto" w:fill="D9D9D9"/>
          </w:tcPr>
          <w:p>
            <w:pPr>
              <w:spacing w:after="0"/>
              <w:rPr>
                <w:sz w:val="16"/>
                <w:szCs w:val="16"/>
                <w:color w:val="auto"/>
              </w:rPr>
            </w:pPr>
          </w:p>
        </w:tc>
        <w:tc>
          <w:tcPr>
            <w:tcW w:w="3400" w:type="dxa"/>
            <w:vAlign w:val="bottom"/>
            <w:tcBorders>
              <w:bottom w:val="single" w:sz="8" w:color="auto"/>
            </w:tcBorders>
            <w:shd w:val="clear" w:color="auto" w:fill="D9D9D9"/>
          </w:tcPr>
          <w:p>
            <w:pPr>
              <w:ind w:left="120"/>
              <w:spacing w:after="0"/>
              <w:rPr>
                <w:sz w:val="20"/>
                <w:szCs w:val="20"/>
                <w:color w:val="auto"/>
              </w:rPr>
            </w:pPr>
            <w:r>
              <w:rPr>
                <w:rFonts w:ascii="Arial" w:cs="Arial" w:eastAsia="Arial" w:hAnsi="Arial"/>
                <w:sz w:val="16"/>
                <w:szCs w:val="16"/>
                <w:color w:val="auto"/>
              </w:rPr>
              <w:t>(25%)</w:t>
            </w:r>
          </w:p>
        </w:tc>
      </w:tr>
    </w:tbl>
    <w:p>
      <w:pPr>
        <w:spacing w:after="0" w:line="107" w:lineRule="exact"/>
        <w:rPr>
          <w:sz w:val="20"/>
          <w:szCs w:val="20"/>
          <w:color w:val="auto"/>
        </w:rPr>
      </w:pPr>
    </w:p>
    <w:p>
      <w:pPr>
        <w:jc w:val="both"/>
        <w:ind w:left="300" w:right="60" w:hanging="292"/>
        <w:spacing w:after="0" w:line="225" w:lineRule="auto"/>
        <w:tabs>
          <w:tab w:leader="none" w:pos="300" w:val="left"/>
        </w:tabs>
        <w:numPr>
          <w:ilvl w:val="0"/>
          <w:numId w:val="69"/>
        </w:numPr>
        <w:rPr>
          <w:rFonts w:ascii="Arial" w:cs="Arial" w:eastAsia="Arial" w:hAnsi="Arial"/>
          <w:sz w:val="11"/>
          <w:szCs w:val="11"/>
          <w:i w:val="1"/>
          <w:iCs w:val="1"/>
          <w:color w:val="auto"/>
        </w:rPr>
      </w:pPr>
      <w:r>
        <w:rPr>
          <w:rFonts w:ascii="Arial" w:cs="Arial" w:eastAsia="Arial" w:hAnsi="Arial"/>
          <w:sz w:val="14"/>
          <w:szCs w:val="14"/>
          <w:i w:val="1"/>
          <w:iCs w:val="1"/>
          <w:color w:val="auto"/>
        </w:rPr>
        <w:t>The number of stock options granted is determined using the Black-Scholes valuation method on the date of grant. Stock options have an eight-year term until expiration. The number of RSUs granted is determined by dividing the value of the award by the closing market price of our Class B common stock on January 31, 2018, which was the date of grant ($33.42). For PSUs, the number shown in the above table equals the target number of PSUs awarded, and was determined using the target value for each NEO and, for the TSR shares, the grant date fair value on November 20, 2017 (the date of grant) and, for the EPS shares, the fair market value (the closing price of the Class B common stock of $26.17 per share) on the date of grant.</w:t>
      </w:r>
    </w:p>
    <w:p>
      <w:pPr>
        <w:spacing w:after="0" w:line="2" w:lineRule="exact"/>
        <w:rPr>
          <w:rFonts w:ascii="Arial" w:cs="Arial" w:eastAsia="Arial" w:hAnsi="Arial"/>
          <w:sz w:val="11"/>
          <w:szCs w:val="11"/>
          <w:i w:val="1"/>
          <w:iCs w:val="1"/>
          <w:color w:val="auto"/>
        </w:rPr>
      </w:pPr>
    </w:p>
    <w:p>
      <w:pPr>
        <w:ind w:left="300" w:right="60" w:hanging="292"/>
        <w:spacing w:after="0" w:line="221" w:lineRule="auto"/>
        <w:tabs>
          <w:tab w:leader="none" w:pos="300" w:val="left"/>
        </w:tabs>
        <w:numPr>
          <w:ilvl w:val="0"/>
          <w:numId w:val="69"/>
        </w:numPr>
        <w:rPr>
          <w:rFonts w:ascii="Arial" w:cs="Arial" w:eastAsia="Arial" w:hAnsi="Arial"/>
          <w:sz w:val="11"/>
          <w:szCs w:val="11"/>
          <w:i w:val="1"/>
          <w:iCs w:val="1"/>
          <w:color w:val="auto"/>
        </w:rPr>
      </w:pPr>
      <w:r>
        <w:rPr>
          <w:rFonts w:ascii="Arial" w:cs="Arial" w:eastAsia="Arial" w:hAnsi="Arial"/>
          <w:sz w:val="14"/>
          <w:szCs w:val="14"/>
          <w:i w:val="1"/>
          <w:iCs w:val="1"/>
          <w:color w:val="auto"/>
        </w:rPr>
        <w:t>Stock option exercise price is equal to the closing market price of our Class B common stock on the date of grant ($26.17 for the stock options granted on November 20, 2017 and $33.42 for the stock options granted on January 31, 2018).</w:t>
      </w:r>
    </w:p>
    <w:p>
      <w:pPr>
        <w:ind w:left="300" w:hanging="292"/>
        <w:spacing w:after="0" w:line="221" w:lineRule="auto"/>
        <w:tabs>
          <w:tab w:leader="none" w:pos="300" w:val="left"/>
        </w:tabs>
        <w:numPr>
          <w:ilvl w:val="0"/>
          <w:numId w:val="69"/>
        </w:numPr>
        <w:rPr>
          <w:rFonts w:ascii="Arial" w:cs="Arial" w:eastAsia="Arial" w:hAnsi="Arial"/>
          <w:sz w:val="11"/>
          <w:szCs w:val="11"/>
          <w:i w:val="1"/>
          <w:iCs w:val="1"/>
          <w:color w:val="auto"/>
        </w:rPr>
      </w:pPr>
      <w:r>
        <w:rPr>
          <w:rFonts w:ascii="Arial" w:cs="Arial" w:eastAsia="Arial" w:hAnsi="Arial"/>
          <w:sz w:val="14"/>
          <w:szCs w:val="14"/>
          <w:i w:val="1"/>
          <w:iCs w:val="1"/>
          <w:color w:val="auto"/>
        </w:rPr>
        <w:t>Granted on November 20, 2017.</w:t>
      </w:r>
    </w:p>
    <w:p>
      <w:pPr>
        <w:ind w:left="300" w:hanging="292"/>
        <w:spacing w:after="0"/>
        <w:tabs>
          <w:tab w:leader="none" w:pos="300" w:val="left"/>
        </w:tabs>
        <w:numPr>
          <w:ilvl w:val="0"/>
          <w:numId w:val="69"/>
        </w:numPr>
        <w:rPr>
          <w:rFonts w:ascii="Arial" w:cs="Arial" w:eastAsia="Arial" w:hAnsi="Arial"/>
          <w:sz w:val="11"/>
          <w:szCs w:val="11"/>
          <w:i w:val="1"/>
          <w:iCs w:val="1"/>
          <w:color w:val="auto"/>
        </w:rPr>
      </w:pPr>
      <w:r>
        <w:rPr>
          <w:rFonts w:ascii="Arial" w:cs="Arial" w:eastAsia="Arial" w:hAnsi="Arial"/>
          <w:sz w:val="14"/>
          <w:szCs w:val="14"/>
          <w:i w:val="1"/>
          <w:iCs w:val="1"/>
          <w:color w:val="auto"/>
        </w:rPr>
        <w:t>Granted on January 31, 2018.</w:t>
      </w:r>
    </w:p>
    <w:p>
      <w:pPr>
        <w:sectPr>
          <w:pgSz w:w="11900" w:h="16838" w:orient="portrait"/>
          <w:cols w:equalWidth="0" w:num="1">
            <w:col w:w="11480"/>
          </w:cols>
          <w:pgMar w:left="240" w:top="125" w:right="1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 Units</w:t>
      </w:r>
    </w:p>
    <w:p>
      <w:pPr>
        <w:spacing w:after="0" w:line="3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PSU awards are made in the form of a target grant. The target number of PSUs awarded to an executive in fiscal year 2018 was equal to the target award value for each NEO divided by, for the TSR shares, the grant date fair value on November 20, 2017 (the date of grant) and, for the EPS shares, the fair market value (the closing price of the Class B common stock) on the date of grant. The number of shares of Class B common stock an executive can ultimately receive at the end of the measurement period depends on the company’s performance against pre-determined performance targets. In fiscal year 2018, these performance targets were re-designed to better incentivize our senior executives to achieve our internal financial goals through effective implementation of the company’s strategy, and also provide them a better understanding of, and greater control over, the ultimate payout of the award. Accordingly, we made a portion of the target award dependent on the achievement of the company’s fully-diluted adjusted earnings per share from continuing operations (“EPS”) against target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60"/>
        <w:spacing w:after="0" w:line="233" w:lineRule="auto"/>
        <w:rPr>
          <w:sz w:val="20"/>
          <w:szCs w:val="20"/>
          <w:color w:val="auto"/>
        </w:rPr>
      </w:pPr>
      <w:r>
        <w:rPr>
          <w:rFonts w:ascii="Arial" w:cs="Arial" w:eastAsia="Arial" w:hAnsi="Arial"/>
          <w:sz w:val="17"/>
          <w:szCs w:val="17"/>
          <w:color w:val="auto"/>
        </w:rPr>
        <w:t>decreased the percentage of the award based on the external metric of TSR performance of the company’s Class B common stock in comparison to the TSR performance of common stock of the companies comprising the S&amp;P 500 Index (“the reference group”). Specifically, (1) 75% of the target award depends on the company’s EPS against target (the “EPS Shares”), and (2) 25% of the target award depends on the percentile ranking of the TSR of our Class B common stock measured against the TSR of the common stock of the reference group at the start of the measurement period (the “TSR Shares”), as compared to 100% of the target award having been TSR-based in fiscal year 2017. The maximum payout is 200% of the target award. At the time of the November 20, 2017 grants, we did not have an EPS target beyond fiscal year 2018 and the Committee determined at that time to utilize an EPS target for fiscal year 2018 as well as a cumulative EPS target for fiscal year 2019 and fiscal year 2020.</w:t>
      </w:r>
    </w:p>
    <w:p>
      <w:pPr>
        <w:spacing w:after="0" w:line="579" w:lineRule="exact"/>
        <w:rPr>
          <w:sz w:val="20"/>
          <w:szCs w:val="20"/>
          <w:color w:val="auto"/>
        </w:rPr>
      </w:pPr>
    </w:p>
    <w:p>
      <w:pPr>
        <w:sectPr>
          <w:pgSz w:w="11900" w:h="16838" w:orient="portrait"/>
          <w:cols w:equalWidth="0" w:num="2">
            <w:col w:w="5480" w:space="460"/>
            <w:col w:w="5540"/>
          </w:cols>
          <w:pgMar w:left="240" w:top="125" w:right="179" w:bottom="1440" w:gutter="0" w:footer="0" w:header="0"/>
          <w:type w:val="continuous"/>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44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40" w:type="dxa"/>
            <w:vAlign w:val="bottom"/>
            <w:tcBorders>
              <w:bottom w:val="single" w:sz="8" w:color="1CB6EA"/>
            </w:tcBorders>
            <w:shd w:val="clear" w:color="auto" w:fill="1CB6EA"/>
          </w:tcPr>
          <w:p>
            <w:pPr>
              <w:ind w:left="80"/>
              <w:spacing w:after="0"/>
              <w:rPr>
                <w:sz w:val="20"/>
                <w:szCs w:val="20"/>
                <w:color w:val="auto"/>
              </w:rPr>
            </w:pPr>
            <w:r>
              <w:rPr>
                <w:rFonts w:ascii="Arial" w:cs="Arial" w:eastAsia="Arial" w:hAnsi="Arial"/>
                <w:sz w:val="14"/>
                <w:szCs w:val="14"/>
                <w:b w:val="1"/>
                <w:bCs w:val="1"/>
                <w:color w:val="FFFFFF"/>
                <w:shd w:val="clear" w:color="auto" w:fill="1CB6EA"/>
              </w:rPr>
              <w:t>EXECUTIVE COMPENSATION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4"/>
        </w:trPr>
        <w:tc>
          <w:tcPr>
            <w:tcW w:w="4960" w:type="dxa"/>
            <w:vAlign w:val="bottom"/>
            <w:gridSpan w:val="2"/>
          </w:tcPr>
          <w:p>
            <w:pPr>
              <w:spacing w:after="0"/>
              <w:rPr>
                <w:sz w:val="20"/>
                <w:szCs w:val="20"/>
                <w:color w:val="auto"/>
              </w:rPr>
            </w:pPr>
            <w:r>
              <w:rPr>
                <w:rFonts w:ascii="Arial" w:cs="Arial" w:eastAsia="Arial" w:hAnsi="Arial"/>
                <w:sz w:val="17"/>
                <w:szCs w:val="17"/>
                <w:color w:val="auto"/>
              </w:rPr>
              <w:t>The payout schedules for the award are as follows:</w:t>
            </w:r>
          </w:p>
        </w:tc>
        <w:tc>
          <w:tcPr>
            <w:tcW w:w="4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90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900" w:type="dxa"/>
            <w:vAlign w:val="bottom"/>
            <w:tcBorders>
              <w:right w:val="single" w:sz="8" w:color="auto"/>
            </w:tcBorders>
          </w:tcPr>
          <w:p>
            <w:pPr>
              <w:spacing w:after="0"/>
              <w:rPr>
                <w:sz w:val="13"/>
                <w:szCs w:val="13"/>
                <w:color w:val="auto"/>
              </w:rPr>
            </w:pPr>
          </w:p>
        </w:tc>
        <w:tc>
          <w:tcPr>
            <w:tcW w:w="3060" w:type="dxa"/>
            <w:vAlign w:val="bottom"/>
            <w:tcBorders>
              <w:right w:val="single" w:sz="8" w:color="auto"/>
            </w:tcBorders>
            <w:shd w:val="clear" w:color="auto" w:fill="EAF1DD"/>
          </w:tcPr>
          <w:p>
            <w:pPr>
              <w:jc w:val="center"/>
              <w:spacing w:after="0"/>
              <w:rPr>
                <w:sz w:val="20"/>
                <w:szCs w:val="20"/>
                <w:color w:val="auto"/>
              </w:rPr>
            </w:pPr>
            <w:r>
              <w:rPr>
                <w:rFonts w:ascii="Arial" w:cs="Arial" w:eastAsia="Arial" w:hAnsi="Arial"/>
                <w:sz w:val="11"/>
                <w:szCs w:val="11"/>
                <w:b w:val="1"/>
                <w:bCs w:val="1"/>
                <w:color w:val="auto"/>
                <w:w w:val="96"/>
              </w:rPr>
              <w:t>TSR Relative to</w:t>
            </w:r>
          </w:p>
        </w:tc>
        <w:tc>
          <w:tcPr>
            <w:tcW w:w="42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1"/>
                <w:szCs w:val="11"/>
                <w:b w:val="1"/>
                <w:bCs w:val="1"/>
                <w:color w:val="auto"/>
                <w:w w:val="97"/>
              </w:rPr>
              <w:t>Fully Diluted EPS from</w:t>
            </w:r>
          </w:p>
        </w:tc>
        <w:tc>
          <w:tcPr>
            <w:tcW w:w="440" w:type="dxa"/>
            <w:vAlign w:val="bottom"/>
            <w:tcBorders>
              <w:right w:val="single" w:sz="8" w:color="auto"/>
            </w:tcBorders>
          </w:tcPr>
          <w:p>
            <w:pPr>
              <w:spacing w:after="0"/>
              <w:rPr>
                <w:sz w:val="13"/>
                <w:szCs w:val="13"/>
                <w:color w:val="auto"/>
              </w:rPr>
            </w:pPr>
          </w:p>
        </w:tc>
        <w:tc>
          <w:tcPr>
            <w:tcW w:w="640" w:type="dxa"/>
            <w:vAlign w:val="bottom"/>
            <w:shd w:val="clear" w:color="auto" w:fill="DAEEF3"/>
          </w:tcPr>
          <w:p>
            <w:pPr>
              <w:spacing w:after="0"/>
              <w:rPr>
                <w:sz w:val="13"/>
                <w:szCs w:val="13"/>
                <w:color w:val="auto"/>
              </w:rPr>
            </w:pPr>
          </w:p>
        </w:tc>
        <w:tc>
          <w:tcPr>
            <w:tcW w:w="2140" w:type="dxa"/>
            <w:vAlign w:val="bottom"/>
            <w:shd w:val="clear" w:color="auto" w:fill="DAEEF3"/>
          </w:tcPr>
          <w:p>
            <w:pPr>
              <w:jc w:val="center"/>
              <w:ind w:right="602"/>
              <w:spacing w:after="0"/>
              <w:rPr>
                <w:sz w:val="20"/>
                <w:szCs w:val="20"/>
                <w:color w:val="auto"/>
              </w:rPr>
            </w:pPr>
            <w:r>
              <w:rPr>
                <w:rFonts w:ascii="Arial" w:cs="Arial" w:eastAsia="Arial" w:hAnsi="Arial"/>
                <w:sz w:val="11"/>
                <w:szCs w:val="11"/>
                <w:b w:val="1"/>
                <w:bCs w:val="1"/>
                <w:color w:val="auto"/>
                <w:w w:val="97"/>
              </w:rPr>
              <w:t>Fully Diluted EPS from</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900" w:type="dxa"/>
            <w:vAlign w:val="bottom"/>
            <w:tcBorders>
              <w:right w:val="single" w:sz="8" w:color="auto"/>
            </w:tcBorders>
          </w:tcPr>
          <w:p>
            <w:pPr>
              <w:spacing w:after="0"/>
              <w:rPr>
                <w:sz w:val="19"/>
                <w:szCs w:val="19"/>
                <w:color w:val="auto"/>
              </w:rPr>
            </w:pPr>
          </w:p>
        </w:tc>
        <w:tc>
          <w:tcPr>
            <w:tcW w:w="3060" w:type="dxa"/>
            <w:vAlign w:val="bottom"/>
            <w:tcBorders>
              <w:right w:val="single" w:sz="8" w:color="auto"/>
            </w:tcBorders>
            <w:shd w:val="clear" w:color="auto" w:fill="EAF1DD"/>
          </w:tcPr>
          <w:p>
            <w:pPr>
              <w:jc w:val="center"/>
              <w:spacing w:after="0"/>
              <w:rPr>
                <w:sz w:val="20"/>
                <w:szCs w:val="20"/>
                <w:color w:val="auto"/>
              </w:rPr>
            </w:pPr>
            <w:r>
              <w:rPr>
                <w:rFonts w:ascii="Arial" w:cs="Arial" w:eastAsia="Arial" w:hAnsi="Arial"/>
                <w:sz w:val="11"/>
                <w:szCs w:val="11"/>
                <w:b w:val="1"/>
                <w:bCs w:val="1"/>
                <w:color w:val="auto"/>
                <w:w w:val="95"/>
              </w:rPr>
              <w:t>S&amp;P 500</w:t>
            </w:r>
          </w:p>
        </w:tc>
        <w:tc>
          <w:tcPr>
            <w:tcW w:w="420" w:type="dxa"/>
            <w:vAlign w:val="bottom"/>
            <w:tcBorders>
              <w:right w:val="single" w:sz="8" w:color="auto"/>
            </w:tcBorders>
            <w:vMerge w:val="restart"/>
          </w:tcPr>
          <w:p>
            <w:pPr>
              <w:jc w:val="right"/>
              <w:ind w:right="61"/>
              <w:spacing w:after="0"/>
              <w:rPr>
                <w:sz w:val="20"/>
                <w:szCs w:val="20"/>
                <w:color w:val="auto"/>
              </w:rPr>
            </w:pPr>
            <w:r>
              <w:rPr>
                <w:rFonts w:ascii="Arial" w:cs="Arial" w:eastAsia="Arial" w:hAnsi="Arial"/>
                <w:sz w:val="20"/>
                <w:szCs w:val="20"/>
                <w:b w:val="1"/>
                <w:bCs w:val="1"/>
                <w:color w:val="FF0000"/>
              </w:rPr>
              <w:t>+</w:t>
            </w:r>
          </w:p>
        </w:tc>
        <w:tc>
          <w:tcPr>
            <w:tcW w:w="282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1"/>
                <w:szCs w:val="11"/>
                <w:b w:val="1"/>
                <w:bCs w:val="1"/>
                <w:color w:val="auto"/>
                <w:w w:val="97"/>
              </w:rPr>
              <w:t>Continuing Operations</w:t>
            </w:r>
          </w:p>
        </w:tc>
        <w:tc>
          <w:tcPr>
            <w:tcW w:w="440" w:type="dxa"/>
            <w:vAlign w:val="bottom"/>
            <w:tcBorders>
              <w:right w:val="single" w:sz="8" w:color="auto"/>
            </w:tcBorders>
            <w:vMerge w:val="restart"/>
          </w:tcPr>
          <w:p>
            <w:pPr>
              <w:jc w:val="right"/>
              <w:ind w:right="81"/>
              <w:spacing w:after="0"/>
              <w:rPr>
                <w:sz w:val="20"/>
                <w:szCs w:val="20"/>
                <w:color w:val="auto"/>
              </w:rPr>
            </w:pPr>
            <w:r>
              <w:rPr>
                <w:rFonts w:ascii="Arial" w:cs="Arial" w:eastAsia="Arial" w:hAnsi="Arial"/>
                <w:sz w:val="20"/>
                <w:szCs w:val="20"/>
                <w:b w:val="1"/>
                <w:bCs w:val="1"/>
                <w:color w:val="FF0000"/>
              </w:rPr>
              <w:t>+</w:t>
            </w:r>
          </w:p>
        </w:tc>
        <w:tc>
          <w:tcPr>
            <w:tcW w:w="640" w:type="dxa"/>
            <w:vAlign w:val="bottom"/>
            <w:shd w:val="clear" w:color="auto" w:fill="DAEEF3"/>
          </w:tcPr>
          <w:p>
            <w:pPr>
              <w:spacing w:after="0"/>
              <w:rPr>
                <w:sz w:val="19"/>
                <w:szCs w:val="19"/>
                <w:color w:val="auto"/>
              </w:rPr>
            </w:pPr>
          </w:p>
        </w:tc>
        <w:tc>
          <w:tcPr>
            <w:tcW w:w="2140" w:type="dxa"/>
            <w:vAlign w:val="bottom"/>
            <w:shd w:val="clear" w:color="auto" w:fill="DAEEF3"/>
          </w:tcPr>
          <w:p>
            <w:pPr>
              <w:jc w:val="center"/>
              <w:ind w:right="602"/>
              <w:spacing w:after="0"/>
              <w:rPr>
                <w:sz w:val="20"/>
                <w:szCs w:val="20"/>
                <w:color w:val="auto"/>
              </w:rPr>
            </w:pPr>
            <w:r>
              <w:rPr>
                <w:rFonts w:ascii="Arial" w:cs="Arial" w:eastAsia="Arial" w:hAnsi="Arial"/>
                <w:sz w:val="11"/>
                <w:szCs w:val="11"/>
                <w:b w:val="1"/>
                <w:bCs w:val="1"/>
                <w:color w:val="auto"/>
                <w:w w:val="97"/>
              </w:rPr>
              <w:t>Continuing Operations</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00" w:type="dxa"/>
            <w:vAlign w:val="bottom"/>
            <w:tcBorders>
              <w:right w:val="single" w:sz="8" w:color="auto"/>
            </w:tcBorders>
          </w:tcPr>
          <w:p>
            <w:pPr>
              <w:spacing w:after="0"/>
              <w:rPr>
                <w:sz w:val="15"/>
                <w:szCs w:val="15"/>
                <w:color w:val="auto"/>
              </w:rPr>
            </w:pPr>
          </w:p>
        </w:tc>
        <w:tc>
          <w:tcPr>
            <w:tcW w:w="3060" w:type="dxa"/>
            <w:vAlign w:val="bottom"/>
            <w:tcBorders>
              <w:right w:val="single" w:sz="8" w:color="auto"/>
            </w:tcBorders>
            <w:vMerge w:val="restart"/>
            <w:shd w:val="clear" w:color="auto" w:fill="EAF1DD"/>
          </w:tcPr>
          <w:p>
            <w:pPr>
              <w:jc w:val="center"/>
              <w:spacing w:after="0"/>
              <w:rPr>
                <w:sz w:val="20"/>
                <w:szCs w:val="20"/>
                <w:color w:val="auto"/>
              </w:rPr>
            </w:pPr>
            <w:r>
              <w:rPr>
                <w:rFonts w:ascii="Arial" w:cs="Arial" w:eastAsia="Arial" w:hAnsi="Arial"/>
                <w:sz w:val="11"/>
                <w:szCs w:val="11"/>
                <w:b w:val="1"/>
                <w:bCs w:val="1"/>
                <w:color w:val="auto"/>
              </w:rPr>
              <w:t>FY 2018-2020</w:t>
            </w:r>
          </w:p>
        </w:tc>
        <w:tc>
          <w:tcPr>
            <w:tcW w:w="420" w:type="dxa"/>
            <w:vAlign w:val="bottom"/>
            <w:tcBorders>
              <w:right w:val="single" w:sz="8" w:color="auto"/>
            </w:tcBorders>
            <w:vMerge w:val="continue"/>
          </w:tcPr>
          <w:p>
            <w:pPr>
              <w:spacing w:after="0"/>
              <w:rPr>
                <w:sz w:val="15"/>
                <w:szCs w:val="15"/>
                <w:color w:val="auto"/>
              </w:rPr>
            </w:pPr>
          </w:p>
        </w:tc>
        <w:tc>
          <w:tcPr>
            <w:tcW w:w="282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1"/>
                <w:szCs w:val="11"/>
                <w:b w:val="1"/>
                <w:bCs w:val="1"/>
                <w:color w:val="auto"/>
                <w:w w:val="97"/>
              </w:rPr>
              <w:t>vs Target for FY 2018</w:t>
            </w:r>
          </w:p>
        </w:tc>
        <w:tc>
          <w:tcPr>
            <w:tcW w:w="440" w:type="dxa"/>
            <w:vAlign w:val="bottom"/>
            <w:tcBorders>
              <w:right w:val="single" w:sz="8" w:color="auto"/>
            </w:tcBorders>
            <w:vMerge w:val="continue"/>
          </w:tcPr>
          <w:p>
            <w:pPr>
              <w:spacing w:after="0"/>
              <w:rPr>
                <w:sz w:val="15"/>
                <w:szCs w:val="15"/>
                <w:color w:val="auto"/>
              </w:rPr>
            </w:pPr>
          </w:p>
        </w:tc>
        <w:tc>
          <w:tcPr>
            <w:tcW w:w="640" w:type="dxa"/>
            <w:vAlign w:val="bottom"/>
            <w:shd w:val="clear" w:color="auto" w:fill="DAEEF3"/>
          </w:tcPr>
          <w:p>
            <w:pPr>
              <w:spacing w:after="0"/>
              <w:rPr>
                <w:sz w:val="15"/>
                <w:szCs w:val="15"/>
                <w:color w:val="auto"/>
              </w:rPr>
            </w:pPr>
          </w:p>
        </w:tc>
        <w:tc>
          <w:tcPr>
            <w:tcW w:w="2140" w:type="dxa"/>
            <w:vAlign w:val="bottom"/>
            <w:vMerge w:val="restart"/>
            <w:shd w:val="clear" w:color="auto" w:fill="DAEEF3"/>
          </w:tcPr>
          <w:p>
            <w:pPr>
              <w:jc w:val="center"/>
              <w:ind w:right="602"/>
              <w:spacing w:after="0"/>
              <w:rPr>
                <w:sz w:val="20"/>
                <w:szCs w:val="20"/>
                <w:color w:val="auto"/>
              </w:rPr>
            </w:pPr>
            <w:r>
              <w:rPr>
                <w:rFonts w:ascii="Arial" w:cs="Arial" w:eastAsia="Arial" w:hAnsi="Arial"/>
                <w:sz w:val="11"/>
                <w:szCs w:val="11"/>
                <w:b w:val="1"/>
                <w:bCs w:val="1"/>
                <w:color w:val="auto"/>
                <w:w w:val="98"/>
              </w:rPr>
              <w:t>vs. Target for FY 2019-20</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900" w:type="dxa"/>
            <w:vAlign w:val="bottom"/>
            <w:tcBorders>
              <w:right w:val="single" w:sz="8" w:color="auto"/>
            </w:tcBorders>
          </w:tcPr>
          <w:p>
            <w:pPr>
              <w:spacing w:after="0"/>
              <w:rPr>
                <w:sz w:val="4"/>
                <w:szCs w:val="4"/>
                <w:color w:val="auto"/>
              </w:rPr>
            </w:pPr>
          </w:p>
        </w:tc>
        <w:tc>
          <w:tcPr>
            <w:tcW w:w="3060" w:type="dxa"/>
            <w:vAlign w:val="bottom"/>
            <w:tcBorders>
              <w:right w:val="single" w:sz="8" w:color="auto"/>
            </w:tcBorders>
            <w:vMerge w:val="continue"/>
            <w:shd w:val="clear" w:color="auto" w:fill="EAF1DD"/>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2820" w:type="dxa"/>
            <w:vAlign w:val="bottom"/>
            <w:tcBorders>
              <w:right w:val="single" w:sz="8" w:color="auto"/>
            </w:tcBorders>
            <w:vMerge w:val="continue"/>
            <w:shd w:val="clear" w:color="auto" w:fill="C6D9F1"/>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640" w:type="dxa"/>
            <w:vAlign w:val="bottom"/>
            <w:shd w:val="clear" w:color="auto" w:fill="DAEEF3"/>
          </w:tcPr>
          <w:p>
            <w:pPr>
              <w:spacing w:after="0"/>
              <w:rPr>
                <w:sz w:val="4"/>
                <w:szCs w:val="4"/>
                <w:color w:val="auto"/>
              </w:rPr>
            </w:pPr>
          </w:p>
        </w:tc>
        <w:tc>
          <w:tcPr>
            <w:tcW w:w="2140" w:type="dxa"/>
            <w:vAlign w:val="bottom"/>
            <w:vMerge w:val="continue"/>
            <w:shd w:val="clear" w:color="auto" w:fill="DAEEF3"/>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900" w:type="dxa"/>
            <w:vAlign w:val="bottom"/>
            <w:tcBorders>
              <w:right w:val="single" w:sz="8" w:color="auto"/>
            </w:tcBorders>
          </w:tcPr>
          <w:p>
            <w:pPr>
              <w:spacing w:after="0"/>
              <w:rPr>
                <w:sz w:val="20"/>
                <w:szCs w:val="20"/>
                <w:color w:val="auto"/>
              </w:rPr>
            </w:pPr>
          </w:p>
        </w:tc>
        <w:tc>
          <w:tcPr>
            <w:tcW w:w="3060" w:type="dxa"/>
            <w:vAlign w:val="bottom"/>
            <w:tcBorders>
              <w:bottom w:val="single" w:sz="8" w:color="EAF1DD"/>
              <w:right w:val="single" w:sz="8" w:color="auto"/>
            </w:tcBorders>
            <w:shd w:val="clear" w:color="auto" w:fill="EAF1DD"/>
          </w:tcPr>
          <w:p>
            <w:pPr>
              <w:jc w:val="center"/>
              <w:spacing w:after="0"/>
              <w:rPr>
                <w:sz w:val="20"/>
                <w:szCs w:val="20"/>
                <w:color w:val="auto"/>
              </w:rPr>
            </w:pPr>
            <w:r>
              <w:rPr>
                <w:rFonts w:ascii="Arial" w:cs="Arial" w:eastAsia="Arial" w:hAnsi="Arial"/>
                <w:sz w:val="11"/>
                <w:szCs w:val="11"/>
                <w:b w:val="1"/>
                <w:bCs w:val="1"/>
                <w:color w:val="FF0000"/>
                <w:w w:val="96"/>
              </w:rPr>
              <w:t>25% of PSU Target Value</w:t>
            </w:r>
          </w:p>
        </w:tc>
        <w:tc>
          <w:tcPr>
            <w:tcW w:w="420" w:type="dxa"/>
            <w:vAlign w:val="bottom"/>
            <w:tcBorders>
              <w:right w:val="single" w:sz="8" w:color="auto"/>
            </w:tcBorders>
          </w:tcPr>
          <w:p>
            <w:pPr>
              <w:spacing w:after="0"/>
              <w:rPr>
                <w:sz w:val="20"/>
                <w:szCs w:val="20"/>
                <w:color w:val="auto"/>
              </w:rPr>
            </w:pPr>
          </w:p>
        </w:tc>
        <w:tc>
          <w:tcPr>
            <w:tcW w:w="2820" w:type="dxa"/>
            <w:vAlign w:val="bottom"/>
            <w:tcBorders>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11"/>
                <w:szCs w:val="11"/>
                <w:b w:val="1"/>
                <w:bCs w:val="1"/>
                <w:color w:val="FF0000"/>
                <w:w w:val="98"/>
              </w:rPr>
              <w:t>25% of PSU Target Value</w:t>
            </w:r>
          </w:p>
        </w:tc>
        <w:tc>
          <w:tcPr>
            <w:tcW w:w="440" w:type="dxa"/>
            <w:vAlign w:val="bottom"/>
            <w:tcBorders>
              <w:right w:val="single" w:sz="8" w:color="auto"/>
            </w:tcBorders>
          </w:tcPr>
          <w:p>
            <w:pPr>
              <w:spacing w:after="0"/>
              <w:rPr>
                <w:sz w:val="20"/>
                <w:szCs w:val="20"/>
                <w:color w:val="auto"/>
              </w:rPr>
            </w:pPr>
          </w:p>
        </w:tc>
        <w:tc>
          <w:tcPr>
            <w:tcW w:w="640" w:type="dxa"/>
            <w:vAlign w:val="bottom"/>
            <w:tcBorders>
              <w:bottom w:val="single" w:sz="8" w:color="DAEEF3"/>
            </w:tcBorders>
            <w:shd w:val="clear" w:color="auto" w:fill="DAEEF3"/>
          </w:tcPr>
          <w:p>
            <w:pPr>
              <w:spacing w:after="0"/>
              <w:rPr>
                <w:sz w:val="20"/>
                <w:szCs w:val="20"/>
                <w:color w:val="auto"/>
              </w:rPr>
            </w:pPr>
          </w:p>
        </w:tc>
        <w:tc>
          <w:tcPr>
            <w:tcW w:w="2140" w:type="dxa"/>
            <w:vAlign w:val="bottom"/>
            <w:tcBorders>
              <w:bottom w:val="single" w:sz="8" w:color="DAEEF3"/>
            </w:tcBorders>
            <w:shd w:val="clear" w:color="auto" w:fill="DAEEF3"/>
          </w:tcPr>
          <w:p>
            <w:pPr>
              <w:jc w:val="center"/>
              <w:ind w:right="602"/>
              <w:spacing w:after="0"/>
              <w:rPr>
                <w:sz w:val="20"/>
                <w:szCs w:val="20"/>
                <w:color w:val="auto"/>
              </w:rPr>
            </w:pPr>
            <w:r>
              <w:rPr>
                <w:rFonts w:ascii="Arial" w:cs="Arial" w:eastAsia="Arial" w:hAnsi="Arial"/>
                <w:sz w:val="11"/>
                <w:szCs w:val="11"/>
                <w:b w:val="1"/>
                <w:bCs w:val="1"/>
                <w:color w:val="FF0000"/>
                <w:w w:val="98"/>
              </w:rPr>
              <w:t>50% of PSU Target Value</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30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Example assuming 100,000 target PSUs (25,000 target TSR shares and 75,000 target EPS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00" w:type="dxa"/>
            <w:vAlign w:val="bottom"/>
            <w:tcBorders>
              <w:right w:val="single" w:sz="8" w:color="auto"/>
            </w:tcBorders>
          </w:tcPr>
          <w:p>
            <w:pPr>
              <w:spacing w:after="0"/>
              <w:rPr>
                <w:sz w:val="15"/>
                <w:szCs w:val="15"/>
                <w:color w:val="auto"/>
              </w:rPr>
            </w:pPr>
          </w:p>
        </w:tc>
        <w:tc>
          <w:tcPr>
            <w:tcW w:w="1020" w:type="dxa"/>
            <w:vAlign w:val="bottom"/>
            <w:tcBorders>
              <w:top w:val="single" w:sz="8" w:color="auto"/>
            </w:tcBorders>
          </w:tcPr>
          <w:p>
            <w:pPr>
              <w:ind w:left="80"/>
              <w:spacing w:after="0"/>
              <w:rPr>
                <w:sz w:val="20"/>
                <w:szCs w:val="20"/>
                <w:color w:val="auto"/>
              </w:rPr>
            </w:pPr>
            <w:r>
              <w:rPr>
                <w:rFonts w:ascii="Arial" w:cs="Arial" w:eastAsia="Arial" w:hAnsi="Arial"/>
                <w:sz w:val="11"/>
                <w:szCs w:val="11"/>
                <w:b w:val="1"/>
                <w:bCs w:val="1"/>
                <w:color w:val="auto"/>
              </w:rPr>
              <w:t>TSR Percentile</w:t>
            </w:r>
          </w:p>
        </w:tc>
        <w:tc>
          <w:tcPr>
            <w:tcW w:w="2040" w:type="dxa"/>
            <w:vAlign w:val="bottom"/>
            <w:tcBorders>
              <w:top w:val="single" w:sz="8" w:color="auto"/>
              <w:right w:val="single" w:sz="8" w:color="auto"/>
            </w:tcBorders>
            <w:gridSpan w:val="2"/>
          </w:tcPr>
          <w:p>
            <w:pPr>
              <w:ind w:left="640"/>
              <w:spacing w:after="0"/>
              <w:rPr>
                <w:sz w:val="20"/>
                <w:szCs w:val="20"/>
                <w:color w:val="auto"/>
              </w:rPr>
            </w:pPr>
            <w:r>
              <w:rPr>
                <w:rFonts w:ascii="Arial" w:cs="Arial" w:eastAsia="Arial" w:hAnsi="Arial"/>
                <w:sz w:val="11"/>
                <w:szCs w:val="11"/>
                <w:b w:val="1"/>
                <w:bCs w:val="1"/>
                <w:color w:val="auto"/>
              </w:rPr>
              <w:t>PSUs Earned</w:t>
            </w:r>
          </w:p>
        </w:tc>
        <w:tc>
          <w:tcPr>
            <w:tcW w:w="420" w:type="dxa"/>
            <w:vAlign w:val="bottom"/>
            <w:tcBorders>
              <w:right w:val="single" w:sz="8" w:color="auto"/>
            </w:tcBorders>
          </w:tcPr>
          <w:p>
            <w:pPr>
              <w:spacing w:after="0"/>
              <w:rPr>
                <w:sz w:val="15"/>
                <w:szCs w:val="15"/>
                <w:color w:val="auto"/>
              </w:rPr>
            </w:pPr>
          </w:p>
        </w:tc>
        <w:tc>
          <w:tcPr>
            <w:tcW w:w="9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EPS vs. Target</w:t>
            </w:r>
          </w:p>
        </w:tc>
        <w:tc>
          <w:tcPr>
            <w:tcW w:w="1900" w:type="dxa"/>
            <w:vAlign w:val="bottom"/>
            <w:tcBorders>
              <w:top w:val="single" w:sz="8" w:color="auto"/>
              <w:right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PSUs Earned</w:t>
            </w:r>
          </w:p>
        </w:tc>
        <w:tc>
          <w:tcPr>
            <w:tcW w:w="440" w:type="dxa"/>
            <w:vAlign w:val="bottom"/>
            <w:tcBorders>
              <w:right w:val="single" w:sz="8" w:color="auto"/>
            </w:tcBorders>
          </w:tcPr>
          <w:p>
            <w:pPr>
              <w:spacing w:after="0"/>
              <w:rPr>
                <w:sz w:val="15"/>
                <w:szCs w:val="15"/>
                <w:color w:val="auto"/>
              </w:rPr>
            </w:pP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EPS vs. Target</w:t>
            </w:r>
          </w:p>
        </w:tc>
        <w:tc>
          <w:tcPr>
            <w:tcW w:w="1900" w:type="dxa"/>
            <w:vAlign w:val="bottom"/>
            <w:tcBorders>
              <w:top w:val="single" w:sz="8" w:color="auto"/>
              <w:right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PSUs Earned</w:t>
            </w:r>
          </w:p>
        </w:tc>
      </w:tr>
      <w:tr>
        <w:trPr>
          <w:trHeight w:val="185"/>
        </w:trPr>
        <w:tc>
          <w:tcPr>
            <w:tcW w:w="1900" w:type="dxa"/>
            <w:vAlign w:val="bottom"/>
            <w:tcBorders>
              <w:right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0"/>
                <w:szCs w:val="10"/>
                <w:b w:val="1"/>
                <w:bCs w:val="1"/>
                <w:color w:val="auto"/>
              </w:rPr>
              <w:t>% of Target</w:t>
            </w:r>
          </w:p>
        </w:tc>
        <w:tc>
          <w:tcPr>
            <w:tcW w:w="1060" w:type="dxa"/>
            <w:vAlign w:val="bottom"/>
            <w:tcBorders>
              <w:right w:val="single" w:sz="8" w:color="auto"/>
            </w:tcBorders>
          </w:tcPr>
          <w:p>
            <w:pPr>
              <w:ind w:left="280"/>
              <w:spacing w:after="0"/>
              <w:rPr>
                <w:sz w:val="20"/>
                <w:szCs w:val="20"/>
                <w:color w:val="auto"/>
              </w:rPr>
            </w:pPr>
            <w:r>
              <w:rPr>
                <w:rFonts w:ascii="Arial" w:cs="Arial" w:eastAsia="Arial" w:hAnsi="Arial"/>
                <w:sz w:val="10"/>
                <w:szCs w:val="10"/>
                <w:b w:val="1"/>
                <w:bCs w:val="1"/>
                <w:color w:val="auto"/>
              </w:rPr>
              <w:t># of PSUs</w:t>
            </w:r>
          </w:p>
        </w:tc>
        <w:tc>
          <w:tcPr>
            <w:tcW w:w="42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0"/>
                <w:szCs w:val="10"/>
                <w:b w:val="1"/>
                <w:bCs w:val="1"/>
                <w:color w:val="auto"/>
              </w:rPr>
              <w:t>% of Target</w:t>
            </w:r>
          </w:p>
        </w:tc>
        <w:tc>
          <w:tcPr>
            <w:tcW w:w="980" w:type="dxa"/>
            <w:vAlign w:val="bottom"/>
            <w:tcBorders>
              <w:right w:val="single" w:sz="8" w:color="auto"/>
            </w:tcBorders>
          </w:tcPr>
          <w:p>
            <w:pPr>
              <w:ind w:left="240"/>
              <w:spacing w:after="0"/>
              <w:rPr>
                <w:sz w:val="20"/>
                <w:szCs w:val="20"/>
                <w:color w:val="auto"/>
              </w:rPr>
            </w:pPr>
            <w:r>
              <w:rPr>
                <w:rFonts w:ascii="Arial" w:cs="Arial" w:eastAsia="Arial" w:hAnsi="Arial"/>
                <w:sz w:val="10"/>
                <w:szCs w:val="10"/>
                <w:b w:val="1"/>
                <w:bCs w:val="1"/>
                <w:color w:val="auto"/>
              </w:rPr>
              <w:t># of PSUs</w:t>
            </w:r>
          </w:p>
        </w:tc>
        <w:tc>
          <w:tcPr>
            <w:tcW w:w="44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0"/>
                <w:szCs w:val="10"/>
                <w:b w:val="1"/>
                <w:bCs w:val="1"/>
                <w:color w:val="auto"/>
              </w:rPr>
              <w:t>% of Target</w:t>
            </w:r>
          </w:p>
        </w:tc>
        <w:tc>
          <w:tcPr>
            <w:tcW w:w="980" w:type="dxa"/>
            <w:vAlign w:val="bottom"/>
            <w:tcBorders>
              <w:right w:val="single" w:sz="8" w:color="auto"/>
            </w:tcBorders>
          </w:tcPr>
          <w:p>
            <w:pPr>
              <w:ind w:left="240"/>
              <w:spacing w:after="0"/>
              <w:rPr>
                <w:sz w:val="20"/>
                <w:szCs w:val="20"/>
                <w:color w:val="auto"/>
              </w:rPr>
            </w:pPr>
            <w:r>
              <w:rPr>
                <w:rFonts w:ascii="Arial" w:cs="Arial" w:eastAsia="Arial" w:hAnsi="Arial"/>
                <w:sz w:val="10"/>
                <w:szCs w:val="10"/>
                <w:b w:val="1"/>
                <w:bCs w:val="1"/>
                <w:color w:val="auto"/>
              </w:rPr>
              <w:t># of PSUs</w:t>
            </w:r>
          </w:p>
        </w:tc>
      </w:tr>
      <w:tr>
        <w:trPr>
          <w:trHeight w:val="26"/>
        </w:trPr>
        <w:tc>
          <w:tcPr>
            <w:tcW w:w="1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161"/>
        </w:trPr>
        <w:tc>
          <w:tcPr>
            <w:tcW w:w="190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Below Threshold</w:t>
            </w:r>
          </w:p>
        </w:tc>
        <w:tc>
          <w:tcPr>
            <w:tcW w:w="1020" w:type="dxa"/>
            <w:vAlign w:val="bottom"/>
          </w:tcPr>
          <w:p>
            <w:pPr>
              <w:jc w:val="center"/>
              <w:ind w:right="46"/>
              <w:spacing w:after="0"/>
              <w:rPr>
                <w:sz w:val="20"/>
                <w:szCs w:val="20"/>
                <w:color w:val="auto"/>
              </w:rPr>
            </w:pPr>
            <w:r>
              <w:rPr>
                <w:rFonts w:ascii="Arial" w:cs="Arial" w:eastAsia="Arial" w:hAnsi="Arial"/>
                <w:sz w:val="11"/>
                <w:szCs w:val="11"/>
                <w:color w:val="auto"/>
              </w:rPr>
              <w:t>&lt;25th</w:t>
            </w:r>
          </w:p>
        </w:tc>
        <w:tc>
          <w:tcPr>
            <w:tcW w:w="980" w:type="dxa"/>
            <w:vAlign w:val="bottom"/>
          </w:tcPr>
          <w:p>
            <w:pPr>
              <w:jc w:val="center"/>
              <w:ind w:right="47"/>
              <w:spacing w:after="0"/>
              <w:rPr>
                <w:sz w:val="20"/>
                <w:szCs w:val="20"/>
                <w:color w:val="auto"/>
              </w:rPr>
            </w:pPr>
            <w:r>
              <w:rPr>
                <w:rFonts w:ascii="Arial" w:cs="Arial" w:eastAsia="Arial" w:hAnsi="Arial"/>
                <w:sz w:val="11"/>
                <w:szCs w:val="11"/>
                <w:color w:val="auto"/>
              </w:rPr>
              <w:t>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0</w:t>
            </w:r>
          </w:p>
        </w:tc>
        <w:tc>
          <w:tcPr>
            <w:tcW w:w="420" w:type="dxa"/>
            <w:vAlign w:val="bottom"/>
            <w:tcBorders>
              <w:right w:val="single" w:sz="8" w:color="auto"/>
            </w:tcBorders>
          </w:tcPr>
          <w:p>
            <w:pPr>
              <w:spacing w:after="0"/>
              <w:rPr>
                <w:sz w:val="13"/>
                <w:szCs w:val="13"/>
                <w:color w:val="auto"/>
              </w:rPr>
            </w:pPr>
          </w:p>
        </w:tc>
        <w:tc>
          <w:tcPr>
            <w:tcW w:w="920" w:type="dxa"/>
            <w:vAlign w:val="bottom"/>
          </w:tcPr>
          <w:p>
            <w:pPr>
              <w:jc w:val="center"/>
              <w:ind w:right="26"/>
              <w:spacing w:after="0"/>
              <w:rPr>
                <w:sz w:val="20"/>
                <w:szCs w:val="20"/>
                <w:color w:val="auto"/>
              </w:rPr>
            </w:pPr>
            <w:r>
              <w:rPr>
                <w:rFonts w:ascii="Arial" w:cs="Arial" w:eastAsia="Arial" w:hAnsi="Arial"/>
                <w:sz w:val="11"/>
                <w:szCs w:val="11"/>
                <w:color w:val="auto"/>
                <w:w w:val="98"/>
              </w:rPr>
              <w:t>&lt;80%</w:t>
            </w:r>
          </w:p>
        </w:tc>
        <w:tc>
          <w:tcPr>
            <w:tcW w:w="920" w:type="dxa"/>
            <w:vAlign w:val="bottom"/>
          </w:tcPr>
          <w:p>
            <w:pPr>
              <w:jc w:val="center"/>
              <w:ind w:right="27"/>
              <w:spacing w:after="0"/>
              <w:rPr>
                <w:sz w:val="20"/>
                <w:szCs w:val="20"/>
                <w:color w:val="auto"/>
              </w:rPr>
            </w:pPr>
            <w:r>
              <w:rPr>
                <w:rFonts w:ascii="Arial" w:cs="Arial" w:eastAsia="Arial" w:hAnsi="Arial"/>
                <w:sz w:val="11"/>
                <w:szCs w:val="11"/>
                <w:color w:val="auto"/>
              </w:rPr>
              <w:t>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0</w:t>
            </w:r>
          </w:p>
        </w:tc>
        <w:tc>
          <w:tcPr>
            <w:tcW w:w="440" w:type="dxa"/>
            <w:vAlign w:val="bottom"/>
            <w:tcBorders>
              <w:right w:val="single" w:sz="8" w:color="auto"/>
            </w:tcBorders>
          </w:tcPr>
          <w:p>
            <w:pPr>
              <w:spacing w:after="0"/>
              <w:rPr>
                <w:sz w:val="13"/>
                <w:szCs w:val="13"/>
                <w:color w:val="auto"/>
              </w:rPr>
            </w:pPr>
          </w:p>
        </w:tc>
        <w:tc>
          <w:tcPr>
            <w:tcW w:w="900" w:type="dxa"/>
            <w:vAlign w:val="bottom"/>
          </w:tcPr>
          <w:p>
            <w:pPr>
              <w:jc w:val="center"/>
              <w:ind w:right="46"/>
              <w:spacing w:after="0"/>
              <w:rPr>
                <w:sz w:val="20"/>
                <w:szCs w:val="20"/>
                <w:color w:val="auto"/>
              </w:rPr>
            </w:pPr>
            <w:r>
              <w:rPr>
                <w:rFonts w:ascii="Arial" w:cs="Arial" w:eastAsia="Arial" w:hAnsi="Arial"/>
                <w:sz w:val="11"/>
                <w:szCs w:val="11"/>
                <w:color w:val="auto"/>
                <w:w w:val="98"/>
              </w:rPr>
              <w:t>&lt;80%</w:t>
            </w:r>
          </w:p>
        </w:tc>
        <w:tc>
          <w:tcPr>
            <w:tcW w:w="920" w:type="dxa"/>
            <w:vAlign w:val="bottom"/>
          </w:tcPr>
          <w:p>
            <w:pPr>
              <w:jc w:val="center"/>
              <w:ind w:right="27"/>
              <w:spacing w:after="0"/>
              <w:rPr>
                <w:sz w:val="20"/>
                <w:szCs w:val="20"/>
                <w:color w:val="auto"/>
              </w:rPr>
            </w:pPr>
            <w:r>
              <w:rPr>
                <w:rFonts w:ascii="Arial" w:cs="Arial" w:eastAsia="Arial" w:hAnsi="Arial"/>
                <w:sz w:val="11"/>
                <w:szCs w:val="11"/>
                <w:color w:val="auto"/>
              </w:rPr>
              <w:t>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0</w:t>
            </w:r>
          </w:p>
        </w:tc>
      </w:tr>
      <w:tr>
        <w:trPr>
          <w:trHeight w:val="189"/>
        </w:trPr>
        <w:tc>
          <w:tcPr>
            <w:tcW w:w="190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Threshold</w:t>
            </w:r>
          </w:p>
        </w:tc>
        <w:tc>
          <w:tcPr>
            <w:tcW w:w="1020" w:type="dxa"/>
            <w:vAlign w:val="bottom"/>
          </w:tcPr>
          <w:p>
            <w:pPr>
              <w:jc w:val="center"/>
              <w:ind w:right="46"/>
              <w:spacing w:after="0"/>
              <w:rPr>
                <w:sz w:val="20"/>
                <w:szCs w:val="20"/>
                <w:color w:val="auto"/>
              </w:rPr>
            </w:pPr>
            <w:r>
              <w:rPr>
                <w:rFonts w:ascii="Arial" w:cs="Arial" w:eastAsia="Arial" w:hAnsi="Arial"/>
                <w:sz w:val="11"/>
                <w:szCs w:val="11"/>
                <w:color w:val="auto"/>
                <w:w w:val="93"/>
              </w:rPr>
              <w:t>25th</w:t>
            </w:r>
          </w:p>
        </w:tc>
        <w:tc>
          <w:tcPr>
            <w:tcW w:w="980" w:type="dxa"/>
            <w:vAlign w:val="bottom"/>
          </w:tcPr>
          <w:p>
            <w:pPr>
              <w:jc w:val="center"/>
              <w:ind w:right="27"/>
              <w:spacing w:after="0"/>
              <w:rPr>
                <w:sz w:val="20"/>
                <w:szCs w:val="20"/>
                <w:color w:val="auto"/>
              </w:rPr>
            </w:pPr>
            <w:r>
              <w:rPr>
                <w:rFonts w:ascii="Arial" w:cs="Arial" w:eastAsia="Arial" w:hAnsi="Arial"/>
                <w:sz w:val="11"/>
                <w:szCs w:val="11"/>
                <w:color w:val="auto"/>
                <w:w w:val="99"/>
              </w:rPr>
              <w:t>25%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6,250</w:t>
            </w:r>
          </w:p>
        </w:tc>
        <w:tc>
          <w:tcPr>
            <w:tcW w:w="420" w:type="dxa"/>
            <w:vAlign w:val="bottom"/>
            <w:tcBorders>
              <w:right w:val="single" w:sz="8" w:color="auto"/>
            </w:tcBorders>
          </w:tcPr>
          <w:p>
            <w:pPr>
              <w:spacing w:after="0"/>
              <w:rPr>
                <w:sz w:val="16"/>
                <w:szCs w:val="16"/>
                <w:color w:val="auto"/>
              </w:rPr>
            </w:pPr>
          </w:p>
        </w:tc>
        <w:tc>
          <w:tcPr>
            <w:tcW w:w="920" w:type="dxa"/>
            <w:vAlign w:val="bottom"/>
          </w:tcPr>
          <w:p>
            <w:pPr>
              <w:jc w:val="center"/>
              <w:ind w:right="46"/>
              <w:spacing w:after="0"/>
              <w:rPr>
                <w:sz w:val="20"/>
                <w:szCs w:val="20"/>
                <w:color w:val="auto"/>
              </w:rPr>
            </w:pPr>
            <w:r>
              <w:rPr>
                <w:rFonts w:ascii="Arial" w:cs="Arial" w:eastAsia="Arial" w:hAnsi="Arial"/>
                <w:sz w:val="11"/>
                <w:szCs w:val="11"/>
                <w:color w:val="auto"/>
                <w:w w:val="99"/>
              </w:rPr>
              <w:t>80%</w:t>
            </w:r>
          </w:p>
        </w:tc>
        <w:tc>
          <w:tcPr>
            <w:tcW w:w="920" w:type="dxa"/>
            <w:vAlign w:val="bottom"/>
          </w:tcPr>
          <w:p>
            <w:pPr>
              <w:jc w:val="center"/>
              <w:ind w:right="47"/>
              <w:spacing w:after="0"/>
              <w:rPr>
                <w:sz w:val="20"/>
                <w:szCs w:val="20"/>
                <w:color w:val="auto"/>
              </w:rPr>
            </w:pPr>
            <w:r>
              <w:rPr>
                <w:rFonts w:ascii="Arial" w:cs="Arial" w:eastAsia="Arial" w:hAnsi="Arial"/>
                <w:sz w:val="11"/>
                <w:szCs w:val="11"/>
                <w:color w:val="auto"/>
                <w:w w:val="99"/>
              </w:rPr>
              <w:t>50%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12,500</w:t>
            </w:r>
          </w:p>
        </w:tc>
        <w:tc>
          <w:tcPr>
            <w:tcW w:w="440" w:type="dxa"/>
            <w:vAlign w:val="bottom"/>
            <w:tcBorders>
              <w:right w:val="single" w:sz="8" w:color="auto"/>
            </w:tcBorders>
          </w:tcPr>
          <w:p>
            <w:pPr>
              <w:spacing w:after="0"/>
              <w:rPr>
                <w:sz w:val="16"/>
                <w:szCs w:val="16"/>
                <w:color w:val="auto"/>
              </w:rPr>
            </w:pPr>
          </w:p>
        </w:tc>
        <w:tc>
          <w:tcPr>
            <w:tcW w:w="900" w:type="dxa"/>
            <w:vAlign w:val="bottom"/>
          </w:tcPr>
          <w:p>
            <w:pPr>
              <w:jc w:val="center"/>
              <w:ind w:right="66"/>
              <w:spacing w:after="0"/>
              <w:rPr>
                <w:sz w:val="20"/>
                <w:szCs w:val="20"/>
                <w:color w:val="auto"/>
              </w:rPr>
            </w:pPr>
            <w:r>
              <w:rPr>
                <w:rFonts w:ascii="Arial" w:cs="Arial" w:eastAsia="Arial" w:hAnsi="Arial"/>
                <w:sz w:val="11"/>
                <w:szCs w:val="11"/>
                <w:color w:val="auto"/>
                <w:w w:val="99"/>
              </w:rPr>
              <w:t>80%</w:t>
            </w:r>
          </w:p>
        </w:tc>
        <w:tc>
          <w:tcPr>
            <w:tcW w:w="920" w:type="dxa"/>
            <w:vAlign w:val="bottom"/>
          </w:tcPr>
          <w:p>
            <w:pPr>
              <w:jc w:val="center"/>
              <w:ind w:right="47"/>
              <w:spacing w:after="0"/>
              <w:rPr>
                <w:sz w:val="20"/>
                <w:szCs w:val="20"/>
                <w:color w:val="auto"/>
              </w:rPr>
            </w:pPr>
            <w:r>
              <w:rPr>
                <w:rFonts w:ascii="Arial" w:cs="Arial" w:eastAsia="Arial" w:hAnsi="Arial"/>
                <w:sz w:val="11"/>
                <w:szCs w:val="11"/>
                <w:color w:val="auto"/>
                <w:w w:val="99"/>
              </w:rPr>
              <w:t>50%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25,000</w:t>
            </w:r>
          </w:p>
        </w:tc>
      </w:tr>
      <w:tr>
        <w:trPr>
          <w:trHeight w:val="189"/>
        </w:trPr>
        <w:tc>
          <w:tcPr>
            <w:tcW w:w="190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Target</w:t>
            </w:r>
          </w:p>
        </w:tc>
        <w:tc>
          <w:tcPr>
            <w:tcW w:w="1020" w:type="dxa"/>
            <w:vAlign w:val="bottom"/>
          </w:tcPr>
          <w:p>
            <w:pPr>
              <w:jc w:val="center"/>
              <w:ind w:right="46"/>
              <w:spacing w:after="0"/>
              <w:rPr>
                <w:sz w:val="20"/>
                <w:szCs w:val="20"/>
                <w:color w:val="auto"/>
              </w:rPr>
            </w:pPr>
            <w:r>
              <w:rPr>
                <w:rFonts w:ascii="Arial" w:cs="Arial" w:eastAsia="Arial" w:hAnsi="Arial"/>
                <w:sz w:val="11"/>
                <w:szCs w:val="11"/>
                <w:color w:val="auto"/>
                <w:w w:val="93"/>
              </w:rPr>
              <w:t>50th</w:t>
            </w:r>
          </w:p>
        </w:tc>
        <w:tc>
          <w:tcPr>
            <w:tcW w:w="980" w:type="dxa"/>
            <w:vAlign w:val="bottom"/>
          </w:tcPr>
          <w:p>
            <w:pPr>
              <w:jc w:val="center"/>
              <w:ind w:right="47"/>
              <w:spacing w:after="0"/>
              <w:rPr>
                <w:sz w:val="20"/>
                <w:szCs w:val="20"/>
                <w:color w:val="auto"/>
              </w:rPr>
            </w:pPr>
            <w:r>
              <w:rPr>
                <w:rFonts w:ascii="Arial" w:cs="Arial" w:eastAsia="Arial" w:hAnsi="Arial"/>
                <w:sz w:val="11"/>
                <w:szCs w:val="11"/>
                <w:color w:val="auto"/>
                <w:w w:val="99"/>
              </w:rPr>
              <w:t>100%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25,000</w:t>
            </w:r>
          </w:p>
        </w:tc>
        <w:tc>
          <w:tcPr>
            <w:tcW w:w="420" w:type="dxa"/>
            <w:vAlign w:val="bottom"/>
            <w:tcBorders>
              <w:right w:val="single" w:sz="8" w:color="auto"/>
            </w:tcBorders>
          </w:tcPr>
          <w:p>
            <w:pPr>
              <w:spacing w:after="0"/>
              <w:rPr>
                <w:sz w:val="16"/>
                <w:szCs w:val="16"/>
                <w:color w:val="auto"/>
              </w:rPr>
            </w:pPr>
          </w:p>
        </w:tc>
        <w:tc>
          <w:tcPr>
            <w:tcW w:w="920" w:type="dxa"/>
            <w:vAlign w:val="bottom"/>
          </w:tcPr>
          <w:p>
            <w:pPr>
              <w:jc w:val="center"/>
              <w:ind w:right="26"/>
              <w:spacing w:after="0"/>
              <w:rPr>
                <w:sz w:val="20"/>
                <w:szCs w:val="20"/>
                <w:color w:val="auto"/>
              </w:rPr>
            </w:pPr>
            <w:r>
              <w:rPr>
                <w:rFonts w:ascii="Arial" w:cs="Arial" w:eastAsia="Arial" w:hAnsi="Arial"/>
                <w:sz w:val="11"/>
                <w:szCs w:val="11"/>
                <w:color w:val="auto"/>
                <w:w w:val="99"/>
              </w:rPr>
              <w:t>100%</w:t>
            </w:r>
          </w:p>
        </w:tc>
        <w:tc>
          <w:tcPr>
            <w:tcW w:w="920" w:type="dxa"/>
            <w:vAlign w:val="bottom"/>
          </w:tcPr>
          <w:p>
            <w:pPr>
              <w:jc w:val="center"/>
              <w:ind w:right="27"/>
              <w:spacing w:after="0"/>
              <w:rPr>
                <w:sz w:val="20"/>
                <w:szCs w:val="20"/>
                <w:color w:val="auto"/>
              </w:rPr>
            </w:pPr>
            <w:r>
              <w:rPr>
                <w:rFonts w:ascii="Arial" w:cs="Arial" w:eastAsia="Arial" w:hAnsi="Arial"/>
                <w:sz w:val="11"/>
                <w:szCs w:val="11"/>
                <w:color w:val="auto"/>
                <w:w w:val="99"/>
              </w:rPr>
              <w:t>100%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25,000</w:t>
            </w:r>
          </w:p>
        </w:tc>
        <w:tc>
          <w:tcPr>
            <w:tcW w:w="440" w:type="dxa"/>
            <w:vAlign w:val="bottom"/>
            <w:tcBorders>
              <w:right w:val="single" w:sz="8" w:color="auto"/>
            </w:tcBorders>
          </w:tcPr>
          <w:p>
            <w:pPr>
              <w:spacing w:after="0"/>
              <w:rPr>
                <w:sz w:val="16"/>
                <w:szCs w:val="16"/>
                <w:color w:val="auto"/>
              </w:rPr>
            </w:pPr>
          </w:p>
        </w:tc>
        <w:tc>
          <w:tcPr>
            <w:tcW w:w="900" w:type="dxa"/>
            <w:vAlign w:val="bottom"/>
          </w:tcPr>
          <w:p>
            <w:pPr>
              <w:jc w:val="center"/>
              <w:ind w:right="46"/>
              <w:spacing w:after="0"/>
              <w:rPr>
                <w:sz w:val="20"/>
                <w:szCs w:val="20"/>
                <w:color w:val="auto"/>
              </w:rPr>
            </w:pPr>
            <w:r>
              <w:rPr>
                <w:rFonts w:ascii="Arial" w:cs="Arial" w:eastAsia="Arial" w:hAnsi="Arial"/>
                <w:sz w:val="11"/>
                <w:szCs w:val="11"/>
                <w:color w:val="auto"/>
                <w:w w:val="99"/>
              </w:rPr>
              <w:t>100%</w:t>
            </w:r>
          </w:p>
        </w:tc>
        <w:tc>
          <w:tcPr>
            <w:tcW w:w="920" w:type="dxa"/>
            <w:vAlign w:val="bottom"/>
          </w:tcPr>
          <w:p>
            <w:pPr>
              <w:jc w:val="center"/>
              <w:ind w:right="27"/>
              <w:spacing w:after="0"/>
              <w:rPr>
                <w:sz w:val="20"/>
                <w:szCs w:val="20"/>
                <w:color w:val="auto"/>
              </w:rPr>
            </w:pPr>
            <w:r>
              <w:rPr>
                <w:rFonts w:ascii="Arial" w:cs="Arial" w:eastAsia="Arial" w:hAnsi="Arial"/>
                <w:sz w:val="11"/>
                <w:szCs w:val="11"/>
                <w:color w:val="auto"/>
                <w:w w:val="99"/>
              </w:rPr>
              <w:t>100%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50,000</w:t>
            </w:r>
          </w:p>
        </w:tc>
      </w:tr>
      <w:tr>
        <w:trPr>
          <w:trHeight w:val="189"/>
        </w:trPr>
        <w:tc>
          <w:tcPr>
            <w:tcW w:w="190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Max</w:t>
            </w:r>
          </w:p>
        </w:tc>
        <w:tc>
          <w:tcPr>
            <w:tcW w:w="1020" w:type="dxa"/>
            <w:vAlign w:val="bottom"/>
          </w:tcPr>
          <w:p>
            <w:pPr>
              <w:jc w:val="center"/>
              <w:ind w:right="46"/>
              <w:spacing w:after="0"/>
              <w:rPr>
                <w:sz w:val="20"/>
                <w:szCs w:val="20"/>
                <w:color w:val="auto"/>
              </w:rPr>
            </w:pPr>
            <w:r>
              <w:rPr>
                <w:rFonts w:ascii="Arial" w:cs="Arial" w:eastAsia="Arial" w:hAnsi="Arial"/>
                <w:sz w:val="11"/>
                <w:szCs w:val="11"/>
                <w:color w:val="auto"/>
              </w:rPr>
              <w:t>100th</w:t>
            </w:r>
          </w:p>
        </w:tc>
        <w:tc>
          <w:tcPr>
            <w:tcW w:w="980" w:type="dxa"/>
            <w:vAlign w:val="bottom"/>
          </w:tcPr>
          <w:p>
            <w:pPr>
              <w:jc w:val="center"/>
              <w:ind w:right="47"/>
              <w:spacing w:after="0"/>
              <w:rPr>
                <w:sz w:val="20"/>
                <w:szCs w:val="20"/>
                <w:color w:val="auto"/>
              </w:rPr>
            </w:pPr>
            <w:r>
              <w:rPr>
                <w:rFonts w:ascii="Arial" w:cs="Arial" w:eastAsia="Arial" w:hAnsi="Arial"/>
                <w:sz w:val="11"/>
                <w:szCs w:val="11"/>
                <w:color w:val="auto"/>
                <w:w w:val="99"/>
              </w:rPr>
              <w:t>200%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50,000</w:t>
            </w:r>
          </w:p>
        </w:tc>
        <w:tc>
          <w:tcPr>
            <w:tcW w:w="420" w:type="dxa"/>
            <w:vAlign w:val="bottom"/>
            <w:tcBorders>
              <w:right w:val="single" w:sz="8" w:color="auto"/>
            </w:tcBorders>
          </w:tcPr>
          <w:p>
            <w:pPr>
              <w:spacing w:after="0"/>
              <w:rPr>
                <w:sz w:val="16"/>
                <w:szCs w:val="16"/>
                <w:color w:val="auto"/>
              </w:rPr>
            </w:pPr>
          </w:p>
        </w:tc>
        <w:tc>
          <w:tcPr>
            <w:tcW w:w="920" w:type="dxa"/>
            <w:vAlign w:val="bottom"/>
          </w:tcPr>
          <w:p>
            <w:pPr>
              <w:jc w:val="center"/>
              <w:ind w:right="46"/>
              <w:spacing w:after="0"/>
              <w:rPr>
                <w:sz w:val="20"/>
                <w:szCs w:val="20"/>
                <w:color w:val="auto"/>
              </w:rPr>
            </w:pPr>
            <w:r>
              <w:rPr>
                <w:rFonts w:ascii="Arial" w:cs="Arial" w:eastAsia="Arial" w:hAnsi="Arial"/>
                <w:sz w:val="11"/>
                <w:szCs w:val="11"/>
                <w:color w:val="auto"/>
                <w:w w:val="99"/>
              </w:rPr>
              <w:t>≥120%</w:t>
            </w:r>
          </w:p>
        </w:tc>
        <w:tc>
          <w:tcPr>
            <w:tcW w:w="920" w:type="dxa"/>
            <w:vAlign w:val="bottom"/>
          </w:tcPr>
          <w:p>
            <w:pPr>
              <w:jc w:val="center"/>
              <w:ind w:right="27"/>
              <w:spacing w:after="0"/>
              <w:rPr>
                <w:sz w:val="20"/>
                <w:szCs w:val="20"/>
                <w:color w:val="auto"/>
              </w:rPr>
            </w:pPr>
            <w:r>
              <w:rPr>
                <w:rFonts w:ascii="Arial" w:cs="Arial" w:eastAsia="Arial" w:hAnsi="Arial"/>
                <w:sz w:val="11"/>
                <w:szCs w:val="11"/>
                <w:color w:val="auto"/>
                <w:w w:val="99"/>
              </w:rPr>
              <w:t>200%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50,000</w:t>
            </w:r>
          </w:p>
        </w:tc>
        <w:tc>
          <w:tcPr>
            <w:tcW w:w="440" w:type="dxa"/>
            <w:vAlign w:val="bottom"/>
            <w:tcBorders>
              <w:right w:val="single" w:sz="8" w:color="auto"/>
            </w:tcBorders>
          </w:tcPr>
          <w:p>
            <w:pPr>
              <w:spacing w:after="0"/>
              <w:rPr>
                <w:sz w:val="16"/>
                <w:szCs w:val="16"/>
                <w:color w:val="auto"/>
              </w:rPr>
            </w:pPr>
          </w:p>
        </w:tc>
        <w:tc>
          <w:tcPr>
            <w:tcW w:w="900" w:type="dxa"/>
            <w:vAlign w:val="bottom"/>
          </w:tcPr>
          <w:p>
            <w:pPr>
              <w:jc w:val="center"/>
              <w:ind w:right="66"/>
              <w:spacing w:after="0"/>
              <w:rPr>
                <w:sz w:val="20"/>
                <w:szCs w:val="20"/>
                <w:color w:val="auto"/>
              </w:rPr>
            </w:pPr>
            <w:r>
              <w:rPr>
                <w:rFonts w:ascii="Arial" w:cs="Arial" w:eastAsia="Arial" w:hAnsi="Arial"/>
                <w:sz w:val="11"/>
                <w:szCs w:val="11"/>
                <w:color w:val="auto"/>
                <w:w w:val="99"/>
              </w:rPr>
              <w:t>≥120%</w:t>
            </w:r>
          </w:p>
        </w:tc>
        <w:tc>
          <w:tcPr>
            <w:tcW w:w="920" w:type="dxa"/>
            <w:vAlign w:val="bottom"/>
          </w:tcPr>
          <w:p>
            <w:pPr>
              <w:jc w:val="center"/>
              <w:ind w:right="27"/>
              <w:spacing w:after="0"/>
              <w:rPr>
                <w:sz w:val="20"/>
                <w:szCs w:val="20"/>
                <w:color w:val="auto"/>
              </w:rPr>
            </w:pPr>
            <w:r>
              <w:rPr>
                <w:rFonts w:ascii="Arial" w:cs="Arial" w:eastAsia="Arial" w:hAnsi="Arial"/>
                <w:sz w:val="11"/>
                <w:szCs w:val="11"/>
                <w:color w:val="auto"/>
                <w:w w:val="99"/>
              </w:rPr>
              <w:t>200%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100,000</w:t>
            </w:r>
          </w:p>
        </w:tc>
      </w:tr>
      <w:tr>
        <w:trPr>
          <w:trHeight w:val="22"/>
        </w:trPr>
        <w:tc>
          <w:tcPr>
            <w:tcW w:w="190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achievement at intermediate points between threshold and target or between target and max, the number of shares to be delivered will be interpolated.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Decisions Reflected our Pay-For-Performance Approach</w:t>
      </w:r>
    </w:p>
    <w:p>
      <w:pPr>
        <w:spacing w:after="0" w:line="8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tables below compare target compensation for our NEOs for fiscal year 2018 to actual compensation and show how much of our NEO compensation is performance-based and/or equity-linked, in each case demonstrating the impact of our pay-for-performance approach.</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45</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Percentage of Total Compensation that is Performance-Based and/or Equity-Linked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percentage of each NEO’s total target compensation that is performance-based and/or equity-linked.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8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Employment Agreement Terms — Fiscal Year 2018</w:t>
            </w:r>
          </w:p>
        </w:tc>
        <w:tc>
          <w:tcPr>
            <w:tcW w:w="2080" w:type="dxa"/>
            <w:vAlign w:val="bottom"/>
            <w:tcBorders>
              <w:bottom w:val="single" w:sz="8" w:color="auto"/>
            </w:tcBorders>
          </w:tcPr>
          <w:p>
            <w:pPr>
              <w:spacing w:after="0"/>
              <w:rPr>
                <w:sz w:val="15"/>
                <w:szCs w:val="15"/>
                <w:color w:val="auto"/>
              </w:rPr>
            </w:pPr>
          </w:p>
        </w:tc>
      </w:tr>
      <w:tr>
        <w:trPr>
          <w:trHeight w:val="156"/>
        </w:trPr>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jc w:val="center"/>
              <w:ind w:right="89"/>
              <w:spacing w:after="0" w:line="156" w:lineRule="exact"/>
              <w:rPr>
                <w:sz w:val="20"/>
                <w:szCs w:val="20"/>
                <w:color w:val="auto"/>
              </w:rPr>
            </w:pPr>
            <w:r>
              <w:rPr>
                <w:rFonts w:ascii="Arial" w:cs="Arial" w:eastAsia="Arial" w:hAnsi="Arial"/>
                <w:sz w:val="14"/>
                <w:szCs w:val="14"/>
                <w:b w:val="1"/>
                <w:bCs w:val="1"/>
                <w:color w:val="auto"/>
                <w:w w:val="99"/>
              </w:rPr>
              <w:t>% of Target</w:t>
            </w:r>
          </w:p>
        </w:tc>
      </w:tr>
      <w:tr>
        <w:trPr>
          <w:trHeight w:val="162"/>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center"/>
              <w:ind w:right="89"/>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Target Annual</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center"/>
              <w:ind w:right="89"/>
              <w:spacing w:after="0"/>
              <w:rPr>
                <w:sz w:val="20"/>
                <w:szCs w:val="20"/>
                <w:color w:val="auto"/>
              </w:rPr>
            </w:pPr>
            <w:r>
              <w:rPr>
                <w:rFonts w:ascii="Arial" w:cs="Arial" w:eastAsia="Arial" w:hAnsi="Arial"/>
                <w:sz w:val="14"/>
                <w:szCs w:val="14"/>
                <w:b w:val="1"/>
                <w:bCs w:val="1"/>
                <w:color w:val="auto"/>
              </w:rPr>
              <w:t>That Is Performance-</w:t>
            </w:r>
          </w:p>
        </w:tc>
      </w:tr>
      <w:tr>
        <w:trPr>
          <w:trHeight w:val="159"/>
        </w:trPr>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9" w:lineRule="exact"/>
              <w:rPr>
                <w:sz w:val="20"/>
                <w:szCs w:val="20"/>
                <w:color w:val="auto"/>
              </w:rPr>
            </w:pPr>
            <w:r>
              <w:rPr>
                <w:rFonts w:ascii="Arial" w:cs="Arial" w:eastAsia="Arial" w:hAnsi="Arial"/>
                <w:sz w:val="14"/>
                <w:szCs w:val="14"/>
                <w:b w:val="1"/>
                <w:bCs w:val="1"/>
                <w:color w:val="auto"/>
              </w:rPr>
              <w:t>Base</w:t>
            </w:r>
          </w:p>
        </w:tc>
        <w:tc>
          <w:tcPr>
            <w:tcW w:w="460" w:type="dxa"/>
            <w:vAlign w:val="bottom"/>
          </w:tcPr>
          <w:p>
            <w:pPr>
              <w:spacing w:after="0"/>
              <w:rPr>
                <w:sz w:val="13"/>
                <w:szCs w:val="13"/>
                <w:color w:val="auto"/>
              </w:rPr>
            </w:pPr>
          </w:p>
        </w:tc>
        <w:tc>
          <w:tcPr>
            <w:tcW w:w="1280" w:type="dxa"/>
            <w:vAlign w:val="bottom"/>
            <w:gridSpan w:val="2"/>
          </w:tcPr>
          <w:p>
            <w:pPr>
              <w:ind w:left="220"/>
              <w:spacing w:after="0" w:line="159" w:lineRule="exact"/>
              <w:rPr>
                <w:sz w:val="20"/>
                <w:szCs w:val="20"/>
                <w:color w:val="auto"/>
              </w:rPr>
            </w:pPr>
            <w:r>
              <w:rPr>
                <w:rFonts w:ascii="Arial" w:cs="Arial" w:eastAsia="Arial" w:hAnsi="Arial"/>
                <w:sz w:val="14"/>
                <w:szCs w:val="14"/>
                <w:b w:val="1"/>
                <w:bCs w:val="1"/>
                <w:color w:val="auto"/>
              </w:rPr>
              <w:t>Target</w:t>
            </w:r>
          </w:p>
        </w:tc>
        <w:tc>
          <w:tcPr>
            <w:tcW w:w="340" w:type="dxa"/>
            <w:vAlign w:val="bottom"/>
          </w:tcPr>
          <w:p>
            <w:pPr>
              <w:spacing w:after="0"/>
              <w:rPr>
                <w:sz w:val="13"/>
                <w:szCs w:val="13"/>
                <w:color w:val="auto"/>
              </w:rPr>
            </w:pPr>
          </w:p>
        </w:tc>
        <w:tc>
          <w:tcPr>
            <w:tcW w:w="142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Equity Award</w:t>
            </w:r>
          </w:p>
        </w:tc>
        <w:tc>
          <w:tcPr>
            <w:tcW w:w="320" w:type="dxa"/>
            <w:vAlign w:val="bottom"/>
          </w:tcPr>
          <w:p>
            <w:pPr>
              <w:spacing w:after="0"/>
              <w:rPr>
                <w:sz w:val="13"/>
                <w:szCs w:val="13"/>
                <w:color w:val="auto"/>
              </w:rPr>
            </w:pPr>
          </w:p>
        </w:tc>
        <w:tc>
          <w:tcPr>
            <w:tcW w:w="144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Target</w:t>
            </w:r>
          </w:p>
        </w:tc>
        <w:tc>
          <w:tcPr>
            <w:tcW w:w="2080" w:type="dxa"/>
            <w:vAlign w:val="bottom"/>
          </w:tcPr>
          <w:p>
            <w:pPr>
              <w:jc w:val="center"/>
              <w:ind w:right="89"/>
              <w:spacing w:after="0" w:line="159" w:lineRule="exact"/>
              <w:rPr>
                <w:sz w:val="20"/>
                <w:szCs w:val="20"/>
                <w:color w:val="auto"/>
              </w:rPr>
            </w:pPr>
            <w:r>
              <w:rPr>
                <w:rFonts w:ascii="Arial" w:cs="Arial" w:eastAsia="Arial" w:hAnsi="Arial"/>
                <w:sz w:val="14"/>
                <w:szCs w:val="14"/>
                <w:b w:val="1"/>
                <w:bCs w:val="1"/>
                <w:color w:val="auto"/>
              </w:rPr>
              <w:t>Based and/or</w:t>
            </w:r>
          </w:p>
        </w:tc>
      </w:tr>
      <w:tr>
        <w:trPr>
          <w:trHeight w:val="179"/>
        </w:trPr>
        <w:tc>
          <w:tcPr>
            <w:tcW w:w="2500" w:type="dxa"/>
            <w:vAlign w:val="bottom"/>
          </w:tcPr>
          <w:p>
            <w:pPr>
              <w:spacing w:after="0"/>
              <w:rPr>
                <w:sz w:val="20"/>
                <w:szCs w:val="20"/>
                <w:color w:val="auto"/>
              </w:rPr>
            </w:pPr>
            <w:r>
              <w:rPr>
                <w:rFonts w:ascii="Arial" w:cs="Arial" w:eastAsia="Arial" w:hAnsi="Arial"/>
                <w:sz w:val="14"/>
                <w:szCs w:val="14"/>
                <w:b w:val="1"/>
                <w:bCs w:val="1"/>
                <w:color w:val="auto"/>
              </w:rPr>
              <w:t>NEO</w:t>
            </w: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Salary</w:t>
            </w:r>
          </w:p>
        </w:tc>
        <w:tc>
          <w:tcPr>
            <w:tcW w:w="460" w:type="dxa"/>
            <w:vAlign w:val="bottom"/>
          </w:tcPr>
          <w:p>
            <w:pPr>
              <w:spacing w:after="0"/>
              <w:rPr>
                <w:sz w:val="15"/>
                <w:szCs w:val="15"/>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Bonus</w:t>
            </w:r>
          </w:p>
        </w:tc>
        <w:tc>
          <w:tcPr>
            <w:tcW w:w="340" w:type="dxa"/>
            <w:vAlign w:val="bottom"/>
          </w:tcPr>
          <w:p>
            <w:pPr>
              <w:spacing w:after="0"/>
              <w:rPr>
                <w:sz w:val="15"/>
                <w:szCs w:val="15"/>
                <w:color w:val="auto"/>
              </w:rPr>
            </w:pPr>
          </w:p>
        </w:tc>
        <w:tc>
          <w:tcPr>
            <w:tcW w:w="1420" w:type="dxa"/>
            <w:vAlign w:val="bottom"/>
            <w:gridSpan w:val="2"/>
          </w:tcPr>
          <w:p>
            <w:pPr>
              <w:jc w:val="center"/>
              <w:ind w:right="300"/>
              <w:spacing w:after="0" w:line="179"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(1)</w:t>
            </w:r>
          </w:p>
        </w:tc>
        <w:tc>
          <w:tcPr>
            <w:tcW w:w="32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Compensation</w:t>
            </w:r>
          </w:p>
        </w:tc>
        <w:tc>
          <w:tcPr>
            <w:tcW w:w="2080" w:type="dxa"/>
            <w:vAlign w:val="bottom"/>
          </w:tcPr>
          <w:p>
            <w:pPr>
              <w:jc w:val="center"/>
              <w:ind w:right="109"/>
              <w:spacing w:after="0" w:line="179" w:lineRule="exact"/>
              <w:rPr>
                <w:sz w:val="20"/>
                <w:szCs w:val="20"/>
                <w:color w:val="auto"/>
              </w:rPr>
            </w:pPr>
            <w:r>
              <w:rPr>
                <w:rFonts w:ascii="Arial" w:cs="Arial" w:eastAsia="Arial" w:hAnsi="Arial"/>
                <w:sz w:val="12"/>
                <w:szCs w:val="12"/>
                <w:b w:val="1"/>
                <w:bCs w:val="1"/>
                <w:color w:val="auto"/>
              </w:rPr>
              <w:t xml:space="preserve">Equity-Linked </w:t>
            </w:r>
            <w:r>
              <w:rPr>
                <w:rFonts w:ascii="Arial" w:cs="Arial" w:eastAsia="Arial" w:hAnsi="Arial"/>
                <w:sz w:val="20"/>
                <w:szCs w:val="20"/>
                <w:b w:val="1"/>
                <w:bCs w:val="1"/>
                <w:color w:val="auto"/>
                <w:vertAlign w:val="superscript"/>
              </w:rPr>
              <w:t>(2)</w:t>
            </w:r>
          </w:p>
        </w:tc>
      </w:tr>
      <w:tr>
        <w:trPr>
          <w:trHeight w:val="169"/>
        </w:trPr>
        <w:tc>
          <w:tcPr>
            <w:tcW w:w="2500" w:type="dxa"/>
            <w:vAlign w:val="bottom"/>
            <w:tcBorders>
              <w:top w:val="single" w:sz="8" w:color="auto"/>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Robert M. Bakish</w:t>
            </w:r>
          </w:p>
        </w:tc>
        <w:tc>
          <w:tcPr>
            <w:tcW w:w="300" w:type="dxa"/>
            <w:vAlign w:val="bottom"/>
            <w:tcBorders>
              <w:top w:val="single" w:sz="8" w:color="auto"/>
              <w:bottom w:val="single" w:sz="8" w:color="auto"/>
            </w:tcBorders>
            <w:shd w:val="clear" w:color="auto" w:fill="DCDDDE"/>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Borders>
              <w:top w:val="single" w:sz="8" w:color="DCDDDE"/>
            </w:tcBorders>
            <w:shd w:val="clear" w:color="auto" w:fill="DCDDDE"/>
          </w:tcPr>
          <w:p>
            <w:pPr>
              <w:spacing w:after="0"/>
              <w:rPr>
                <w:sz w:val="14"/>
                <w:szCs w:val="14"/>
                <w:color w:val="auto"/>
              </w:rPr>
            </w:pPr>
          </w:p>
        </w:tc>
        <w:tc>
          <w:tcPr>
            <w:tcW w:w="460" w:type="dxa"/>
            <w:vAlign w:val="bottom"/>
            <w:tcBorders>
              <w:top w:val="single" w:sz="8" w:color="auto"/>
              <w:bottom w:val="single" w:sz="8" w:color="auto"/>
            </w:tcBorders>
            <w:shd w:val="clear" w:color="auto" w:fill="DCDDDE"/>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7,000,000</w:t>
            </w:r>
          </w:p>
        </w:tc>
        <w:tc>
          <w:tcPr>
            <w:tcW w:w="100" w:type="dxa"/>
            <w:vAlign w:val="bottom"/>
            <w:tcBorders>
              <w:top w:val="single" w:sz="8" w:color="DCDDDE"/>
            </w:tcBorders>
            <w:shd w:val="clear" w:color="auto" w:fill="DCDDDE"/>
          </w:tcPr>
          <w:p>
            <w:pPr>
              <w:spacing w:after="0"/>
              <w:rPr>
                <w:sz w:val="14"/>
                <w:szCs w:val="14"/>
                <w:color w:val="auto"/>
              </w:rPr>
            </w:pPr>
          </w:p>
        </w:tc>
        <w:tc>
          <w:tcPr>
            <w:tcW w:w="340" w:type="dxa"/>
            <w:vAlign w:val="bottom"/>
            <w:tcBorders>
              <w:top w:val="single" w:sz="8" w:color="auto"/>
              <w:bottom w:val="single" w:sz="8" w:color="auto"/>
            </w:tcBorders>
            <w:shd w:val="clear" w:color="auto" w:fill="DCDDDE"/>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tcBorders>
              <w:top w:val="single" w:sz="8" w:color="DCDDDE"/>
            </w:tcBorders>
            <w:shd w:val="clear" w:color="auto" w:fill="DCDDDE"/>
          </w:tcPr>
          <w:p>
            <w:pPr>
              <w:spacing w:after="0"/>
              <w:rPr>
                <w:sz w:val="14"/>
                <w:szCs w:val="14"/>
                <w:color w:val="auto"/>
              </w:rPr>
            </w:pPr>
          </w:p>
        </w:tc>
        <w:tc>
          <w:tcPr>
            <w:tcW w:w="320" w:type="dxa"/>
            <w:vAlign w:val="bottom"/>
            <w:tcBorders>
              <w:top w:val="single" w:sz="8" w:color="auto"/>
              <w:bottom w:val="single" w:sz="8" w:color="auto"/>
            </w:tcBorders>
            <w:shd w:val="clear" w:color="auto" w:fill="DCDDDE"/>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20,000,000</w:t>
            </w:r>
          </w:p>
        </w:tc>
        <w:tc>
          <w:tcPr>
            <w:tcW w:w="100" w:type="dxa"/>
            <w:vAlign w:val="bottom"/>
            <w:tcBorders>
              <w:top w:val="single" w:sz="8" w:color="DCDDDE"/>
            </w:tcBorders>
            <w:shd w:val="clear" w:color="auto" w:fill="DCDDDE"/>
          </w:tcPr>
          <w:p>
            <w:pPr>
              <w:spacing w:after="0"/>
              <w:rPr>
                <w:sz w:val="14"/>
                <w:szCs w:val="14"/>
                <w:color w:val="auto"/>
              </w:rPr>
            </w:pPr>
          </w:p>
        </w:tc>
        <w:tc>
          <w:tcPr>
            <w:tcW w:w="2080" w:type="dxa"/>
            <w:vAlign w:val="bottom"/>
            <w:tcBorders>
              <w:top w:val="single" w:sz="8" w:color="auto"/>
              <w:bottom w:val="single" w:sz="8" w:color="auto"/>
            </w:tcBorders>
            <w:shd w:val="clear" w:color="auto" w:fill="DCDDDE"/>
          </w:tcPr>
          <w:p>
            <w:pPr>
              <w:jc w:val="right"/>
              <w:ind w:right="109"/>
              <w:spacing w:after="0"/>
              <w:rPr>
                <w:sz w:val="20"/>
                <w:szCs w:val="20"/>
                <w:color w:val="auto"/>
              </w:rPr>
            </w:pPr>
            <w:r>
              <w:rPr>
                <w:rFonts w:ascii="Arial" w:cs="Arial" w:eastAsia="Arial" w:hAnsi="Arial"/>
                <w:sz w:val="14"/>
                <w:szCs w:val="14"/>
                <w:color w:val="auto"/>
              </w:rPr>
              <w:t>85%</w:t>
            </w:r>
          </w:p>
        </w:tc>
      </w:tr>
      <w:tr>
        <w:trPr>
          <w:trHeight w:val="169"/>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Wade C. Davis</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1,750,000</w:t>
            </w:r>
          </w:p>
        </w:tc>
        <w:tc>
          <w:tcPr>
            <w:tcW w:w="100" w:type="dxa"/>
            <w:vAlign w:val="bottom"/>
            <w:tcBorders>
              <w:bottom w:val="single" w:sz="8" w:color="DCDDDE"/>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2,500,000</w:t>
            </w:r>
          </w:p>
        </w:tc>
        <w:tc>
          <w:tcPr>
            <w:tcW w:w="100" w:type="dxa"/>
            <w:vAlign w:val="bottom"/>
            <w:tcBorders>
              <w:bottom w:val="single" w:sz="8" w:color="DCDDDE"/>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2,250,000</w:t>
            </w:r>
          </w:p>
        </w:tc>
        <w:tc>
          <w:tcPr>
            <w:tcW w:w="100" w:type="dxa"/>
            <w:vAlign w:val="bottom"/>
            <w:tcBorders>
              <w:bottom w:val="single" w:sz="8" w:color="DCDDDE"/>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6,500,000</w:t>
            </w:r>
          </w:p>
        </w:tc>
        <w:tc>
          <w:tcPr>
            <w:tcW w:w="100" w:type="dxa"/>
            <w:vAlign w:val="bottom"/>
            <w:tcBorders>
              <w:bottom w:val="single" w:sz="8" w:color="DCDDDE"/>
            </w:tcBorders>
          </w:tcPr>
          <w:p>
            <w:pPr>
              <w:spacing w:after="0"/>
              <w:rPr>
                <w:sz w:val="14"/>
                <w:szCs w:val="14"/>
                <w:color w:val="auto"/>
              </w:rPr>
            </w:pPr>
          </w:p>
        </w:tc>
        <w:tc>
          <w:tcPr>
            <w:tcW w:w="2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73%</w:t>
            </w:r>
          </w:p>
        </w:tc>
      </w:tr>
      <w:tr>
        <w:trPr>
          <w:trHeight w:val="169"/>
        </w:trPr>
        <w:tc>
          <w:tcPr>
            <w:tcW w:w="250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Christa A. D'Alimonte</w:t>
            </w:r>
          </w:p>
        </w:tc>
        <w:tc>
          <w:tcPr>
            <w:tcW w:w="300" w:type="dxa"/>
            <w:vAlign w:val="bottom"/>
            <w:tcBorders>
              <w:bottom w:val="single" w:sz="8" w:color="auto"/>
            </w:tcBorders>
            <w:shd w:val="clear" w:color="auto" w:fill="DCDDDE"/>
          </w:tcPr>
          <w:p>
            <w:pPr>
              <w:spacing w:after="0"/>
              <w:rPr>
                <w:sz w:val="14"/>
                <w:szCs w:val="14"/>
                <w:color w:val="auto"/>
              </w:rPr>
            </w:pPr>
          </w:p>
        </w:tc>
        <w:tc>
          <w:tcPr>
            <w:tcW w:w="1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1,060,000</w:t>
            </w:r>
          </w:p>
        </w:tc>
        <w:tc>
          <w:tcPr>
            <w:tcW w:w="100" w:type="dxa"/>
            <w:vAlign w:val="bottom"/>
            <w:shd w:val="clear" w:color="auto" w:fill="DCDDDE"/>
          </w:tcPr>
          <w:p>
            <w:pPr>
              <w:spacing w:after="0"/>
              <w:rPr>
                <w:sz w:val="14"/>
                <w:szCs w:val="14"/>
                <w:color w:val="auto"/>
              </w:rPr>
            </w:pPr>
          </w:p>
        </w:tc>
        <w:tc>
          <w:tcPr>
            <w:tcW w:w="460" w:type="dxa"/>
            <w:vAlign w:val="bottom"/>
            <w:tcBorders>
              <w:bottom w:val="single" w:sz="8" w:color="auto"/>
            </w:tcBorders>
            <w:shd w:val="clear" w:color="auto" w:fill="DCDDDE"/>
          </w:tcPr>
          <w:p>
            <w:pPr>
              <w:spacing w:after="0"/>
              <w:rPr>
                <w:sz w:val="14"/>
                <w:szCs w:val="14"/>
                <w:color w:val="auto"/>
              </w:rPr>
            </w:pPr>
          </w:p>
        </w:tc>
        <w:tc>
          <w:tcPr>
            <w:tcW w:w="1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1,060,000</w:t>
            </w:r>
          </w:p>
        </w:tc>
        <w:tc>
          <w:tcPr>
            <w:tcW w:w="100" w:type="dxa"/>
            <w:vAlign w:val="bottom"/>
            <w:shd w:val="clear" w:color="auto" w:fill="DCDDDE"/>
          </w:tcPr>
          <w:p>
            <w:pPr>
              <w:spacing w:after="0"/>
              <w:rPr>
                <w:sz w:val="14"/>
                <w:szCs w:val="14"/>
                <w:color w:val="auto"/>
              </w:rPr>
            </w:pPr>
          </w:p>
        </w:tc>
        <w:tc>
          <w:tcPr>
            <w:tcW w:w="340" w:type="dxa"/>
            <w:vAlign w:val="bottom"/>
            <w:tcBorders>
              <w:bottom w:val="single" w:sz="8" w:color="auto"/>
            </w:tcBorders>
            <w:shd w:val="clear" w:color="auto" w:fill="DCDDDE"/>
          </w:tcPr>
          <w:p>
            <w:pPr>
              <w:spacing w:after="0"/>
              <w:rPr>
                <w:sz w:val="14"/>
                <w:szCs w:val="14"/>
                <w:color w:val="auto"/>
              </w:rPr>
            </w:pPr>
          </w:p>
        </w:tc>
        <w:tc>
          <w:tcPr>
            <w:tcW w:w="13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1,100,000</w:t>
            </w:r>
          </w:p>
        </w:tc>
        <w:tc>
          <w:tcPr>
            <w:tcW w:w="100" w:type="dxa"/>
            <w:vAlign w:val="bottom"/>
            <w:shd w:val="clear" w:color="auto" w:fill="DCDDDE"/>
          </w:tcPr>
          <w:p>
            <w:pPr>
              <w:spacing w:after="0"/>
              <w:rPr>
                <w:sz w:val="14"/>
                <w:szCs w:val="14"/>
                <w:color w:val="auto"/>
              </w:rPr>
            </w:pPr>
          </w:p>
        </w:tc>
        <w:tc>
          <w:tcPr>
            <w:tcW w:w="320" w:type="dxa"/>
            <w:vAlign w:val="bottom"/>
            <w:tcBorders>
              <w:bottom w:val="single" w:sz="8" w:color="auto"/>
            </w:tcBorders>
            <w:shd w:val="clear" w:color="auto" w:fill="DCDDDE"/>
          </w:tcPr>
          <w:p>
            <w:pPr>
              <w:spacing w:after="0"/>
              <w:rPr>
                <w:sz w:val="14"/>
                <w:szCs w:val="14"/>
                <w:color w:val="auto"/>
              </w:rPr>
            </w:pPr>
          </w:p>
        </w:tc>
        <w:tc>
          <w:tcPr>
            <w:tcW w:w="13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3,220,000</w:t>
            </w:r>
          </w:p>
        </w:tc>
        <w:tc>
          <w:tcPr>
            <w:tcW w:w="100" w:type="dxa"/>
            <w:vAlign w:val="bottom"/>
            <w:shd w:val="clear" w:color="auto" w:fill="DCDDDE"/>
          </w:tcPr>
          <w:p>
            <w:pPr>
              <w:spacing w:after="0"/>
              <w:rPr>
                <w:sz w:val="14"/>
                <w:szCs w:val="14"/>
                <w:color w:val="auto"/>
              </w:rPr>
            </w:pPr>
          </w:p>
        </w:tc>
        <w:tc>
          <w:tcPr>
            <w:tcW w:w="2080" w:type="dxa"/>
            <w:vAlign w:val="bottom"/>
            <w:tcBorders>
              <w:bottom w:val="single" w:sz="8" w:color="auto"/>
            </w:tcBorders>
            <w:shd w:val="clear" w:color="auto" w:fill="DCDDDE"/>
          </w:tcPr>
          <w:p>
            <w:pPr>
              <w:jc w:val="right"/>
              <w:ind w:right="109"/>
              <w:spacing w:after="0"/>
              <w:rPr>
                <w:sz w:val="20"/>
                <w:szCs w:val="20"/>
                <w:color w:val="auto"/>
              </w:rPr>
            </w:pPr>
            <w:r>
              <w:rPr>
                <w:rFonts w:ascii="Arial" w:cs="Arial" w:eastAsia="Arial" w:hAnsi="Arial"/>
                <w:sz w:val="14"/>
                <w:szCs w:val="14"/>
                <w:color w:val="auto"/>
              </w:rPr>
              <w:t>67%</w:t>
            </w:r>
          </w:p>
        </w:tc>
      </w:tr>
      <w:tr>
        <w:trPr>
          <w:trHeight w:val="169"/>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Doretha (DeDe) F. Lea</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911,550</w:t>
            </w:r>
          </w:p>
        </w:tc>
        <w:tc>
          <w:tcPr>
            <w:tcW w:w="100" w:type="dxa"/>
            <w:vAlign w:val="bottom"/>
            <w:tcBorders>
              <w:bottom w:val="single" w:sz="8" w:color="DCDDDE"/>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729,240</w:t>
            </w:r>
          </w:p>
        </w:tc>
        <w:tc>
          <w:tcPr>
            <w:tcW w:w="100" w:type="dxa"/>
            <w:vAlign w:val="bottom"/>
            <w:tcBorders>
              <w:bottom w:val="single" w:sz="8" w:color="DCDDDE"/>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700,000</w:t>
            </w:r>
          </w:p>
        </w:tc>
        <w:tc>
          <w:tcPr>
            <w:tcW w:w="100" w:type="dxa"/>
            <w:vAlign w:val="bottom"/>
            <w:tcBorders>
              <w:bottom w:val="single" w:sz="8" w:color="DCDDDE"/>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2,340,790</w:t>
            </w:r>
          </w:p>
        </w:tc>
        <w:tc>
          <w:tcPr>
            <w:tcW w:w="100" w:type="dxa"/>
            <w:vAlign w:val="bottom"/>
            <w:tcBorders>
              <w:bottom w:val="single" w:sz="8" w:color="DCDDDE"/>
            </w:tcBorders>
          </w:tcPr>
          <w:p>
            <w:pPr>
              <w:spacing w:after="0"/>
              <w:rPr>
                <w:sz w:val="14"/>
                <w:szCs w:val="14"/>
                <w:color w:val="auto"/>
              </w:rPr>
            </w:pPr>
          </w:p>
        </w:tc>
        <w:tc>
          <w:tcPr>
            <w:tcW w:w="2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61%</w:t>
            </w:r>
          </w:p>
        </w:tc>
      </w:tr>
      <w:tr>
        <w:trPr>
          <w:trHeight w:val="169"/>
        </w:trPr>
        <w:tc>
          <w:tcPr>
            <w:tcW w:w="250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Scott M. Mills</w:t>
            </w:r>
          </w:p>
        </w:tc>
        <w:tc>
          <w:tcPr>
            <w:tcW w:w="300" w:type="dxa"/>
            <w:vAlign w:val="bottom"/>
            <w:tcBorders>
              <w:bottom w:val="single" w:sz="8" w:color="auto"/>
            </w:tcBorders>
            <w:shd w:val="clear" w:color="auto" w:fill="DCDDDE"/>
          </w:tcPr>
          <w:p>
            <w:pPr>
              <w:spacing w:after="0"/>
              <w:rPr>
                <w:sz w:val="14"/>
                <w:szCs w:val="14"/>
                <w:color w:val="auto"/>
              </w:rPr>
            </w:pPr>
          </w:p>
        </w:tc>
        <w:tc>
          <w:tcPr>
            <w:tcW w:w="1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1,750,000</w:t>
            </w:r>
          </w:p>
        </w:tc>
        <w:tc>
          <w:tcPr>
            <w:tcW w:w="100" w:type="dxa"/>
            <w:vAlign w:val="bottom"/>
            <w:shd w:val="clear" w:color="auto" w:fill="DCDDDE"/>
          </w:tcPr>
          <w:p>
            <w:pPr>
              <w:spacing w:after="0"/>
              <w:rPr>
                <w:sz w:val="14"/>
                <w:szCs w:val="14"/>
                <w:color w:val="auto"/>
              </w:rPr>
            </w:pPr>
          </w:p>
        </w:tc>
        <w:tc>
          <w:tcPr>
            <w:tcW w:w="460" w:type="dxa"/>
            <w:vAlign w:val="bottom"/>
            <w:tcBorders>
              <w:bottom w:val="single" w:sz="8" w:color="auto"/>
            </w:tcBorders>
            <w:shd w:val="clear" w:color="auto" w:fill="DCDDDE"/>
          </w:tcPr>
          <w:p>
            <w:pPr>
              <w:spacing w:after="0"/>
              <w:rPr>
                <w:sz w:val="14"/>
                <w:szCs w:val="14"/>
                <w:color w:val="auto"/>
              </w:rPr>
            </w:pPr>
          </w:p>
        </w:tc>
        <w:tc>
          <w:tcPr>
            <w:tcW w:w="1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2,500,000</w:t>
            </w:r>
          </w:p>
        </w:tc>
        <w:tc>
          <w:tcPr>
            <w:tcW w:w="100" w:type="dxa"/>
            <w:vAlign w:val="bottom"/>
            <w:shd w:val="clear" w:color="auto" w:fill="DCDDDE"/>
          </w:tcPr>
          <w:p>
            <w:pPr>
              <w:spacing w:after="0"/>
              <w:rPr>
                <w:sz w:val="14"/>
                <w:szCs w:val="14"/>
                <w:color w:val="auto"/>
              </w:rPr>
            </w:pPr>
          </w:p>
        </w:tc>
        <w:tc>
          <w:tcPr>
            <w:tcW w:w="340" w:type="dxa"/>
            <w:vAlign w:val="bottom"/>
            <w:tcBorders>
              <w:bottom w:val="single" w:sz="8" w:color="auto"/>
            </w:tcBorders>
            <w:shd w:val="clear" w:color="auto" w:fill="DCDDDE"/>
          </w:tcPr>
          <w:p>
            <w:pPr>
              <w:spacing w:after="0"/>
              <w:rPr>
                <w:sz w:val="14"/>
                <w:szCs w:val="14"/>
                <w:color w:val="auto"/>
              </w:rPr>
            </w:pPr>
          </w:p>
        </w:tc>
        <w:tc>
          <w:tcPr>
            <w:tcW w:w="13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2,250,000</w:t>
            </w:r>
          </w:p>
        </w:tc>
        <w:tc>
          <w:tcPr>
            <w:tcW w:w="100" w:type="dxa"/>
            <w:vAlign w:val="bottom"/>
            <w:shd w:val="clear" w:color="auto" w:fill="DCDDDE"/>
          </w:tcPr>
          <w:p>
            <w:pPr>
              <w:spacing w:after="0"/>
              <w:rPr>
                <w:sz w:val="14"/>
                <w:szCs w:val="14"/>
                <w:color w:val="auto"/>
              </w:rPr>
            </w:pPr>
          </w:p>
        </w:tc>
        <w:tc>
          <w:tcPr>
            <w:tcW w:w="320" w:type="dxa"/>
            <w:vAlign w:val="bottom"/>
            <w:tcBorders>
              <w:bottom w:val="single" w:sz="8" w:color="auto"/>
            </w:tcBorders>
            <w:shd w:val="clear" w:color="auto" w:fill="DCDDDE"/>
          </w:tcPr>
          <w:p>
            <w:pPr>
              <w:spacing w:after="0"/>
              <w:rPr>
                <w:sz w:val="14"/>
                <w:szCs w:val="14"/>
                <w:color w:val="auto"/>
              </w:rPr>
            </w:pPr>
          </w:p>
        </w:tc>
        <w:tc>
          <w:tcPr>
            <w:tcW w:w="13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6,500,000</w:t>
            </w:r>
          </w:p>
        </w:tc>
        <w:tc>
          <w:tcPr>
            <w:tcW w:w="100" w:type="dxa"/>
            <w:vAlign w:val="bottom"/>
            <w:shd w:val="clear" w:color="auto" w:fill="DCDDDE"/>
          </w:tcPr>
          <w:p>
            <w:pPr>
              <w:spacing w:after="0"/>
              <w:rPr>
                <w:sz w:val="14"/>
                <w:szCs w:val="14"/>
                <w:color w:val="auto"/>
              </w:rPr>
            </w:pPr>
          </w:p>
        </w:tc>
        <w:tc>
          <w:tcPr>
            <w:tcW w:w="2080" w:type="dxa"/>
            <w:vAlign w:val="bottom"/>
            <w:tcBorders>
              <w:bottom w:val="single" w:sz="8" w:color="auto"/>
            </w:tcBorders>
            <w:shd w:val="clear" w:color="auto" w:fill="DCDDDE"/>
          </w:tcPr>
          <w:p>
            <w:pPr>
              <w:jc w:val="right"/>
              <w:ind w:right="109"/>
              <w:spacing w:after="0"/>
              <w:rPr>
                <w:sz w:val="20"/>
                <w:szCs w:val="20"/>
                <w:color w:val="auto"/>
              </w:rPr>
            </w:pPr>
            <w:r>
              <w:rPr>
                <w:rFonts w:ascii="Arial" w:cs="Arial" w:eastAsia="Arial" w:hAnsi="Arial"/>
                <w:sz w:val="14"/>
                <w:szCs w:val="14"/>
                <w:color w:val="auto"/>
              </w:rPr>
              <w:t>73%</w:t>
            </w:r>
          </w:p>
        </w:tc>
      </w:tr>
    </w:tbl>
    <w:p>
      <w:pPr>
        <w:spacing w:after="0" w:line="107" w:lineRule="exact"/>
        <w:rPr>
          <w:sz w:val="20"/>
          <w:szCs w:val="20"/>
          <w:color w:val="auto"/>
        </w:rPr>
      </w:pPr>
    </w:p>
    <w:p>
      <w:pPr>
        <w:jc w:val="both"/>
        <w:ind w:left="440" w:right="20" w:hanging="432"/>
        <w:spacing w:after="0" w:line="266" w:lineRule="auto"/>
        <w:tabs>
          <w:tab w:leader="none" w:pos="440" w:val="left"/>
        </w:tabs>
        <w:numPr>
          <w:ilvl w:val="0"/>
          <w:numId w:val="70"/>
        </w:numPr>
        <w:rPr>
          <w:rFonts w:ascii="Arial" w:cs="Arial" w:eastAsia="Arial" w:hAnsi="Arial"/>
          <w:sz w:val="9"/>
          <w:szCs w:val="9"/>
          <w:i w:val="1"/>
          <w:iCs w:val="1"/>
          <w:color w:val="auto"/>
        </w:rPr>
      </w:pPr>
      <w:r>
        <w:rPr>
          <w:rFonts w:ascii="Arial" w:cs="Arial" w:eastAsia="Arial" w:hAnsi="Arial"/>
          <w:sz w:val="12"/>
          <w:szCs w:val="12"/>
          <w:i w:val="1"/>
          <w:iCs w:val="1"/>
          <w:color w:val="auto"/>
        </w:rPr>
        <w:t>Mr. Bakish received his target annual equity awards in the form of stock options and PSUs and Messrs. Davis and Mills and Mses. D’Alimonte and Lea received their target annual equity awards in the form of stock options, PSUs and RSUs. There is no guarantee that the executives will realize the target value of their equity awards, as the amount the executive ultimately realizes will depend on the market value of our stock at the time of exercise or settlement and, in the case of PSUs, our performance over the three-year performance period.</w:t>
      </w:r>
    </w:p>
    <w:p>
      <w:pPr>
        <w:jc w:val="both"/>
        <w:ind w:left="440" w:right="20" w:hanging="432"/>
        <w:spacing w:after="0" w:line="228" w:lineRule="auto"/>
        <w:tabs>
          <w:tab w:leader="none" w:pos="440" w:val="left"/>
        </w:tabs>
        <w:numPr>
          <w:ilvl w:val="0"/>
          <w:numId w:val="70"/>
        </w:numPr>
        <w:rPr>
          <w:rFonts w:ascii="Arial" w:cs="Arial" w:eastAsia="Arial" w:hAnsi="Arial"/>
          <w:sz w:val="10"/>
          <w:szCs w:val="10"/>
          <w:i w:val="1"/>
          <w:iCs w:val="1"/>
          <w:color w:val="auto"/>
        </w:rPr>
      </w:pPr>
      <w:r>
        <w:rPr>
          <w:rFonts w:ascii="Arial" w:cs="Arial" w:eastAsia="Arial" w:hAnsi="Arial"/>
          <w:sz w:val="14"/>
          <w:szCs w:val="14"/>
          <w:i w:val="1"/>
          <w:iCs w:val="1"/>
          <w:color w:val="auto"/>
        </w:rPr>
        <w:t>Performance-based compensation includes target annual bonus amounts, stock options and PSU awards, each of which represents a form of compensation for which a set level of company or stock performance is required to realize compensation from the award. Equity-linked compensation includes RSUs, for which continued employment is the sole criterion for receipt, but which have a value to the NEO that fluctuates with our stock price.</w:t>
      </w:r>
    </w:p>
    <w:p>
      <w:pPr>
        <w:spacing w:after="0" w:line="89"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following charts show the pay mix for Mr. Bakish, as our Chief Executive Officer, and for our other NEOs during fiscal year 2018 and illustrate the amount of target compensation that is performance-based and/or equity-linked.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69850</wp:posOffset>
            </wp:positionV>
            <wp:extent cx="5334000" cy="1920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3400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Target Versus Actual Bonus Amounts</w:t>
      </w:r>
    </w:p>
    <w:p>
      <w:pPr>
        <w:spacing w:after="0" w:line="106" w:lineRule="exact"/>
        <w:rPr>
          <w:sz w:val="20"/>
          <w:szCs w:val="20"/>
          <w:color w:val="auto"/>
        </w:rPr>
      </w:pPr>
    </w:p>
    <w:p>
      <w:pPr>
        <w:jc w:val="both"/>
        <w:ind w:right="40"/>
        <w:spacing w:after="0" w:line="227" w:lineRule="auto"/>
        <w:rPr>
          <w:sz w:val="20"/>
          <w:szCs w:val="20"/>
          <w:color w:val="auto"/>
        </w:rPr>
      </w:pPr>
      <w:r>
        <w:rPr>
          <w:rFonts w:ascii="Arial" w:cs="Arial" w:eastAsia="Arial" w:hAnsi="Arial"/>
          <w:sz w:val="17"/>
          <w:szCs w:val="17"/>
          <w:color w:val="auto"/>
        </w:rPr>
        <w:t>The following table shows our NEOs’ target and actual annual bonus amounts for each of fiscal years 2018, 2017 and 2016, illustrating how performance and other considerations that are reflected in the Committee’s decisions can result in the achievement of actual bonus amounts at, above and below target.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FY 2018</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FY 2017</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FY 2016</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3"/>
                <w:szCs w:val="13"/>
                <w:color w:val="auto"/>
              </w:rPr>
            </w:pPr>
          </w:p>
        </w:tc>
        <w:tc>
          <w:tcPr>
            <w:tcW w:w="100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Target</w:t>
            </w:r>
          </w:p>
        </w:tc>
        <w:tc>
          <w:tcPr>
            <w:tcW w:w="420" w:type="dxa"/>
            <w:vAlign w:val="bottom"/>
          </w:tcPr>
          <w:p>
            <w:pPr>
              <w:spacing w:after="0"/>
              <w:rPr>
                <w:sz w:val="13"/>
                <w:szCs w:val="13"/>
                <w:color w:val="auto"/>
              </w:rPr>
            </w:pPr>
          </w:p>
        </w:tc>
        <w:tc>
          <w:tcPr>
            <w:tcW w:w="108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3"/>
                <w:szCs w:val="13"/>
                <w:color w:val="auto"/>
              </w:rPr>
            </w:pPr>
          </w:p>
        </w:tc>
        <w:tc>
          <w:tcPr>
            <w:tcW w:w="108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Target</w:t>
            </w:r>
          </w:p>
        </w:tc>
        <w:tc>
          <w:tcPr>
            <w:tcW w:w="420" w:type="dxa"/>
            <w:vAlign w:val="bottom"/>
          </w:tcPr>
          <w:p>
            <w:pPr>
              <w:spacing w:after="0"/>
              <w:rPr>
                <w:sz w:val="13"/>
                <w:szCs w:val="13"/>
                <w:color w:val="auto"/>
              </w:rPr>
            </w:pPr>
          </w:p>
        </w:tc>
        <w:tc>
          <w:tcPr>
            <w:tcW w:w="108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3"/>
                <w:szCs w:val="13"/>
                <w:color w:val="auto"/>
              </w:rPr>
            </w:pPr>
          </w:p>
        </w:tc>
        <w:tc>
          <w:tcPr>
            <w:tcW w:w="112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Target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0" w:type="dxa"/>
            <w:vAlign w:val="bottom"/>
          </w:tcPr>
          <w:p>
            <w:pPr>
              <w:spacing w:after="0"/>
              <w:rPr>
                <w:sz w:val="20"/>
                <w:szCs w:val="20"/>
                <w:color w:val="auto"/>
              </w:rPr>
            </w:pPr>
            <w:r>
              <w:rPr>
                <w:rFonts w:ascii="Arial" w:cs="Arial" w:eastAsia="Arial" w:hAnsi="Arial"/>
                <w:sz w:val="14"/>
                <w:szCs w:val="14"/>
                <w:b w:val="1"/>
                <w:bCs w:val="1"/>
                <w:color w:val="auto"/>
              </w:rPr>
              <w:t>NEO</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Bonus</w:t>
            </w:r>
          </w:p>
        </w:tc>
        <w:tc>
          <w:tcPr>
            <w:tcW w:w="3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Bonus</w:t>
            </w:r>
          </w:p>
        </w:tc>
        <w:tc>
          <w:tcPr>
            <w:tcW w:w="42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Bonus</w:t>
            </w:r>
          </w:p>
        </w:tc>
        <w:tc>
          <w:tcPr>
            <w:tcW w:w="42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Bonus</w:t>
            </w:r>
          </w:p>
        </w:tc>
        <w:tc>
          <w:tcPr>
            <w:tcW w:w="42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Bonus</w:t>
            </w:r>
          </w:p>
        </w:tc>
        <w:tc>
          <w:tcPr>
            <w:tcW w:w="44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0" w:type="dxa"/>
            <w:vAlign w:val="bottom"/>
            <w:tcBorders>
              <w:top w:val="single" w:sz="8" w:color="auto"/>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Robert M. Bakish</w:t>
            </w:r>
          </w:p>
        </w:tc>
        <w:tc>
          <w:tcPr>
            <w:tcW w:w="740" w:type="dxa"/>
            <w:vAlign w:val="bottom"/>
            <w:tcBorders>
              <w:top w:val="single" w:sz="8" w:color="auto"/>
              <w:bottom w:val="single" w:sz="8" w:color="auto"/>
            </w:tcBorders>
            <w:gridSpan w:val="3"/>
            <w:shd w:val="clear" w:color="auto" w:fill="DCDDDE"/>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9,376,640</w:t>
            </w:r>
          </w:p>
        </w:tc>
        <w:tc>
          <w:tcPr>
            <w:tcW w:w="100" w:type="dxa"/>
            <w:vAlign w:val="bottom"/>
            <w:tcBorders>
              <w:top w:val="single" w:sz="8" w:color="DCDDDE"/>
            </w:tcBorders>
            <w:shd w:val="clear" w:color="auto" w:fill="DCDDDE"/>
          </w:tcPr>
          <w:p>
            <w:pPr>
              <w:spacing w:after="0"/>
              <w:rPr>
                <w:sz w:val="14"/>
                <w:szCs w:val="14"/>
                <w:color w:val="auto"/>
              </w:rPr>
            </w:pPr>
          </w:p>
        </w:tc>
        <w:tc>
          <w:tcPr>
            <w:tcW w:w="380" w:type="dxa"/>
            <w:vAlign w:val="bottom"/>
            <w:tcBorders>
              <w:top w:val="single" w:sz="8" w:color="auto"/>
              <w:bottom w:val="single" w:sz="8" w:color="auto"/>
            </w:tcBorders>
            <w:shd w:val="clear" w:color="auto" w:fill="DCDDDE"/>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tcBorders>
              <w:top w:val="single" w:sz="8" w:color="DCDDDE"/>
            </w:tcBorders>
            <w:shd w:val="clear" w:color="auto" w:fill="DCDDDE"/>
          </w:tcPr>
          <w:p>
            <w:pPr>
              <w:spacing w:after="0"/>
              <w:rPr>
                <w:sz w:val="14"/>
                <w:szCs w:val="14"/>
                <w:color w:val="auto"/>
              </w:rPr>
            </w:pPr>
          </w:p>
        </w:tc>
        <w:tc>
          <w:tcPr>
            <w:tcW w:w="420" w:type="dxa"/>
            <w:vAlign w:val="bottom"/>
            <w:tcBorders>
              <w:top w:val="single" w:sz="8" w:color="auto"/>
              <w:bottom w:val="single" w:sz="8" w:color="auto"/>
            </w:tcBorders>
            <w:shd w:val="clear" w:color="auto" w:fill="DCDDDE"/>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tcBorders>
              <w:top w:val="single" w:sz="8" w:color="DCDDDE"/>
            </w:tcBorders>
            <w:shd w:val="clear" w:color="auto" w:fill="DCDDDE"/>
          </w:tcPr>
          <w:p>
            <w:pPr>
              <w:spacing w:after="0"/>
              <w:rPr>
                <w:sz w:val="14"/>
                <w:szCs w:val="14"/>
                <w:color w:val="auto"/>
              </w:rPr>
            </w:pPr>
          </w:p>
        </w:tc>
        <w:tc>
          <w:tcPr>
            <w:tcW w:w="420" w:type="dxa"/>
            <w:vAlign w:val="bottom"/>
            <w:tcBorders>
              <w:top w:val="single" w:sz="8" w:color="auto"/>
              <w:bottom w:val="single" w:sz="8" w:color="auto"/>
            </w:tcBorders>
            <w:shd w:val="clear" w:color="auto" w:fill="DCDDDE"/>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tcBorders>
              <w:top w:val="single" w:sz="8" w:color="DCDDDE"/>
            </w:tcBorders>
            <w:shd w:val="clear" w:color="auto" w:fill="DCDDDE"/>
          </w:tcPr>
          <w:p>
            <w:pPr>
              <w:spacing w:after="0"/>
              <w:rPr>
                <w:sz w:val="14"/>
                <w:szCs w:val="14"/>
                <w:color w:val="auto"/>
              </w:rPr>
            </w:pPr>
          </w:p>
        </w:tc>
        <w:tc>
          <w:tcPr>
            <w:tcW w:w="420" w:type="dxa"/>
            <w:vAlign w:val="bottom"/>
            <w:tcBorders>
              <w:top w:val="single" w:sz="8" w:color="auto"/>
              <w:bottom w:val="single" w:sz="8" w:color="auto"/>
            </w:tcBorders>
            <w:shd w:val="clear" w:color="auto" w:fill="DCDDDE"/>
          </w:tcPr>
          <w:p>
            <w:pPr>
              <w:spacing w:after="0"/>
              <w:rPr>
                <w:sz w:val="14"/>
                <w:szCs w:val="14"/>
                <w:color w:val="auto"/>
              </w:rPr>
            </w:pPr>
          </w:p>
        </w:tc>
        <w:tc>
          <w:tcPr>
            <w:tcW w:w="980" w:type="dxa"/>
            <w:vAlign w:val="bottom"/>
            <w:tcBorders>
              <w:top w:val="single" w:sz="8" w:color="auto"/>
              <w:bottom w:val="single" w:sz="8" w:color="auto"/>
            </w:tcBorders>
            <w:shd w:val="clear" w:color="auto" w:fill="DCDDDE"/>
          </w:tcPr>
          <w:p>
            <w:pPr>
              <w:spacing w:after="0"/>
              <w:rPr>
                <w:sz w:val="14"/>
                <w:szCs w:val="14"/>
                <w:color w:val="auto"/>
              </w:rPr>
            </w:pPr>
          </w:p>
        </w:tc>
        <w:tc>
          <w:tcPr>
            <w:tcW w:w="100" w:type="dxa"/>
            <w:vAlign w:val="bottom"/>
            <w:tcBorders>
              <w:top w:val="single" w:sz="8" w:color="DCDDDE"/>
            </w:tcBorders>
            <w:shd w:val="clear" w:color="auto" w:fill="DCDDDE"/>
          </w:tcPr>
          <w:p>
            <w:pPr>
              <w:spacing w:after="0"/>
              <w:rPr>
                <w:sz w:val="14"/>
                <w:szCs w:val="14"/>
                <w:color w:val="auto"/>
              </w:rPr>
            </w:pPr>
          </w:p>
        </w:tc>
        <w:tc>
          <w:tcPr>
            <w:tcW w:w="440" w:type="dxa"/>
            <w:vAlign w:val="bottom"/>
            <w:tcBorders>
              <w:top w:val="single" w:sz="8" w:color="auto"/>
              <w:bottom w:val="single" w:sz="8" w:color="auto"/>
            </w:tcBorders>
            <w:shd w:val="clear" w:color="auto" w:fill="DCDDDE"/>
          </w:tcPr>
          <w:p>
            <w:pPr>
              <w:spacing w:after="0"/>
              <w:rPr>
                <w:sz w:val="14"/>
                <w:szCs w:val="14"/>
                <w:color w:val="auto"/>
              </w:rPr>
            </w:pPr>
          </w:p>
        </w:tc>
        <w:tc>
          <w:tcPr>
            <w:tcW w:w="1000" w:type="dxa"/>
            <w:vAlign w:val="bottom"/>
            <w:tcBorders>
              <w:top w:val="single" w:sz="8" w:color="auto"/>
              <w:bottom w:val="single" w:sz="8" w:color="auto"/>
            </w:tcBorders>
            <w:shd w:val="clear" w:color="auto" w:fill="DCDDDE"/>
          </w:tcPr>
          <w:p>
            <w:pPr>
              <w:spacing w:after="0"/>
              <w:rPr>
                <w:sz w:val="14"/>
                <w:szCs w:val="14"/>
                <w:color w:val="auto"/>
              </w:rPr>
            </w:pPr>
          </w:p>
        </w:tc>
        <w:tc>
          <w:tcPr>
            <w:tcW w:w="120" w:type="dxa"/>
            <w:vAlign w:val="bottom"/>
            <w:tcBorders>
              <w:top w:val="single" w:sz="8" w:color="DCDDDE"/>
            </w:tcBorders>
            <w:shd w:val="clear" w:color="auto" w:fill="DCDDD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Wade C. Davis</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2,990,000</w:t>
            </w:r>
          </w:p>
        </w:tc>
        <w:tc>
          <w:tcPr>
            <w:tcW w:w="100" w:type="dxa"/>
            <w:vAlign w:val="bottom"/>
            <w:tcBorders>
              <w:bottom w:val="single" w:sz="8" w:color="DCDDDE"/>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tcBorders>
              <w:bottom w:val="single" w:sz="8" w:color="DCDDDE"/>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tcBorders>
              <w:bottom w:val="single" w:sz="8" w:color="DCDDDE"/>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tcBorders>
              <w:bottom w:val="single" w:sz="8" w:color="DCDDDE"/>
            </w:tcBorders>
          </w:tcPr>
          <w:p>
            <w:pPr>
              <w:spacing w:after="0"/>
              <w:rPr>
                <w:sz w:val="14"/>
                <w:szCs w:val="14"/>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1,375,000</w:t>
            </w:r>
          </w:p>
        </w:tc>
        <w:tc>
          <w:tcPr>
            <w:tcW w:w="100" w:type="dxa"/>
            <w:vAlign w:val="bottom"/>
            <w:tcBorders>
              <w:bottom w:val="single" w:sz="8" w:color="DCDDDE"/>
            </w:tcBorders>
          </w:tcPr>
          <w:p>
            <w:pPr>
              <w:spacing w:after="0"/>
              <w:rPr>
                <w:sz w:val="14"/>
                <w:szCs w:val="14"/>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tcBorders>
              <w:bottom w:val="single" w:sz="8" w:color="DCDDD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Christa A. D'Alimonte</w:t>
            </w:r>
          </w:p>
        </w:tc>
        <w:tc>
          <w:tcPr>
            <w:tcW w:w="20" w:type="dxa"/>
            <w:vAlign w:val="bottom"/>
            <w:tcBorders>
              <w:bottom w:val="single" w:sz="8" w:color="auto"/>
            </w:tcBorders>
            <w:shd w:val="clear" w:color="auto" w:fill="DCDDDE"/>
          </w:tcPr>
          <w:p>
            <w:pPr>
              <w:spacing w:after="0"/>
              <w:rPr>
                <w:sz w:val="14"/>
                <w:szCs w:val="14"/>
                <w:color w:val="auto"/>
              </w:rPr>
            </w:pPr>
          </w:p>
        </w:tc>
        <w:tc>
          <w:tcPr>
            <w:tcW w:w="400" w:type="dxa"/>
            <w:vAlign w:val="bottom"/>
            <w:tcBorders>
              <w:bottom w:val="single" w:sz="8" w:color="auto"/>
            </w:tcBorders>
            <w:shd w:val="clear" w:color="auto" w:fill="DCDDDE"/>
          </w:tcPr>
          <w:p>
            <w:pPr>
              <w:spacing w:after="0"/>
              <w:rPr>
                <w:sz w:val="14"/>
                <w:szCs w:val="14"/>
                <w:color w:val="auto"/>
              </w:rPr>
            </w:pPr>
          </w:p>
        </w:tc>
        <w:tc>
          <w:tcPr>
            <w:tcW w:w="320" w:type="dxa"/>
            <w:vAlign w:val="bottom"/>
            <w:tcBorders>
              <w:bottom w:val="single" w:sz="8" w:color="auto"/>
            </w:tcBorders>
            <w:shd w:val="clear" w:color="auto" w:fill="DCDDDE"/>
          </w:tcPr>
          <w:p>
            <w:pPr>
              <w:spacing w:after="0"/>
              <w:rPr>
                <w:sz w:val="14"/>
                <w:szCs w:val="14"/>
                <w:color w:val="auto"/>
              </w:rPr>
            </w:pP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1,267,760</w:t>
            </w:r>
          </w:p>
        </w:tc>
        <w:tc>
          <w:tcPr>
            <w:tcW w:w="100" w:type="dxa"/>
            <w:vAlign w:val="bottom"/>
            <w:shd w:val="clear" w:color="auto" w:fill="DCDDDE"/>
          </w:tcPr>
          <w:p>
            <w:pPr>
              <w:spacing w:after="0"/>
              <w:rPr>
                <w:sz w:val="14"/>
                <w:szCs w:val="14"/>
                <w:color w:val="auto"/>
              </w:rPr>
            </w:pPr>
          </w:p>
        </w:tc>
        <w:tc>
          <w:tcPr>
            <w:tcW w:w="380" w:type="dxa"/>
            <w:vAlign w:val="bottom"/>
            <w:tcBorders>
              <w:bottom w:val="single" w:sz="8" w:color="auto"/>
            </w:tcBorders>
            <w:shd w:val="clear" w:color="auto" w:fill="DCDDDE"/>
          </w:tcPr>
          <w:p>
            <w:pPr>
              <w:spacing w:after="0"/>
              <w:rPr>
                <w:sz w:val="14"/>
                <w:szCs w:val="14"/>
                <w:color w:val="auto"/>
              </w:rPr>
            </w:pPr>
          </w:p>
        </w:tc>
        <w:tc>
          <w:tcPr>
            <w:tcW w:w="8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1,060,000</w:t>
            </w:r>
          </w:p>
        </w:tc>
        <w:tc>
          <w:tcPr>
            <w:tcW w:w="120" w:type="dxa"/>
            <w:vAlign w:val="bottom"/>
            <w:shd w:val="clear" w:color="auto" w:fill="DCDDDE"/>
          </w:tcPr>
          <w:p>
            <w:pPr>
              <w:spacing w:after="0"/>
              <w:rPr>
                <w:sz w:val="14"/>
                <w:szCs w:val="14"/>
                <w:color w:val="auto"/>
              </w:rPr>
            </w:pPr>
          </w:p>
        </w:tc>
        <w:tc>
          <w:tcPr>
            <w:tcW w:w="420" w:type="dxa"/>
            <w:vAlign w:val="bottom"/>
            <w:tcBorders>
              <w:bottom w:val="single" w:sz="8" w:color="auto"/>
            </w:tcBorders>
            <w:shd w:val="clear" w:color="auto" w:fill="DCDDDE"/>
          </w:tcPr>
          <w:p>
            <w:pPr>
              <w:spacing w:after="0"/>
              <w:rPr>
                <w:sz w:val="14"/>
                <w:szCs w:val="14"/>
                <w:color w:val="auto"/>
              </w:rPr>
            </w:pPr>
          </w:p>
        </w:tc>
        <w:tc>
          <w:tcPr>
            <w:tcW w:w="9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757,692</w:t>
            </w:r>
          </w:p>
        </w:tc>
        <w:tc>
          <w:tcPr>
            <w:tcW w:w="120" w:type="dxa"/>
            <w:vAlign w:val="bottom"/>
            <w:shd w:val="clear" w:color="auto" w:fill="DCDDDE"/>
          </w:tcPr>
          <w:p>
            <w:pPr>
              <w:spacing w:after="0"/>
              <w:rPr>
                <w:sz w:val="14"/>
                <w:szCs w:val="14"/>
                <w:color w:val="auto"/>
              </w:rPr>
            </w:pPr>
          </w:p>
        </w:tc>
        <w:tc>
          <w:tcPr>
            <w:tcW w:w="420" w:type="dxa"/>
            <w:vAlign w:val="bottom"/>
            <w:tcBorders>
              <w:bottom w:val="single" w:sz="8" w:color="auto"/>
            </w:tcBorders>
            <w:shd w:val="clear" w:color="auto" w:fill="DCDDDE"/>
          </w:tcPr>
          <w:p>
            <w:pPr>
              <w:spacing w:after="0"/>
              <w:rPr>
                <w:sz w:val="14"/>
                <w:szCs w:val="14"/>
                <w:color w:val="auto"/>
              </w:rPr>
            </w:pPr>
          </w:p>
        </w:tc>
        <w:tc>
          <w:tcPr>
            <w:tcW w:w="9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757,692</w:t>
            </w:r>
          </w:p>
        </w:tc>
        <w:tc>
          <w:tcPr>
            <w:tcW w:w="120" w:type="dxa"/>
            <w:vAlign w:val="bottom"/>
            <w:shd w:val="clear" w:color="auto" w:fill="DCDDDE"/>
          </w:tcPr>
          <w:p>
            <w:pPr>
              <w:spacing w:after="0"/>
              <w:rPr>
                <w:sz w:val="14"/>
                <w:szCs w:val="14"/>
                <w:color w:val="auto"/>
              </w:rPr>
            </w:pPr>
          </w:p>
        </w:tc>
        <w:tc>
          <w:tcPr>
            <w:tcW w:w="420" w:type="dxa"/>
            <w:vAlign w:val="bottom"/>
            <w:tcBorders>
              <w:bottom w:val="single" w:sz="8" w:color="auto"/>
            </w:tcBorders>
            <w:shd w:val="clear" w:color="auto" w:fill="DCDDDE"/>
          </w:tcPr>
          <w:p>
            <w:pPr>
              <w:spacing w:after="0"/>
              <w:rPr>
                <w:sz w:val="14"/>
                <w:szCs w:val="14"/>
                <w:color w:val="auto"/>
              </w:rPr>
            </w:pPr>
          </w:p>
        </w:tc>
        <w:tc>
          <w:tcPr>
            <w:tcW w:w="980" w:type="dxa"/>
            <w:vAlign w:val="bottom"/>
            <w:tcBorders>
              <w:bottom w:val="single" w:sz="8" w:color="auto"/>
            </w:tcBorders>
            <w:shd w:val="clear" w:color="auto" w:fill="DCDDDE"/>
          </w:tcPr>
          <w:p>
            <w:pPr>
              <w:spacing w:after="0"/>
              <w:rPr>
                <w:sz w:val="14"/>
                <w:szCs w:val="14"/>
                <w:color w:val="auto"/>
              </w:rPr>
            </w:pPr>
          </w:p>
        </w:tc>
        <w:tc>
          <w:tcPr>
            <w:tcW w:w="100" w:type="dxa"/>
            <w:vAlign w:val="bottom"/>
            <w:shd w:val="clear" w:color="auto" w:fill="DCDDDE"/>
          </w:tcPr>
          <w:p>
            <w:pPr>
              <w:spacing w:after="0"/>
              <w:rPr>
                <w:sz w:val="14"/>
                <w:szCs w:val="14"/>
                <w:color w:val="auto"/>
              </w:rPr>
            </w:pPr>
          </w:p>
        </w:tc>
        <w:tc>
          <w:tcPr>
            <w:tcW w:w="440" w:type="dxa"/>
            <w:vAlign w:val="bottom"/>
            <w:tcBorders>
              <w:bottom w:val="single" w:sz="8" w:color="auto"/>
            </w:tcBorders>
            <w:shd w:val="clear" w:color="auto" w:fill="DCDDDE"/>
          </w:tcPr>
          <w:p>
            <w:pPr>
              <w:spacing w:after="0"/>
              <w:rPr>
                <w:sz w:val="14"/>
                <w:szCs w:val="14"/>
                <w:color w:val="auto"/>
              </w:rPr>
            </w:pPr>
          </w:p>
        </w:tc>
        <w:tc>
          <w:tcPr>
            <w:tcW w:w="1000" w:type="dxa"/>
            <w:vAlign w:val="bottom"/>
            <w:tcBorders>
              <w:bottom w:val="single" w:sz="8" w:color="auto"/>
            </w:tcBorders>
            <w:shd w:val="clear" w:color="auto" w:fill="DCDDDE"/>
          </w:tcPr>
          <w:p>
            <w:pPr>
              <w:spacing w:after="0"/>
              <w:rPr>
                <w:sz w:val="14"/>
                <w:szCs w:val="14"/>
                <w:color w:val="auto"/>
              </w:rPr>
            </w:pPr>
          </w:p>
        </w:tc>
        <w:tc>
          <w:tcPr>
            <w:tcW w:w="120" w:type="dxa"/>
            <w:vAlign w:val="bottom"/>
            <w:shd w:val="clear" w:color="auto" w:fill="DCDDD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Doretha (DeDe) F. Lea</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933,223</w:t>
            </w:r>
          </w:p>
        </w:tc>
        <w:tc>
          <w:tcPr>
            <w:tcW w:w="100" w:type="dxa"/>
            <w:vAlign w:val="bottom"/>
            <w:tcBorders>
              <w:bottom w:val="single" w:sz="8" w:color="DCDDDE"/>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729,240</w:t>
            </w:r>
          </w:p>
        </w:tc>
        <w:tc>
          <w:tcPr>
            <w:tcW w:w="120" w:type="dxa"/>
            <w:vAlign w:val="bottom"/>
            <w:tcBorders>
              <w:bottom w:val="single" w:sz="8" w:color="DCDDDE"/>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708,000</w:t>
            </w:r>
          </w:p>
        </w:tc>
        <w:tc>
          <w:tcPr>
            <w:tcW w:w="120" w:type="dxa"/>
            <w:vAlign w:val="bottom"/>
            <w:tcBorders>
              <w:bottom w:val="single" w:sz="8" w:color="DCDDDE"/>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708,000</w:t>
            </w:r>
          </w:p>
        </w:tc>
        <w:tc>
          <w:tcPr>
            <w:tcW w:w="120" w:type="dxa"/>
            <w:vAlign w:val="bottom"/>
            <w:tcBorders>
              <w:bottom w:val="single" w:sz="8" w:color="DCDDDE"/>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374,000</w:t>
            </w:r>
          </w:p>
        </w:tc>
        <w:tc>
          <w:tcPr>
            <w:tcW w:w="100" w:type="dxa"/>
            <w:vAlign w:val="bottom"/>
            <w:tcBorders>
              <w:bottom w:val="single" w:sz="8" w:color="DCDDDE"/>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680,000</w:t>
            </w:r>
          </w:p>
        </w:tc>
        <w:tc>
          <w:tcPr>
            <w:tcW w:w="120" w:type="dxa"/>
            <w:vAlign w:val="bottom"/>
            <w:tcBorders>
              <w:bottom w:val="single" w:sz="8" w:color="DCDDD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Scott M. Mills</w:t>
            </w:r>
          </w:p>
        </w:tc>
        <w:tc>
          <w:tcPr>
            <w:tcW w:w="20" w:type="dxa"/>
            <w:vAlign w:val="bottom"/>
            <w:tcBorders>
              <w:bottom w:val="single" w:sz="8" w:color="auto"/>
            </w:tcBorders>
            <w:shd w:val="clear" w:color="auto" w:fill="DCDDDE"/>
          </w:tcPr>
          <w:p>
            <w:pPr>
              <w:spacing w:after="0"/>
              <w:rPr>
                <w:sz w:val="14"/>
                <w:szCs w:val="14"/>
                <w:color w:val="auto"/>
              </w:rPr>
            </w:pPr>
          </w:p>
        </w:tc>
        <w:tc>
          <w:tcPr>
            <w:tcW w:w="400" w:type="dxa"/>
            <w:vAlign w:val="bottom"/>
            <w:tcBorders>
              <w:bottom w:val="single" w:sz="8" w:color="auto"/>
            </w:tcBorders>
            <w:shd w:val="clear" w:color="auto" w:fill="DCDDDE"/>
          </w:tcPr>
          <w:p>
            <w:pPr>
              <w:spacing w:after="0"/>
              <w:rPr>
                <w:sz w:val="14"/>
                <w:szCs w:val="14"/>
                <w:color w:val="auto"/>
              </w:rPr>
            </w:pPr>
          </w:p>
        </w:tc>
        <w:tc>
          <w:tcPr>
            <w:tcW w:w="320" w:type="dxa"/>
            <w:vAlign w:val="bottom"/>
            <w:tcBorders>
              <w:bottom w:val="single" w:sz="8" w:color="auto"/>
            </w:tcBorders>
            <w:shd w:val="clear" w:color="auto" w:fill="DCDDDE"/>
          </w:tcPr>
          <w:p>
            <w:pPr>
              <w:spacing w:after="0"/>
              <w:rPr>
                <w:sz w:val="14"/>
                <w:szCs w:val="14"/>
                <w:color w:val="auto"/>
              </w:rPr>
            </w:pP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3,215,000</w:t>
            </w:r>
          </w:p>
        </w:tc>
        <w:tc>
          <w:tcPr>
            <w:tcW w:w="100" w:type="dxa"/>
            <w:vAlign w:val="bottom"/>
            <w:shd w:val="clear" w:color="auto" w:fill="DCDDDE"/>
          </w:tcPr>
          <w:p>
            <w:pPr>
              <w:spacing w:after="0"/>
              <w:rPr>
                <w:sz w:val="14"/>
                <w:szCs w:val="14"/>
                <w:color w:val="auto"/>
              </w:rPr>
            </w:pPr>
          </w:p>
        </w:tc>
        <w:tc>
          <w:tcPr>
            <w:tcW w:w="380" w:type="dxa"/>
            <w:vAlign w:val="bottom"/>
            <w:tcBorders>
              <w:bottom w:val="single" w:sz="8" w:color="auto"/>
            </w:tcBorders>
            <w:shd w:val="clear" w:color="auto" w:fill="DCDDDE"/>
          </w:tcPr>
          <w:p>
            <w:pPr>
              <w:spacing w:after="0"/>
              <w:rPr>
                <w:sz w:val="14"/>
                <w:szCs w:val="14"/>
                <w:color w:val="auto"/>
              </w:rPr>
            </w:pPr>
          </w:p>
        </w:tc>
        <w:tc>
          <w:tcPr>
            <w:tcW w:w="8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shd w:val="clear" w:color="auto" w:fill="DCDDDE"/>
          </w:tcPr>
          <w:p>
            <w:pPr>
              <w:spacing w:after="0"/>
              <w:rPr>
                <w:sz w:val="14"/>
                <w:szCs w:val="14"/>
                <w:color w:val="auto"/>
              </w:rPr>
            </w:pPr>
          </w:p>
        </w:tc>
        <w:tc>
          <w:tcPr>
            <w:tcW w:w="420" w:type="dxa"/>
            <w:vAlign w:val="bottom"/>
            <w:tcBorders>
              <w:bottom w:val="single" w:sz="8" w:color="auto"/>
            </w:tcBorders>
            <w:shd w:val="clear" w:color="auto" w:fill="DCDDDE"/>
          </w:tcPr>
          <w:p>
            <w:pPr>
              <w:spacing w:after="0"/>
              <w:rPr>
                <w:sz w:val="14"/>
                <w:szCs w:val="14"/>
                <w:color w:val="auto"/>
              </w:rPr>
            </w:pPr>
          </w:p>
        </w:tc>
        <w:tc>
          <w:tcPr>
            <w:tcW w:w="9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shd w:val="clear" w:color="auto" w:fill="DCDDDE"/>
          </w:tcPr>
          <w:p>
            <w:pPr>
              <w:spacing w:after="0"/>
              <w:rPr>
                <w:sz w:val="14"/>
                <w:szCs w:val="14"/>
                <w:color w:val="auto"/>
              </w:rPr>
            </w:pPr>
          </w:p>
        </w:tc>
        <w:tc>
          <w:tcPr>
            <w:tcW w:w="420" w:type="dxa"/>
            <w:vAlign w:val="bottom"/>
            <w:tcBorders>
              <w:bottom w:val="single" w:sz="8" w:color="auto"/>
            </w:tcBorders>
            <w:shd w:val="clear" w:color="auto" w:fill="DCDDDE"/>
          </w:tcPr>
          <w:p>
            <w:pPr>
              <w:spacing w:after="0"/>
              <w:rPr>
                <w:sz w:val="14"/>
                <w:szCs w:val="14"/>
                <w:color w:val="auto"/>
              </w:rPr>
            </w:pPr>
          </w:p>
        </w:tc>
        <w:tc>
          <w:tcPr>
            <w:tcW w:w="9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shd w:val="clear" w:color="auto" w:fill="DCDDDE"/>
          </w:tcPr>
          <w:p>
            <w:pPr>
              <w:spacing w:after="0"/>
              <w:rPr>
                <w:sz w:val="14"/>
                <w:szCs w:val="14"/>
                <w:color w:val="auto"/>
              </w:rPr>
            </w:pPr>
          </w:p>
        </w:tc>
        <w:tc>
          <w:tcPr>
            <w:tcW w:w="420" w:type="dxa"/>
            <w:vAlign w:val="bottom"/>
            <w:tcBorders>
              <w:bottom w:val="single" w:sz="8" w:color="auto"/>
            </w:tcBorders>
            <w:shd w:val="clear" w:color="auto" w:fill="DCDDDE"/>
          </w:tcPr>
          <w:p>
            <w:pPr>
              <w:spacing w:after="0"/>
              <w:rPr>
                <w:sz w:val="14"/>
                <w:szCs w:val="14"/>
                <w:color w:val="auto"/>
              </w:rPr>
            </w:pPr>
          </w:p>
        </w:tc>
        <w:tc>
          <w:tcPr>
            <w:tcW w:w="9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1,375,000</w:t>
            </w:r>
          </w:p>
        </w:tc>
        <w:tc>
          <w:tcPr>
            <w:tcW w:w="100" w:type="dxa"/>
            <w:vAlign w:val="bottom"/>
            <w:shd w:val="clear" w:color="auto" w:fill="DCDDDE"/>
          </w:tcPr>
          <w:p>
            <w:pPr>
              <w:spacing w:after="0"/>
              <w:rPr>
                <w:sz w:val="14"/>
                <w:szCs w:val="14"/>
                <w:color w:val="auto"/>
              </w:rPr>
            </w:pPr>
          </w:p>
        </w:tc>
        <w:tc>
          <w:tcPr>
            <w:tcW w:w="440" w:type="dxa"/>
            <w:vAlign w:val="bottom"/>
            <w:tcBorders>
              <w:bottom w:val="single" w:sz="8" w:color="auto"/>
            </w:tcBorders>
            <w:shd w:val="clear" w:color="auto" w:fill="DCDDDE"/>
          </w:tcPr>
          <w:p>
            <w:pPr>
              <w:spacing w:after="0"/>
              <w:rPr>
                <w:sz w:val="14"/>
                <w:szCs w:val="14"/>
                <w:color w:val="auto"/>
              </w:rPr>
            </w:pPr>
          </w:p>
        </w:tc>
        <w:tc>
          <w:tcPr>
            <w:tcW w:w="10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shd w:val="clear" w:color="auto" w:fill="DCDDD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00" w:type="dxa"/>
            <w:vAlign w:val="bottom"/>
            <w:vMerge w:val="restart"/>
          </w:tcPr>
          <w:p>
            <w:pPr>
              <w:spacing w:after="0"/>
              <w:rPr>
                <w:sz w:val="20"/>
                <w:szCs w:val="20"/>
                <w:color w:val="auto"/>
              </w:rPr>
            </w:pPr>
            <w:r>
              <w:rPr>
                <w:rFonts w:ascii="Arial" w:cs="Arial" w:eastAsia="Arial" w:hAnsi="Arial"/>
                <w:sz w:val="18"/>
                <w:szCs w:val="18"/>
                <w:b w:val="1"/>
                <w:bCs w:val="1"/>
                <w:color w:val="484848"/>
              </w:rPr>
              <w:t xml:space="preserve">46  </w:t>
            </w:r>
            <w:r>
              <w:rPr>
                <w:rFonts w:ascii="Arial" w:cs="Arial" w:eastAsia="Arial" w:hAnsi="Arial"/>
                <w:sz w:val="18"/>
                <w:szCs w:val="18"/>
                <w:b w:val="1"/>
                <w:bCs w:val="1"/>
                <w:color w:val="1CB6EA"/>
              </w:rPr>
              <w:t>VIACOM INC.</w:t>
            </w:r>
          </w:p>
        </w:tc>
        <w:tc>
          <w:tcPr>
            <w:tcW w:w="20" w:type="dxa"/>
            <w:vAlign w:val="bottom"/>
          </w:tcPr>
          <w:p>
            <w:pPr>
              <w:spacing w:after="0"/>
              <w:rPr>
                <w:sz w:val="10"/>
                <w:szCs w:val="10"/>
                <w:color w:val="auto"/>
              </w:rPr>
            </w:pPr>
          </w:p>
        </w:tc>
        <w:tc>
          <w:tcPr>
            <w:tcW w:w="2140" w:type="dxa"/>
            <w:vAlign w:val="bottom"/>
            <w:gridSpan w:val="5"/>
            <w:vMerge w:val="restart"/>
          </w:tcPr>
          <w:p>
            <w:pPr>
              <w:jc w:val="right"/>
              <w:ind w:right="8"/>
              <w:spacing w:after="0"/>
              <w:rPr>
                <w:sz w:val="20"/>
                <w:szCs w:val="20"/>
                <w:color w:val="auto"/>
              </w:rPr>
            </w:pPr>
            <w:r>
              <w:rPr>
                <w:rFonts w:ascii="Arial" w:cs="Arial" w:eastAsia="Arial" w:hAnsi="Arial"/>
                <w:sz w:val="18"/>
                <w:szCs w:val="18"/>
                <w:b w:val="1"/>
                <w:bCs w:val="1"/>
                <w:i w:val="1"/>
                <w:iCs w:val="1"/>
                <w:color w:val="484848"/>
              </w:rPr>
              <w:t>2019 Proxy Statement</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2200" w:type="dxa"/>
            <w:vAlign w:val="bottom"/>
            <w:vMerge w:val="continue"/>
          </w:tcPr>
          <w:p>
            <w:pPr>
              <w:spacing w:after="0"/>
              <w:rPr>
                <w:sz w:val="24"/>
                <w:szCs w:val="24"/>
                <w:color w:val="auto"/>
              </w:rPr>
            </w:pPr>
          </w:p>
        </w:tc>
        <w:tc>
          <w:tcPr>
            <w:tcW w:w="20" w:type="dxa"/>
            <w:vAlign w:val="bottom"/>
            <w:shd w:val="clear" w:color="auto" w:fill="00BBE6"/>
          </w:tcPr>
          <w:p>
            <w:pPr>
              <w:spacing w:after="0"/>
              <w:rPr>
                <w:sz w:val="24"/>
                <w:szCs w:val="24"/>
                <w:color w:val="auto"/>
              </w:rPr>
            </w:pPr>
          </w:p>
        </w:tc>
        <w:tc>
          <w:tcPr>
            <w:tcW w:w="2140" w:type="dxa"/>
            <w:vAlign w:val="bottom"/>
            <w:gridSpan w:val="5"/>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Additional Detail Regarding Compensation Program Design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 provides additional detail on our compensation</w:t>
      </w:r>
    </w:p>
    <w:p>
      <w:pPr>
        <w:spacing w:after="0"/>
        <w:rPr>
          <w:sz w:val="20"/>
          <w:szCs w:val="20"/>
          <w:color w:val="auto"/>
        </w:rPr>
      </w:pPr>
      <w:r>
        <w:rPr>
          <w:rFonts w:ascii="Arial" w:cs="Arial" w:eastAsia="Arial" w:hAnsi="Arial"/>
          <w:sz w:val="17"/>
          <w:szCs w:val="17"/>
          <w:color w:val="auto"/>
        </w:rPr>
        <w:t>program.</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Use of Employment Agreements and Severance and Restrictive Covenants</w:t>
      </w:r>
    </w:p>
    <w:p>
      <w:pPr>
        <w:sectPr>
          <w:pgSz w:w="11900" w:h="16838" w:orient="portrait"/>
          <w:cols w:equalWidth="0" w:num="1">
            <w:col w:w="11440"/>
          </w:cols>
          <w:pgMar w:left="240" w:top="125" w:right="219" w:bottom="1440" w:gutter="0" w:footer="0" w:header="0"/>
        </w:sectPr>
      </w:pPr>
    </w:p>
    <w:p>
      <w:pPr>
        <w:spacing w:after="0" w:line="26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Employment agreements are standard in our industry for top executives and are important for recruiting purposes as well as for their restrictive and other covenants. Each of our NEOs has an employment agreement in which the Committee sets the components of compensation and initial compensation levels. Compensation levels are generally reviewed annually to ensure they continue to reflect the executive’s performance as well as remain competitive.</w:t>
      </w:r>
    </w:p>
    <w:p>
      <w:pPr>
        <w:spacing w:after="0" w:line="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Committee believes that providing certain severance benefits is important to attract and retain high-caliber executives in our industry and provide consideration for the executive’s commitments under the employment agreement.</w:t>
      </w:r>
    </w:p>
    <w:p>
      <w:pPr>
        <w:spacing w:after="0" w:line="5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NEO employment agreements provide for cash payments upon termination without “cause” or resignation for “good reason” (as defined in the employment agreements). These payments are capped at the lesser of two times the sum of the annual base salary and target bonus amount in the year of termination or the remaining cash</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Benefits</w:t>
      </w: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provide traditional benefit plans and programs to our executives and employees on the same relative basis with few exceptions, which are described under “Perquisites” below. These plans include:</w:t>
      </w:r>
    </w:p>
    <w:p>
      <w:pPr>
        <w:spacing w:after="0" w:line="53" w:lineRule="exact"/>
        <w:rPr>
          <w:sz w:val="20"/>
          <w:szCs w:val="20"/>
          <w:color w:val="auto"/>
        </w:rPr>
      </w:pPr>
    </w:p>
    <w:p>
      <w:pPr>
        <w:jc w:val="both"/>
        <w:ind w:left="140" w:hanging="132"/>
        <w:spacing w:after="0" w:line="238" w:lineRule="auto"/>
        <w:tabs>
          <w:tab w:leader="none" w:pos="140" w:val="left"/>
        </w:tabs>
        <w:numPr>
          <w:ilvl w:val="0"/>
          <w:numId w:val="71"/>
        </w:numPr>
        <w:rPr>
          <w:rFonts w:ascii="Arial" w:cs="Arial" w:eastAsia="Arial" w:hAnsi="Arial"/>
          <w:sz w:val="17"/>
          <w:szCs w:val="17"/>
          <w:color w:val="1CB6EA"/>
        </w:rPr>
      </w:pPr>
      <w:r>
        <w:rPr>
          <w:rFonts w:ascii="Arial" w:cs="Arial" w:eastAsia="Arial" w:hAnsi="Arial"/>
          <w:sz w:val="17"/>
          <w:szCs w:val="17"/>
          <w:color w:val="auto"/>
        </w:rPr>
        <w:t>a tax-qualified defined contribution 401(k) Plan, with a company match and profit-sharing contributions, and an Excess 401(k) Plan with a company match;</w:t>
      </w:r>
    </w:p>
    <w:p>
      <w:pPr>
        <w:spacing w:after="0" w:line="53" w:lineRule="exact"/>
        <w:rPr>
          <w:rFonts w:ascii="Arial" w:cs="Arial" w:eastAsia="Arial" w:hAnsi="Arial"/>
          <w:sz w:val="17"/>
          <w:szCs w:val="17"/>
          <w:color w:val="1CB6EA"/>
        </w:rPr>
      </w:pPr>
    </w:p>
    <w:p>
      <w:pPr>
        <w:jc w:val="both"/>
        <w:ind w:left="140" w:right="20" w:hanging="132"/>
        <w:spacing w:after="0" w:line="238" w:lineRule="auto"/>
        <w:tabs>
          <w:tab w:leader="none" w:pos="140" w:val="left"/>
        </w:tabs>
        <w:numPr>
          <w:ilvl w:val="0"/>
          <w:numId w:val="71"/>
        </w:numPr>
        <w:rPr>
          <w:rFonts w:ascii="Arial" w:cs="Arial" w:eastAsia="Arial" w:hAnsi="Arial"/>
          <w:sz w:val="17"/>
          <w:szCs w:val="17"/>
          <w:color w:val="1CB6EA"/>
        </w:rPr>
      </w:pPr>
      <w:r>
        <w:rPr>
          <w:rFonts w:ascii="Arial" w:cs="Arial" w:eastAsia="Arial" w:hAnsi="Arial"/>
          <w:sz w:val="17"/>
          <w:szCs w:val="17"/>
          <w:color w:val="auto"/>
        </w:rPr>
        <w:t>a tax-qualified defined benefit Pension Plan (frozen as of December 31, 2012) and a related Excess Pension Plan (frozen as of April 1, 2009);</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Perquisites</w:t>
      </w:r>
    </w:p>
    <w:p>
      <w:pPr>
        <w:spacing w:after="0" w:line="24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generally provide few perquisites to our NEOs. However, we and the Committee believe that some perquisites are appropriate for the reasons discussed below. We report perquisites in footnote (4) to the “Fiscal Year 2018 Summary Compensation Table.” The executives are taxed as appropriate on these perquisites, and we do not gross up our NEOs for these or any other taxes.</w:t>
      </w:r>
    </w:p>
    <w:p>
      <w:pPr>
        <w:spacing w:after="0" w:line="67" w:lineRule="exact"/>
        <w:rPr>
          <w:sz w:val="20"/>
          <w:szCs w:val="20"/>
          <w:color w:val="auto"/>
        </w:rPr>
      </w:pPr>
    </w:p>
    <w:p>
      <w:pPr>
        <w:ind w:left="140" w:hanging="132"/>
        <w:spacing w:after="0" w:line="243" w:lineRule="auto"/>
        <w:tabs>
          <w:tab w:leader="none" w:pos="140" w:val="left"/>
        </w:tabs>
        <w:numPr>
          <w:ilvl w:val="0"/>
          <w:numId w:val="72"/>
        </w:numPr>
        <w:rPr>
          <w:rFonts w:ascii="Arial" w:cs="Arial" w:eastAsia="Arial" w:hAnsi="Arial"/>
          <w:sz w:val="17"/>
          <w:szCs w:val="17"/>
          <w:color w:val="1CB6EA"/>
        </w:rPr>
      </w:pPr>
      <w:r>
        <w:rPr>
          <w:rFonts w:ascii="Arial" w:cs="Arial" w:eastAsia="Arial" w:hAnsi="Arial"/>
          <w:sz w:val="17"/>
          <w:szCs w:val="17"/>
          <w:color w:val="auto"/>
        </w:rPr>
        <w:t>Our NEOs may be eligible to use the Viacom aircraft for personal use, and we consider amounts related to such travel to be a perquisite.</w:t>
      </w:r>
    </w:p>
    <w:p>
      <w:pPr>
        <w:spacing w:after="0" w:line="49" w:lineRule="exact"/>
        <w:rPr>
          <w:rFonts w:ascii="Arial" w:cs="Arial" w:eastAsia="Arial" w:hAnsi="Arial"/>
          <w:sz w:val="17"/>
          <w:szCs w:val="17"/>
          <w:color w:val="1CB6EA"/>
        </w:rPr>
      </w:pPr>
    </w:p>
    <w:p>
      <w:pPr>
        <w:jc w:val="both"/>
        <w:ind w:left="140" w:hanging="132"/>
        <w:spacing w:after="0" w:line="238" w:lineRule="auto"/>
        <w:tabs>
          <w:tab w:leader="none" w:pos="140" w:val="left"/>
        </w:tabs>
        <w:numPr>
          <w:ilvl w:val="0"/>
          <w:numId w:val="72"/>
        </w:numPr>
        <w:rPr>
          <w:rFonts w:ascii="Arial" w:cs="Arial" w:eastAsia="Arial" w:hAnsi="Arial"/>
          <w:sz w:val="17"/>
          <w:szCs w:val="17"/>
          <w:color w:val="1CB6EA"/>
        </w:rPr>
      </w:pPr>
      <w:r>
        <w:rPr>
          <w:rFonts w:ascii="Arial" w:cs="Arial" w:eastAsia="Arial" w:hAnsi="Arial"/>
          <w:sz w:val="17"/>
          <w:szCs w:val="17"/>
          <w:color w:val="auto"/>
        </w:rPr>
        <w:t>A car and driver in New York are provided to Mr. Bakish for security reasons and are occasionally used for business purposes by other executives. Any personal use of the car and driver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compensation payable under the agreement. No payment is made if an employee leaves voluntarily or is terminated for “cause.”</w:t>
      </w:r>
    </w:p>
    <w:p>
      <w:pPr>
        <w:spacing w:after="0" w:line="63"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Receipt of severance is conditioned on the employee’s signing a release of claims and continuing compliance with certain restrictive and other covenants. Typical post-termination covenants in our employment agreements include commitments not to compete with our company during the term of the agreement, not to solicit our employees to leave our company within a specified time frame, and to cooperate with Viacom and its attorneys in connection with legal matters.</w:t>
      </w:r>
    </w:p>
    <w:p>
      <w:pPr>
        <w:spacing w:after="0" w:line="5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key terms of our NEO employment agreements are described in the narrative following the “Fiscal Year 2018 Summary Compensation Table” and in the section “Payments Upon Termination or Change-In-Control.” “Payments Upon Termination or Change-In-Control” also includes detail on the severance obligations we may have to our NEOs upon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right="40" w:hanging="133"/>
        <w:spacing w:after="0" w:line="243" w:lineRule="auto"/>
        <w:tabs>
          <w:tab w:leader="none" w:pos="140" w:val="left"/>
        </w:tabs>
        <w:numPr>
          <w:ilvl w:val="0"/>
          <w:numId w:val="73"/>
        </w:numPr>
        <w:rPr>
          <w:rFonts w:ascii="Arial" w:cs="Arial" w:eastAsia="Arial" w:hAnsi="Arial"/>
          <w:sz w:val="17"/>
          <w:szCs w:val="17"/>
          <w:color w:val="1CB6EA"/>
        </w:rPr>
      </w:pPr>
      <w:r>
        <w:rPr>
          <w:rFonts w:ascii="Arial" w:cs="Arial" w:eastAsia="Arial" w:hAnsi="Arial"/>
          <w:sz w:val="17"/>
          <w:szCs w:val="17"/>
          <w:color w:val="auto"/>
        </w:rPr>
        <w:t>a bonus deferral plan, which allows an executive to defer a portion of his or her annual cash bonus amount; and</w:t>
      </w:r>
    </w:p>
    <w:p>
      <w:pPr>
        <w:spacing w:after="0" w:line="49" w:lineRule="exact"/>
        <w:rPr>
          <w:rFonts w:ascii="Arial" w:cs="Arial" w:eastAsia="Arial" w:hAnsi="Arial"/>
          <w:sz w:val="17"/>
          <w:szCs w:val="17"/>
          <w:color w:val="1CB6EA"/>
        </w:rPr>
      </w:pPr>
    </w:p>
    <w:p>
      <w:pPr>
        <w:ind w:left="140" w:right="40" w:hanging="138"/>
        <w:spacing w:after="0" w:line="243" w:lineRule="auto"/>
        <w:tabs>
          <w:tab w:leader="none" w:pos="140" w:val="left"/>
        </w:tabs>
        <w:numPr>
          <w:ilvl w:val="0"/>
          <w:numId w:val="73"/>
        </w:numPr>
        <w:rPr>
          <w:rFonts w:ascii="Arial" w:cs="Arial" w:eastAsia="Arial" w:hAnsi="Arial"/>
          <w:sz w:val="17"/>
          <w:szCs w:val="17"/>
          <w:color w:val="1CB6EA"/>
        </w:rPr>
      </w:pPr>
      <w:r>
        <w:rPr>
          <w:rFonts w:ascii="Arial" w:cs="Arial" w:eastAsia="Arial" w:hAnsi="Arial"/>
          <w:sz w:val="17"/>
          <w:szCs w:val="17"/>
          <w:color w:val="auto"/>
        </w:rPr>
        <w:t>health coverage, life insurance, disability benefits and other similar benefits.</w:t>
      </w:r>
    </w:p>
    <w:p>
      <w:pPr>
        <w:spacing w:after="0" w:line="5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For more detail on our benefit plans, see the narratives following the “Fiscal Year 2018 Pension Benefits” and “Fiscal Year 2018 Nonqualified Deferred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by an executive, including for commuting, is considered a perquisite.</w:t>
      </w:r>
    </w:p>
    <w:p>
      <w:pPr>
        <w:spacing w:after="0" w:line="61" w:lineRule="exact"/>
        <w:rPr>
          <w:sz w:val="20"/>
          <w:szCs w:val="20"/>
          <w:color w:val="auto"/>
        </w:rPr>
      </w:pPr>
    </w:p>
    <w:p>
      <w:pPr>
        <w:jc w:val="both"/>
        <w:ind w:left="140" w:right="40" w:hanging="138"/>
        <w:spacing w:after="0" w:line="236" w:lineRule="auto"/>
        <w:tabs>
          <w:tab w:leader="none" w:pos="140" w:val="left"/>
        </w:tabs>
        <w:numPr>
          <w:ilvl w:val="0"/>
          <w:numId w:val="74"/>
        </w:numPr>
        <w:rPr>
          <w:rFonts w:ascii="Arial" w:cs="Arial" w:eastAsia="Arial" w:hAnsi="Arial"/>
          <w:sz w:val="17"/>
          <w:szCs w:val="17"/>
          <w:color w:val="1CB6EA"/>
        </w:rPr>
      </w:pPr>
      <w:r>
        <w:rPr>
          <w:rFonts w:ascii="Arial" w:cs="Arial" w:eastAsia="Arial" w:hAnsi="Arial"/>
          <w:sz w:val="17"/>
          <w:szCs w:val="17"/>
          <w:color w:val="auto"/>
        </w:rPr>
        <w:t>Under their employment agreements, certain of our NEOs receive life insurance benefits in amounts that are higher than the life insurance benefits we provide to employees generally. This incremental amount is considered a perquisite.</w:t>
      </w:r>
    </w:p>
    <w:p>
      <w:pPr>
        <w:spacing w:after="0" w:line="54" w:lineRule="exact"/>
        <w:rPr>
          <w:rFonts w:ascii="Arial" w:cs="Arial" w:eastAsia="Arial" w:hAnsi="Arial"/>
          <w:sz w:val="17"/>
          <w:szCs w:val="17"/>
          <w:color w:val="1CB6EA"/>
        </w:rPr>
      </w:pPr>
    </w:p>
    <w:p>
      <w:pPr>
        <w:jc w:val="both"/>
        <w:ind w:left="140" w:right="40" w:hanging="138"/>
        <w:spacing w:after="0" w:line="235" w:lineRule="auto"/>
        <w:tabs>
          <w:tab w:leader="none" w:pos="140" w:val="left"/>
        </w:tabs>
        <w:numPr>
          <w:ilvl w:val="0"/>
          <w:numId w:val="74"/>
        </w:numPr>
        <w:rPr>
          <w:rFonts w:ascii="Arial" w:cs="Arial" w:eastAsia="Arial" w:hAnsi="Arial"/>
          <w:sz w:val="17"/>
          <w:szCs w:val="17"/>
          <w:color w:val="1CB6EA"/>
        </w:rPr>
      </w:pPr>
      <w:r>
        <w:rPr>
          <w:rFonts w:ascii="Arial" w:cs="Arial" w:eastAsia="Arial" w:hAnsi="Arial"/>
          <w:sz w:val="17"/>
          <w:szCs w:val="17"/>
          <w:color w:val="auto"/>
        </w:rPr>
        <w:t>Our NEOs also receive occasional tickets to company events and, for business purposes, an NEO’s spouse may accompany the executive from time to time to these events. The NEOs also receive, from time to time, DVDs and merchandise related to our businesses. These items involve a de minimis or no incremental cost to us, and we believe they serve a legitimate business purpose.</w:t>
      </w:r>
    </w:p>
    <w:p>
      <w:pPr>
        <w:spacing w:after="0" w:line="213"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47</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The Entertainment Industry and Use of Peer Company Data</w:t>
      </w:r>
    </w:p>
    <w:p>
      <w:pPr>
        <w:spacing w:after="0" w:line="33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Committee considers information about the practices of our media and entertainment industry peer companies and other comparable public companies, as well as evolving market practices, because it believes that reviewing this information is appropriate to ensure that it makes informed compensation decisions. The Committee does not benchmark the compensation of any executive over which it has oversight to any particular percentile, or range of percentiles, of peer company data. Rather, the Committee considers the compensation levels for similar executive positions at our peer companies as only one factor in its decision-making process. One reason for this is that the structure and organization of other companies, as well as the duties, responsibilities, tenure and talents of executives at other companies, often vary considerably.</w:t>
      </w:r>
    </w:p>
    <w:p>
      <w:pPr>
        <w:spacing w:after="0" w:line="7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During fiscal year 2018, Pearl Meyer advised the Committee based on an analysis of information about the other major diversified media and entertainment industry companies: Comcast Corporation, Discovery Communications, The Walt Disney Company, Twenty-First Century Fox, Inc., Time Warner Inc. and CBS Corporation. The Committee also considered advice based on a broad industry peer group, which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comprised of the following companies in fiscal year 2018: Altria Group, Inc., AT&amp;T Inc., Cablevision Systems Corporation, CBS Corporation, Cisco Systems, Inc., The Coca-Cola Company, Comcast Corporation, Dell, Inc., Discovery Communications, General Electric Company, Hewlett-Packard Company, International Business Machines Corporation, PepsiCo, Inc., The Procter &amp; Gamble Company, Twenty-First Century Fox Inc., Sprint Corporation, TEGNA Inc., Verizon Communications Inc., The Walt Disney Company and Yahoo! Inc.</w:t>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addition, the Committee generally monitors compensation best practices and considers alternatives for compensation program design using the Committee members’ own experience and judgment, as well as by reference to the experience and practices of other large public companies and expert commentary. The Committee does not refer to any set group of companies for this purpose.</w:t>
      </w:r>
    </w:p>
    <w:p>
      <w:pPr>
        <w:spacing w:after="0" w:line="5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Committee intends to review its use of peer groups and their composition in fiscal year 2019 to ensure their continued alignment with our business strategy.</w:t>
      </w:r>
    </w:p>
    <w:p>
      <w:pPr>
        <w:spacing w:after="0" w:line="510" w:lineRule="exact"/>
        <w:rPr>
          <w:sz w:val="20"/>
          <w:szCs w:val="20"/>
          <w:color w:val="auto"/>
        </w:rPr>
      </w:pPr>
    </w:p>
    <w:p>
      <w:pPr>
        <w:sectPr>
          <w:pgSz w:w="11900" w:h="16838" w:orient="portrait"/>
          <w:cols w:equalWidth="0" w:num="2">
            <w:col w:w="5480" w:space="460"/>
            <w:col w:w="5480"/>
          </w:cols>
          <w:pgMar w:left="240" w:top="125" w:right="2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Management’s Role</w:t>
      </w:r>
    </w:p>
    <w:p>
      <w:pPr>
        <w:spacing w:after="0" w:line="34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Committee interacts with management regarding our executive compensation policies and programs. For our NEOs other than the Chief Executive Officer, the proposed terms of new employment agreements and annual merit compensation reviews, if any, are initially discussed by the Chief Executive Officer and the Chief People Officer, with input from the executive to whom the NEO directly reports (if other than the Chief Executive Officer). The proposed terms of employment agreements and merit increases are presented to the Committee for consideration and approval.</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48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Chief Executive Officer, the Chief People Officer and the Chief Financial Officer also participate in STIP and LTMIP design discussions, including forming recommendations with respect to performance targets, the results of which are presented to the Committee for consideration and determination. The Chief Executive Officer and Chief People Officer may provide input to the Committee and/or the Board, as appropriate, from time to time on benefits, retirement programs and other matters related to our Human Resources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678180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Tax Deductibility of Performance-Based Compensation and Other Tax Considerations</w:t>
      </w:r>
    </w:p>
    <w:p>
      <w:pPr>
        <w:sectPr>
          <w:pgSz w:w="11900" w:h="16838" w:orient="portrait"/>
          <w:cols w:equalWidth="0" w:num="1">
            <w:col w:w="11440"/>
          </w:cols>
          <w:pgMar w:left="240" w:top="125" w:right="219" w:bottom="1440" w:gutter="0" w:footer="0" w:header="0"/>
        </w:sectPr>
      </w:pPr>
    </w:p>
    <w:p>
      <w:pPr>
        <w:spacing w:after="0" w:line="32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Where appropriate, and after taking into account various considerations, we generally structure our executive employment agreements and compensation programs to allow us to take a tax deduction for the compensation we pay to our executives. Any individual base salary we pay over $1,000,000 is not tax deductible. The performance-based compensation we paid in the form of annual cash bonus amounts under our Senior Executive STIP during fiscal year 2018 was designed to comply with the requirements of Section 162(m) and therefore be tax deductible.</w:t>
      </w:r>
    </w:p>
    <w:p>
      <w:pPr>
        <w:spacing w:after="0" w:line="5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addition, in fiscal year 2018, our stock option and PSU grants under the LTMIP contained performance and/or market conditions and were designed to be Section 162(m) compliant. RSUs with time-vesting only were not tax deductible to the extent they result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in compensation that exceeds the $1,000,000 limit under Section 162(m).</w:t>
      </w:r>
    </w:p>
    <w:p>
      <w:pPr>
        <w:spacing w:after="0" w:line="50"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The Tax Cuts and Jobs Act eliminated our ability to deduct compensation that exceeds the $1,000,000 limit under Section 162(m). Accordingly, in November 2018, the Senior Executive STIP was amended to remove the procedural requirements mandated by Section 162(m). The Senior Executive STIP continues to contain provisions establishing a maximum allowable bonus for each participant.</w:t>
      </w:r>
    </w:p>
    <w:p>
      <w:pPr>
        <w:spacing w:after="0" w:line="67"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Our deferred compensation arrangements, including those in our employment agreements and compensation and benefit plans, are designed to comply with Section 409A of the Internal Revenue Code.</w:t>
      </w:r>
    </w:p>
    <w:p>
      <w:pPr>
        <w:spacing w:after="0" w:line="49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49</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Fiscal Year 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on the total compensation for our NEOs in fiscal years 2018, 2017 and 2016.</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gridSpan w:val="2"/>
          </w:tcPr>
          <w:p>
            <w:pPr>
              <w:jc w:val="center"/>
              <w:ind w:right="29"/>
              <w:spacing w:after="0"/>
              <w:rPr>
                <w:sz w:val="20"/>
                <w:szCs w:val="20"/>
                <w:color w:val="auto"/>
              </w:rPr>
            </w:pPr>
            <w:r>
              <w:rPr>
                <w:rFonts w:ascii="Arial" w:cs="Arial" w:eastAsia="Arial" w:hAnsi="Arial"/>
                <w:sz w:val="11"/>
                <w:szCs w:val="11"/>
                <w:b w:val="1"/>
                <w:bCs w:val="1"/>
                <w:color w:val="auto"/>
                <w:w w:val="97"/>
              </w:rPr>
              <w:t>Change in</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gridSpan w:val="2"/>
          </w:tcPr>
          <w:p>
            <w:pPr>
              <w:jc w:val="center"/>
              <w:ind w:right="9"/>
              <w:spacing w:after="0" w:line="122" w:lineRule="exact"/>
              <w:rPr>
                <w:sz w:val="20"/>
                <w:szCs w:val="20"/>
                <w:color w:val="auto"/>
              </w:rPr>
            </w:pPr>
            <w:r>
              <w:rPr>
                <w:rFonts w:ascii="Arial" w:cs="Arial" w:eastAsia="Arial" w:hAnsi="Arial"/>
                <w:sz w:val="11"/>
                <w:szCs w:val="11"/>
                <w:b w:val="1"/>
                <w:bCs w:val="1"/>
                <w:color w:val="auto"/>
                <w:w w:val="98"/>
              </w:rPr>
              <w:t>Pension</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gridSpan w:val="2"/>
          </w:tcPr>
          <w:p>
            <w:pPr>
              <w:jc w:val="center"/>
              <w:ind w:right="9"/>
              <w:spacing w:after="0" w:line="122" w:lineRule="exact"/>
              <w:rPr>
                <w:sz w:val="20"/>
                <w:szCs w:val="20"/>
                <w:color w:val="auto"/>
              </w:rPr>
            </w:pPr>
            <w:r>
              <w:rPr>
                <w:rFonts w:ascii="Arial" w:cs="Arial" w:eastAsia="Arial" w:hAnsi="Arial"/>
                <w:sz w:val="11"/>
                <w:szCs w:val="11"/>
                <w:b w:val="1"/>
                <w:bCs w:val="1"/>
                <w:color w:val="auto"/>
                <w:w w:val="96"/>
              </w:rPr>
              <w:t>Value and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gridSpan w:val="2"/>
          </w:tcPr>
          <w:p>
            <w:pPr>
              <w:jc w:val="center"/>
              <w:ind w:right="29"/>
              <w:spacing w:after="0" w:line="122" w:lineRule="exact"/>
              <w:rPr>
                <w:sz w:val="20"/>
                <w:szCs w:val="20"/>
                <w:color w:val="auto"/>
              </w:rPr>
            </w:pPr>
            <w:r>
              <w:rPr>
                <w:rFonts w:ascii="Arial" w:cs="Arial" w:eastAsia="Arial" w:hAnsi="Arial"/>
                <w:sz w:val="11"/>
                <w:szCs w:val="11"/>
                <w:b w:val="1"/>
                <w:bCs w:val="1"/>
                <w:color w:val="auto"/>
                <w:w w:val="95"/>
              </w:rPr>
              <w:t>Non-</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gridSpan w:val="2"/>
          </w:tcPr>
          <w:p>
            <w:pPr>
              <w:jc w:val="center"/>
              <w:ind w:right="29"/>
              <w:spacing w:after="0" w:line="122" w:lineRule="exact"/>
              <w:rPr>
                <w:sz w:val="20"/>
                <w:szCs w:val="20"/>
                <w:color w:val="auto"/>
              </w:rPr>
            </w:pPr>
            <w:r>
              <w:rPr>
                <w:rFonts w:ascii="Arial" w:cs="Arial" w:eastAsia="Arial" w:hAnsi="Arial"/>
                <w:sz w:val="11"/>
                <w:szCs w:val="11"/>
                <w:b w:val="1"/>
                <w:bCs w:val="1"/>
                <w:color w:val="auto"/>
                <w:w w:val="97"/>
              </w:rPr>
              <w:t>qualified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52"/>
              <w:spacing w:after="0" w:line="122" w:lineRule="exact"/>
              <w:rPr>
                <w:sz w:val="20"/>
                <w:szCs w:val="20"/>
                <w:color w:val="auto"/>
              </w:rPr>
            </w:pPr>
            <w:r>
              <w:rPr>
                <w:rFonts w:ascii="Arial" w:cs="Arial" w:eastAsia="Arial" w:hAnsi="Arial"/>
                <w:sz w:val="11"/>
                <w:szCs w:val="11"/>
                <w:b w:val="1"/>
                <w:bCs w:val="1"/>
                <w:color w:val="auto"/>
                <w:w w:val="98"/>
              </w:rPr>
              <w:t>Non-Equity</w:t>
            </w:r>
          </w:p>
        </w:tc>
        <w:tc>
          <w:tcPr>
            <w:tcW w:w="1060" w:type="dxa"/>
            <w:vAlign w:val="bottom"/>
            <w:gridSpan w:val="2"/>
          </w:tcPr>
          <w:p>
            <w:pPr>
              <w:jc w:val="center"/>
              <w:ind w:right="29"/>
              <w:spacing w:after="0" w:line="122" w:lineRule="exact"/>
              <w:rPr>
                <w:sz w:val="20"/>
                <w:szCs w:val="20"/>
                <w:color w:val="auto"/>
              </w:rPr>
            </w:pPr>
            <w:r>
              <w:rPr>
                <w:rFonts w:ascii="Arial" w:cs="Arial" w:eastAsia="Arial" w:hAnsi="Arial"/>
                <w:sz w:val="11"/>
                <w:szCs w:val="11"/>
                <w:b w:val="1"/>
                <w:bCs w:val="1"/>
                <w:color w:val="auto"/>
                <w:w w:val="97"/>
              </w:rPr>
              <w:t>Deferred</w:t>
            </w:r>
          </w:p>
        </w:tc>
        <w:tc>
          <w:tcPr>
            <w:tcW w:w="10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9"/>
              </w:rPr>
              <w:t>All</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51"/>
              <w:spacing w:after="0" w:line="122" w:lineRule="exact"/>
              <w:rPr>
                <w:sz w:val="20"/>
                <w:szCs w:val="20"/>
                <w:color w:val="auto"/>
              </w:rPr>
            </w:pPr>
            <w:r>
              <w:rPr>
                <w:rFonts w:ascii="Arial" w:cs="Arial" w:eastAsia="Arial" w:hAnsi="Arial"/>
                <w:sz w:val="11"/>
                <w:szCs w:val="11"/>
                <w:b w:val="1"/>
                <w:bCs w:val="1"/>
                <w:color w:val="auto"/>
                <w:w w:val="99"/>
              </w:rPr>
              <w:t>Stock</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ind w:right="171"/>
              <w:spacing w:after="0" w:line="122" w:lineRule="exact"/>
              <w:rPr>
                <w:sz w:val="20"/>
                <w:szCs w:val="20"/>
                <w:color w:val="auto"/>
              </w:rPr>
            </w:pPr>
            <w:r>
              <w:rPr>
                <w:rFonts w:ascii="Arial" w:cs="Arial" w:eastAsia="Arial" w:hAnsi="Arial"/>
                <w:sz w:val="11"/>
                <w:szCs w:val="11"/>
                <w:b w:val="1"/>
                <w:bCs w:val="1"/>
                <w:color w:val="auto"/>
              </w:rPr>
              <w:t>Option</w:t>
            </w:r>
          </w:p>
        </w:tc>
        <w:tc>
          <w:tcPr>
            <w:tcW w:w="140" w:type="dxa"/>
            <w:vAlign w:val="bottom"/>
          </w:tcPr>
          <w:p>
            <w:pPr>
              <w:spacing w:after="0"/>
              <w:rPr>
                <w:sz w:val="10"/>
                <w:szCs w:val="10"/>
                <w:color w:val="auto"/>
              </w:rPr>
            </w:pPr>
          </w:p>
        </w:tc>
        <w:tc>
          <w:tcPr>
            <w:tcW w:w="1000" w:type="dxa"/>
            <w:vAlign w:val="bottom"/>
          </w:tcPr>
          <w:p>
            <w:pPr>
              <w:jc w:val="center"/>
              <w:ind w:right="132"/>
              <w:spacing w:after="0" w:line="122" w:lineRule="exact"/>
              <w:rPr>
                <w:sz w:val="20"/>
                <w:szCs w:val="20"/>
                <w:color w:val="auto"/>
              </w:rPr>
            </w:pPr>
            <w:r>
              <w:rPr>
                <w:rFonts w:ascii="Arial" w:cs="Arial" w:eastAsia="Arial" w:hAnsi="Arial"/>
                <w:sz w:val="11"/>
                <w:szCs w:val="11"/>
                <w:b w:val="1"/>
                <w:bCs w:val="1"/>
                <w:color w:val="auto"/>
                <w:w w:val="97"/>
              </w:rPr>
              <w:t>Incentive Plan</w:t>
            </w:r>
          </w:p>
        </w:tc>
        <w:tc>
          <w:tcPr>
            <w:tcW w:w="1060" w:type="dxa"/>
            <w:vAlign w:val="bottom"/>
            <w:gridSpan w:val="2"/>
          </w:tcPr>
          <w:p>
            <w:pPr>
              <w:jc w:val="center"/>
              <w:ind w:right="29"/>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10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30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Name and</w:t>
            </w: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Fiscal</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51"/>
              <w:spacing w:after="0" w:line="122" w:lineRule="exact"/>
              <w:rPr>
                <w:sz w:val="20"/>
                <w:szCs w:val="20"/>
                <w:color w:val="auto"/>
              </w:rPr>
            </w:pPr>
            <w:r>
              <w:rPr>
                <w:rFonts w:ascii="Arial" w:cs="Arial" w:eastAsia="Arial" w:hAnsi="Arial"/>
                <w:sz w:val="11"/>
                <w:szCs w:val="11"/>
                <w:b w:val="1"/>
                <w:bCs w:val="1"/>
                <w:color w:val="auto"/>
                <w:w w:val="95"/>
              </w:rPr>
              <w:t>Awards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ind w:right="171"/>
              <w:spacing w:after="0" w:line="122" w:lineRule="exact"/>
              <w:rPr>
                <w:sz w:val="20"/>
                <w:szCs w:val="20"/>
                <w:color w:val="auto"/>
              </w:rPr>
            </w:pPr>
            <w:r>
              <w:rPr>
                <w:rFonts w:ascii="Arial" w:cs="Arial" w:eastAsia="Arial" w:hAnsi="Arial"/>
                <w:sz w:val="11"/>
                <w:szCs w:val="11"/>
                <w:b w:val="1"/>
                <w:bCs w:val="1"/>
                <w:color w:val="auto"/>
              </w:rPr>
              <w:t>Awards</w:t>
            </w:r>
          </w:p>
        </w:tc>
        <w:tc>
          <w:tcPr>
            <w:tcW w:w="140" w:type="dxa"/>
            <w:vAlign w:val="bottom"/>
          </w:tcPr>
          <w:p>
            <w:pPr>
              <w:spacing w:after="0"/>
              <w:rPr>
                <w:sz w:val="10"/>
                <w:szCs w:val="10"/>
                <w:color w:val="auto"/>
              </w:rPr>
            </w:pPr>
          </w:p>
        </w:tc>
        <w:tc>
          <w:tcPr>
            <w:tcW w:w="1000" w:type="dxa"/>
            <w:vAlign w:val="bottom"/>
          </w:tcPr>
          <w:p>
            <w:pPr>
              <w:jc w:val="center"/>
              <w:ind w:right="132"/>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1060" w:type="dxa"/>
            <w:vAlign w:val="bottom"/>
            <w:gridSpan w:val="2"/>
          </w:tcPr>
          <w:p>
            <w:pPr>
              <w:jc w:val="center"/>
              <w:ind w:right="9"/>
              <w:spacing w:after="0" w:line="122" w:lineRule="exact"/>
              <w:rPr>
                <w:sz w:val="20"/>
                <w:szCs w:val="20"/>
                <w:color w:val="auto"/>
              </w:rPr>
            </w:pPr>
            <w:r>
              <w:rPr>
                <w:rFonts w:ascii="Arial" w:cs="Arial" w:eastAsia="Arial" w:hAnsi="Arial"/>
                <w:sz w:val="11"/>
                <w:szCs w:val="11"/>
                <w:b w:val="1"/>
                <w:bCs w:val="1"/>
                <w:color w:val="auto"/>
                <w:w w:val="97"/>
              </w:rPr>
              <w:t>Earnings</w:t>
            </w:r>
          </w:p>
        </w:tc>
        <w:tc>
          <w:tcPr>
            <w:tcW w:w="10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260" w:type="dxa"/>
            <w:vAlign w:val="bottom"/>
          </w:tcPr>
          <w:p>
            <w:pPr>
              <w:spacing w:after="0"/>
              <w:rPr>
                <w:sz w:val="10"/>
                <w:szCs w:val="10"/>
                <w:color w:val="auto"/>
              </w:rPr>
            </w:pPr>
          </w:p>
        </w:tc>
        <w:tc>
          <w:tcPr>
            <w:tcW w:w="920" w:type="dxa"/>
            <w:vAlign w:val="bottom"/>
          </w:tcPr>
          <w:p>
            <w:pPr>
              <w:jc w:val="right"/>
              <w:ind w:right="430"/>
              <w:spacing w:after="0" w:line="122" w:lineRule="exact"/>
              <w:rPr>
                <w:sz w:val="20"/>
                <w:szCs w:val="20"/>
                <w:color w:val="auto"/>
              </w:rPr>
            </w:pPr>
            <w:r>
              <w:rPr>
                <w:rFonts w:ascii="Arial" w:cs="Arial" w:eastAsia="Arial" w:hAnsi="Arial"/>
                <w:sz w:val="11"/>
                <w:szCs w:val="11"/>
                <w:b w:val="1"/>
                <w:bCs w:val="1"/>
                <w:color w:val="auto"/>
              </w:rPr>
              <w:t>Total</w:t>
            </w:r>
          </w:p>
        </w:tc>
      </w:tr>
      <w:tr>
        <w:trPr>
          <w:trHeight w:val="137"/>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Principal Position</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rPr>
              <w:t>Year</w:t>
            </w:r>
          </w:p>
        </w:tc>
        <w:tc>
          <w:tcPr>
            <w:tcW w:w="260" w:type="dxa"/>
            <w:vAlign w:val="bottom"/>
          </w:tcPr>
          <w:p>
            <w:pPr>
              <w:spacing w:after="0"/>
              <w:rPr>
                <w:sz w:val="11"/>
                <w:szCs w:val="11"/>
                <w:color w:val="auto"/>
              </w:rPr>
            </w:pPr>
          </w:p>
        </w:tc>
        <w:tc>
          <w:tcPr>
            <w:tcW w:w="860" w:type="dxa"/>
            <w:vAlign w:val="bottom"/>
          </w:tcPr>
          <w:p>
            <w:pPr>
              <w:jc w:val="right"/>
              <w:ind w:right="209"/>
              <w:spacing w:after="0"/>
              <w:rPr>
                <w:sz w:val="20"/>
                <w:szCs w:val="20"/>
                <w:color w:val="auto"/>
              </w:rPr>
            </w:pPr>
            <w:r>
              <w:rPr>
                <w:rFonts w:ascii="Arial" w:cs="Arial" w:eastAsia="Arial" w:hAnsi="Arial"/>
                <w:sz w:val="11"/>
                <w:szCs w:val="11"/>
                <w:b w:val="1"/>
                <w:bCs w:val="1"/>
                <w:color w:val="auto"/>
              </w:rPr>
              <w:t>Salary ($)</w:t>
            </w:r>
          </w:p>
        </w:tc>
        <w:tc>
          <w:tcPr>
            <w:tcW w:w="220" w:type="dxa"/>
            <w:vAlign w:val="bottom"/>
          </w:tcPr>
          <w:p>
            <w:pPr>
              <w:spacing w:after="0"/>
              <w:rPr>
                <w:sz w:val="11"/>
                <w:szCs w:val="11"/>
                <w:color w:val="auto"/>
              </w:rPr>
            </w:pPr>
          </w:p>
        </w:tc>
        <w:tc>
          <w:tcPr>
            <w:tcW w:w="800" w:type="dxa"/>
            <w:vAlign w:val="bottom"/>
          </w:tcPr>
          <w:p>
            <w:pPr>
              <w:jc w:val="center"/>
              <w:ind w:right="131"/>
              <w:spacing w:after="0"/>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9"/>
                <w:szCs w:val="9"/>
                <w:b w:val="1"/>
                <w:bCs w:val="1"/>
                <w:color w:val="auto"/>
              </w:rPr>
              <w:t>(1)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right="171"/>
              <w:spacing w:after="0"/>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9"/>
                <w:szCs w:val="9"/>
                <w:b w:val="1"/>
                <w:bCs w:val="1"/>
                <w:color w:val="auto"/>
              </w:rPr>
              <w:t>(1)</w:t>
            </w:r>
          </w:p>
        </w:tc>
        <w:tc>
          <w:tcPr>
            <w:tcW w:w="140" w:type="dxa"/>
            <w:vAlign w:val="bottom"/>
          </w:tcPr>
          <w:p>
            <w:pPr>
              <w:spacing w:after="0"/>
              <w:rPr>
                <w:sz w:val="11"/>
                <w:szCs w:val="11"/>
                <w:color w:val="auto"/>
              </w:rPr>
            </w:pPr>
          </w:p>
        </w:tc>
        <w:tc>
          <w:tcPr>
            <w:tcW w:w="1000" w:type="dxa"/>
            <w:vAlign w:val="bottom"/>
          </w:tcPr>
          <w:p>
            <w:pPr>
              <w:jc w:val="center"/>
              <w:ind w:right="132"/>
              <w:spacing w:after="0"/>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9"/>
                <w:szCs w:val="9"/>
                <w:b w:val="1"/>
                <w:bCs w:val="1"/>
                <w:color w:val="auto"/>
              </w:rPr>
              <w:t>(2)</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jc w:val="right"/>
              <w:ind w:right="369"/>
              <w:spacing w:after="0"/>
              <w:rPr>
                <w:sz w:val="20"/>
                <w:szCs w:val="20"/>
                <w:color w:val="auto"/>
              </w:rPr>
            </w:pPr>
            <w:r>
              <w:rPr>
                <w:rFonts w:ascii="Arial" w:cs="Arial" w:eastAsia="Arial" w:hAnsi="Arial"/>
                <w:sz w:val="11"/>
                <w:szCs w:val="11"/>
                <w:b w:val="1"/>
                <w:bCs w:val="1"/>
                <w:color w:val="auto"/>
                <w:w w:val="90"/>
              </w:rPr>
              <w:t xml:space="preserve">) </w:t>
            </w:r>
            <w:r>
              <w:rPr>
                <w:rFonts w:ascii="Arial" w:cs="Arial" w:eastAsia="Arial" w:hAnsi="Arial"/>
                <w:sz w:val="9"/>
                <w:szCs w:val="9"/>
                <w:b w:val="1"/>
                <w:bCs w:val="1"/>
                <w:color w:val="auto"/>
                <w:w w:val="90"/>
              </w:rPr>
              <w:t>(3)</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jc w:val="right"/>
              <w:ind w:right="349"/>
              <w:spacing w:after="0"/>
              <w:rPr>
                <w:sz w:val="20"/>
                <w:szCs w:val="20"/>
                <w:color w:val="auto"/>
              </w:rPr>
            </w:pPr>
            <w:r>
              <w:rPr>
                <w:rFonts w:ascii="Arial" w:cs="Arial" w:eastAsia="Arial" w:hAnsi="Arial"/>
                <w:sz w:val="11"/>
                <w:szCs w:val="11"/>
                <w:b w:val="1"/>
                <w:bCs w:val="1"/>
                <w:color w:val="auto"/>
                <w:w w:val="90"/>
              </w:rPr>
              <w:t xml:space="preserve">) </w:t>
            </w:r>
            <w:r>
              <w:rPr>
                <w:rFonts w:ascii="Arial" w:cs="Arial" w:eastAsia="Arial" w:hAnsi="Arial"/>
                <w:sz w:val="9"/>
                <w:szCs w:val="9"/>
                <w:b w:val="1"/>
                <w:bCs w:val="1"/>
                <w:color w:val="auto"/>
                <w:w w:val="90"/>
              </w:rPr>
              <w:t>(4)</w:t>
            </w:r>
          </w:p>
        </w:tc>
        <w:tc>
          <w:tcPr>
            <w:tcW w:w="260" w:type="dxa"/>
            <w:vAlign w:val="bottom"/>
          </w:tcPr>
          <w:p>
            <w:pPr>
              <w:spacing w:after="0"/>
              <w:rPr>
                <w:sz w:val="11"/>
                <w:szCs w:val="11"/>
                <w:color w:val="auto"/>
              </w:rPr>
            </w:pPr>
          </w:p>
        </w:tc>
        <w:tc>
          <w:tcPr>
            <w:tcW w:w="920" w:type="dxa"/>
            <w:vAlign w:val="bottom"/>
          </w:tcPr>
          <w:p>
            <w:pPr>
              <w:jc w:val="right"/>
              <w:ind w:right="470"/>
              <w:spacing w:after="0"/>
              <w:rPr>
                <w:sz w:val="20"/>
                <w:szCs w:val="20"/>
                <w:color w:val="auto"/>
              </w:rPr>
            </w:pPr>
            <w:r>
              <w:rPr>
                <w:rFonts w:ascii="Arial" w:cs="Arial" w:eastAsia="Arial" w:hAnsi="Arial"/>
                <w:sz w:val="11"/>
                <w:szCs w:val="11"/>
                <w:b w:val="1"/>
                <w:bCs w:val="1"/>
                <w:color w:val="auto"/>
              </w:rPr>
              <w:t>($)</w:t>
            </w:r>
          </w:p>
        </w:tc>
      </w:tr>
      <w:tr>
        <w:trPr>
          <w:trHeight w:val="169"/>
        </w:trPr>
        <w:tc>
          <w:tcPr>
            <w:tcW w:w="20" w:type="dxa"/>
            <w:vAlign w:val="bottom"/>
          </w:tcPr>
          <w:p>
            <w:pPr>
              <w:spacing w:after="0"/>
              <w:rPr>
                <w:sz w:val="14"/>
                <w:szCs w:val="14"/>
                <w:color w:val="auto"/>
              </w:rPr>
            </w:pPr>
          </w:p>
        </w:tc>
        <w:tc>
          <w:tcPr>
            <w:tcW w:w="3000" w:type="dxa"/>
            <w:vAlign w:val="bottom"/>
            <w:tcBorders>
              <w:top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rPr>
              <w:t>Robert M. Bakish</w:t>
            </w:r>
          </w:p>
        </w:tc>
        <w:tc>
          <w:tcPr>
            <w:tcW w:w="44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3,000,000</w:t>
            </w:r>
          </w:p>
        </w:tc>
        <w:tc>
          <w:tcPr>
            <w:tcW w:w="220" w:type="dxa"/>
            <w:vAlign w:val="bottom"/>
            <w:tcBorders>
              <w:top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2,499,880</w:t>
            </w:r>
          </w:p>
        </w:tc>
        <w:tc>
          <w:tcPr>
            <w:tcW w:w="200" w:type="dxa"/>
            <w:vAlign w:val="bottom"/>
            <w:tcBorders>
              <w:top w:val="single" w:sz="8" w:color="auto"/>
            </w:tcBorders>
            <w:shd w:val="clear" w:color="auto" w:fill="D9D9D9"/>
          </w:tcPr>
          <w:p>
            <w:pPr>
              <w:spacing w:after="0"/>
              <w:rPr>
                <w:sz w:val="14"/>
                <w:szCs w:val="14"/>
                <w:color w:val="auto"/>
              </w:rPr>
            </w:pPr>
          </w:p>
        </w:tc>
        <w:tc>
          <w:tcPr>
            <w:tcW w:w="220" w:type="dxa"/>
            <w:vAlign w:val="bottom"/>
            <w:tcBorders>
              <w:top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4,999,997</w:t>
            </w:r>
          </w:p>
        </w:tc>
        <w:tc>
          <w:tcPr>
            <w:tcW w:w="1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rPr>
              <w:t>9,376,640</w:t>
            </w:r>
          </w:p>
        </w:tc>
        <w:tc>
          <w:tcPr>
            <w:tcW w:w="440" w:type="dxa"/>
            <w:vAlign w:val="bottom"/>
            <w:tcBorders>
              <w:top w:val="single" w:sz="8" w:color="auto"/>
            </w:tcBorders>
            <w:shd w:val="clear" w:color="auto" w:fill="D9D9D9"/>
          </w:tcPr>
          <w:p>
            <w:pPr>
              <w:jc w:val="right"/>
              <w:ind w:right="215"/>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D9D9D9"/>
          </w:tcPr>
          <w:p>
            <w:pPr>
              <w:jc w:val="right"/>
              <w:ind w:right="9"/>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D9D9D9"/>
          </w:tcPr>
          <w:p>
            <w:pPr>
              <w:jc w:val="right"/>
              <w:ind w:right="232"/>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78,644</w:t>
            </w:r>
          </w:p>
        </w:tc>
        <w:tc>
          <w:tcPr>
            <w:tcW w:w="260" w:type="dxa"/>
            <w:vAlign w:val="bottom"/>
            <w:tcBorders>
              <w:top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19,955,161</w:t>
            </w:r>
          </w:p>
        </w:tc>
      </w:tr>
      <w:tr>
        <w:trPr>
          <w:trHeight w:val="167"/>
        </w:trPr>
        <w:tc>
          <w:tcPr>
            <w:tcW w:w="20" w:type="dxa"/>
            <w:vAlign w:val="bottom"/>
          </w:tcPr>
          <w:p>
            <w:pPr>
              <w:spacing w:after="0"/>
              <w:rPr>
                <w:sz w:val="14"/>
                <w:szCs w:val="14"/>
                <w:color w:val="auto"/>
              </w:rPr>
            </w:pPr>
          </w:p>
        </w:tc>
        <w:tc>
          <w:tcPr>
            <w:tcW w:w="3000" w:type="dxa"/>
            <w:vAlign w:val="bottom"/>
            <w:shd w:val="clear" w:color="auto" w:fill="D9D9D9"/>
          </w:tcPr>
          <w:p>
            <w:pPr>
              <w:spacing w:after="0"/>
              <w:rPr>
                <w:sz w:val="20"/>
                <w:szCs w:val="20"/>
                <w:color w:val="auto"/>
              </w:rPr>
            </w:pPr>
            <w:r>
              <w:rPr>
                <w:rFonts w:ascii="Arial" w:cs="Arial" w:eastAsia="Arial" w:hAnsi="Arial"/>
                <w:sz w:val="14"/>
                <w:szCs w:val="14"/>
                <w:color w:val="auto"/>
              </w:rPr>
              <w:t>President and</w:t>
            </w:r>
          </w:p>
        </w:tc>
        <w:tc>
          <w:tcPr>
            <w:tcW w:w="4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2,769,231</w:t>
            </w:r>
          </w:p>
        </w:tc>
        <w:tc>
          <w:tcPr>
            <w:tcW w:w="22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5,795,228</w:t>
            </w:r>
          </w:p>
        </w:tc>
        <w:tc>
          <w:tcPr>
            <w:tcW w:w="20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(5)</w:t>
            </w:r>
          </w:p>
        </w:tc>
        <w:tc>
          <w:tcPr>
            <w:tcW w:w="22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4,675,003</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9D9"/>
          </w:tcPr>
          <w:p>
            <w:pPr>
              <w:jc w:val="right"/>
              <w:ind w:right="32"/>
              <w:spacing w:after="0"/>
              <w:rPr>
                <w:sz w:val="20"/>
                <w:szCs w:val="20"/>
                <w:color w:val="auto"/>
              </w:rPr>
            </w:pPr>
            <w:r>
              <w:rPr>
                <w:rFonts w:ascii="Arial" w:cs="Arial" w:eastAsia="Arial" w:hAnsi="Arial"/>
                <w:sz w:val="14"/>
                <w:szCs w:val="14"/>
                <w:color w:val="auto"/>
              </w:rPr>
              <w:t>7,000,000</w:t>
            </w:r>
          </w:p>
        </w:tc>
        <w:tc>
          <w:tcPr>
            <w:tcW w:w="440" w:type="dxa"/>
            <w:vAlign w:val="bottom"/>
            <w:shd w:val="clear" w:color="auto" w:fill="D9D9D9"/>
          </w:tcPr>
          <w:p>
            <w:pPr>
              <w:jc w:val="right"/>
              <w:ind w:right="215"/>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8,650</w:t>
            </w:r>
          </w:p>
        </w:tc>
        <w:tc>
          <w:tcPr>
            <w:tcW w:w="460" w:type="dxa"/>
            <w:vAlign w:val="bottom"/>
            <w:shd w:val="clear" w:color="auto" w:fill="D9D9D9"/>
          </w:tcPr>
          <w:p>
            <w:pPr>
              <w:jc w:val="right"/>
              <w:ind w:right="232"/>
              <w:spacing w:after="0"/>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67,046</w:t>
            </w:r>
          </w:p>
        </w:tc>
        <w:tc>
          <w:tcPr>
            <w:tcW w:w="26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20,315,158</w:t>
            </w:r>
          </w:p>
        </w:tc>
      </w:tr>
      <w:tr>
        <w:trPr>
          <w:trHeight w:val="178"/>
        </w:trPr>
        <w:tc>
          <w:tcPr>
            <w:tcW w:w="20" w:type="dxa"/>
            <w:vAlign w:val="bottom"/>
          </w:tcPr>
          <w:p>
            <w:pPr>
              <w:spacing w:after="0"/>
              <w:rPr>
                <w:sz w:val="15"/>
                <w:szCs w:val="15"/>
                <w:color w:val="auto"/>
              </w:rPr>
            </w:pPr>
          </w:p>
        </w:tc>
        <w:tc>
          <w:tcPr>
            <w:tcW w:w="30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color w:val="auto"/>
              </w:rPr>
              <w:t>Chief Executive Officer</w:t>
            </w:r>
          </w:p>
        </w:tc>
        <w:tc>
          <w:tcPr>
            <w:tcW w:w="440" w:type="dxa"/>
            <w:vAlign w:val="bottom"/>
            <w:tcBorders>
              <w:bottom w:val="single" w:sz="8" w:color="auto"/>
            </w:tcBorders>
            <w:shd w:val="clear" w:color="auto" w:fill="D9D9D9"/>
          </w:tcPr>
          <w:p>
            <w:pPr>
              <w:spacing w:after="0"/>
              <w:rPr>
                <w:sz w:val="15"/>
                <w:szCs w:val="15"/>
                <w:color w:val="auto"/>
              </w:rPr>
            </w:pPr>
          </w:p>
        </w:tc>
        <w:tc>
          <w:tcPr>
            <w:tcW w:w="260" w:type="dxa"/>
            <w:vAlign w:val="bottom"/>
            <w:tcBorders>
              <w:bottom w:val="single" w:sz="8" w:color="auto"/>
            </w:tcBorders>
            <w:shd w:val="clear" w:color="auto" w:fill="D9D9D9"/>
          </w:tcPr>
          <w:p>
            <w:pPr>
              <w:spacing w:after="0"/>
              <w:rPr>
                <w:sz w:val="15"/>
                <w:szCs w:val="15"/>
                <w:color w:val="auto"/>
              </w:rPr>
            </w:pPr>
          </w:p>
        </w:tc>
        <w:tc>
          <w:tcPr>
            <w:tcW w:w="860" w:type="dxa"/>
            <w:vAlign w:val="bottom"/>
            <w:tcBorders>
              <w:bottom w:val="single" w:sz="8" w:color="auto"/>
            </w:tcBorders>
            <w:shd w:val="clear" w:color="auto" w:fill="D9D9D9"/>
          </w:tcPr>
          <w:p>
            <w:pPr>
              <w:spacing w:after="0"/>
              <w:rPr>
                <w:sz w:val="15"/>
                <w:szCs w:val="15"/>
                <w:color w:val="auto"/>
              </w:rPr>
            </w:pPr>
          </w:p>
        </w:tc>
        <w:tc>
          <w:tcPr>
            <w:tcW w:w="220" w:type="dxa"/>
            <w:vAlign w:val="bottom"/>
            <w:tcBorders>
              <w:bottom w:val="single" w:sz="8" w:color="auto"/>
            </w:tcBorders>
            <w:shd w:val="clear" w:color="auto" w:fill="D9D9D9"/>
          </w:tcPr>
          <w:p>
            <w:pPr>
              <w:spacing w:after="0"/>
              <w:rPr>
                <w:sz w:val="15"/>
                <w:szCs w:val="15"/>
                <w:color w:val="auto"/>
              </w:rPr>
            </w:pPr>
          </w:p>
        </w:tc>
        <w:tc>
          <w:tcPr>
            <w:tcW w:w="800" w:type="dxa"/>
            <w:vAlign w:val="bottom"/>
            <w:tcBorders>
              <w:bottom w:val="single" w:sz="8" w:color="auto"/>
            </w:tcBorders>
            <w:shd w:val="clear" w:color="auto" w:fill="D9D9D9"/>
          </w:tcPr>
          <w:p>
            <w:pPr>
              <w:spacing w:after="0"/>
              <w:rPr>
                <w:sz w:val="15"/>
                <w:szCs w:val="15"/>
                <w:color w:val="auto"/>
              </w:rPr>
            </w:pPr>
          </w:p>
        </w:tc>
        <w:tc>
          <w:tcPr>
            <w:tcW w:w="200" w:type="dxa"/>
            <w:vAlign w:val="bottom"/>
            <w:tcBorders>
              <w:bottom w:val="single" w:sz="8" w:color="auto"/>
            </w:tcBorders>
            <w:shd w:val="clear" w:color="auto" w:fill="D9D9D9"/>
          </w:tcPr>
          <w:p>
            <w:pPr>
              <w:spacing w:after="0"/>
              <w:rPr>
                <w:sz w:val="15"/>
                <w:szCs w:val="15"/>
                <w:color w:val="auto"/>
              </w:rPr>
            </w:pPr>
          </w:p>
        </w:tc>
        <w:tc>
          <w:tcPr>
            <w:tcW w:w="220" w:type="dxa"/>
            <w:vAlign w:val="bottom"/>
            <w:tcBorders>
              <w:bottom w:val="single" w:sz="8" w:color="auto"/>
            </w:tcBorders>
            <w:shd w:val="clear" w:color="auto" w:fill="D9D9D9"/>
          </w:tcPr>
          <w:p>
            <w:pPr>
              <w:spacing w:after="0"/>
              <w:rPr>
                <w:sz w:val="15"/>
                <w:szCs w:val="15"/>
                <w:color w:val="auto"/>
              </w:rPr>
            </w:pPr>
          </w:p>
        </w:tc>
        <w:tc>
          <w:tcPr>
            <w:tcW w:w="840" w:type="dxa"/>
            <w:vAlign w:val="bottom"/>
            <w:tcBorders>
              <w:bottom w:val="single" w:sz="8" w:color="auto"/>
            </w:tcBorders>
            <w:shd w:val="clear" w:color="auto" w:fill="D9D9D9"/>
          </w:tcPr>
          <w:p>
            <w:pPr>
              <w:spacing w:after="0"/>
              <w:rPr>
                <w:sz w:val="15"/>
                <w:szCs w:val="15"/>
                <w:color w:val="auto"/>
              </w:rPr>
            </w:pPr>
          </w:p>
        </w:tc>
        <w:tc>
          <w:tcPr>
            <w:tcW w:w="140" w:type="dxa"/>
            <w:vAlign w:val="bottom"/>
            <w:tcBorders>
              <w:bottom w:val="single" w:sz="8" w:color="auto"/>
            </w:tcBorders>
            <w:shd w:val="clear" w:color="auto" w:fill="D9D9D9"/>
          </w:tcPr>
          <w:p>
            <w:pPr>
              <w:spacing w:after="0"/>
              <w:rPr>
                <w:sz w:val="15"/>
                <w:szCs w:val="15"/>
                <w:color w:val="auto"/>
              </w:rPr>
            </w:pPr>
          </w:p>
        </w:tc>
        <w:tc>
          <w:tcPr>
            <w:tcW w:w="1000" w:type="dxa"/>
            <w:vAlign w:val="bottom"/>
            <w:tcBorders>
              <w:bottom w:val="single" w:sz="8" w:color="auto"/>
            </w:tcBorders>
            <w:shd w:val="clear" w:color="auto" w:fill="D9D9D9"/>
          </w:tcPr>
          <w:p>
            <w:pPr>
              <w:spacing w:after="0"/>
              <w:rPr>
                <w:sz w:val="15"/>
                <w:szCs w:val="15"/>
                <w:color w:val="auto"/>
              </w:rPr>
            </w:pPr>
          </w:p>
        </w:tc>
        <w:tc>
          <w:tcPr>
            <w:tcW w:w="440" w:type="dxa"/>
            <w:vAlign w:val="bottom"/>
            <w:tcBorders>
              <w:bottom w:val="single" w:sz="8" w:color="auto"/>
            </w:tcBorders>
            <w:shd w:val="clear" w:color="auto" w:fill="D9D9D9"/>
          </w:tcPr>
          <w:p>
            <w:pPr>
              <w:spacing w:after="0"/>
              <w:rPr>
                <w:sz w:val="15"/>
                <w:szCs w:val="15"/>
                <w:color w:val="auto"/>
              </w:rPr>
            </w:pPr>
          </w:p>
        </w:tc>
        <w:tc>
          <w:tcPr>
            <w:tcW w:w="620" w:type="dxa"/>
            <w:vAlign w:val="bottom"/>
            <w:tcBorders>
              <w:bottom w:val="single" w:sz="8" w:color="auto"/>
            </w:tcBorders>
            <w:shd w:val="clear" w:color="auto" w:fill="D9D9D9"/>
          </w:tcPr>
          <w:p>
            <w:pPr>
              <w:spacing w:after="0"/>
              <w:rPr>
                <w:sz w:val="15"/>
                <w:szCs w:val="15"/>
                <w:color w:val="auto"/>
              </w:rPr>
            </w:pPr>
          </w:p>
        </w:tc>
        <w:tc>
          <w:tcPr>
            <w:tcW w:w="460" w:type="dxa"/>
            <w:vAlign w:val="bottom"/>
            <w:tcBorders>
              <w:bottom w:val="single" w:sz="8" w:color="auto"/>
            </w:tcBorders>
            <w:shd w:val="clear" w:color="auto" w:fill="D9D9D9"/>
          </w:tcPr>
          <w:p>
            <w:pPr>
              <w:spacing w:after="0"/>
              <w:rPr>
                <w:sz w:val="15"/>
                <w:szCs w:val="15"/>
                <w:color w:val="auto"/>
              </w:rPr>
            </w:pPr>
          </w:p>
        </w:tc>
        <w:tc>
          <w:tcPr>
            <w:tcW w:w="600" w:type="dxa"/>
            <w:vAlign w:val="bottom"/>
            <w:tcBorders>
              <w:bottom w:val="single" w:sz="8" w:color="auto"/>
            </w:tcBorders>
            <w:shd w:val="clear" w:color="auto" w:fill="D9D9D9"/>
          </w:tcPr>
          <w:p>
            <w:pPr>
              <w:spacing w:after="0"/>
              <w:rPr>
                <w:sz w:val="15"/>
                <w:szCs w:val="15"/>
                <w:color w:val="auto"/>
              </w:rPr>
            </w:pPr>
          </w:p>
        </w:tc>
        <w:tc>
          <w:tcPr>
            <w:tcW w:w="260" w:type="dxa"/>
            <w:vAlign w:val="bottom"/>
            <w:tcBorders>
              <w:bottom w:val="single" w:sz="8" w:color="auto"/>
            </w:tcBorders>
            <w:shd w:val="clear" w:color="auto" w:fill="D9D9D9"/>
          </w:tcPr>
          <w:p>
            <w:pPr>
              <w:spacing w:after="0"/>
              <w:rPr>
                <w:sz w:val="15"/>
                <w:szCs w:val="15"/>
                <w:color w:val="auto"/>
              </w:rPr>
            </w:pPr>
          </w:p>
        </w:tc>
        <w:tc>
          <w:tcPr>
            <w:tcW w:w="920" w:type="dxa"/>
            <w:vAlign w:val="bottom"/>
            <w:tcBorders>
              <w:bottom w:val="single" w:sz="8" w:color="auto"/>
            </w:tcBorders>
            <w:shd w:val="clear" w:color="auto" w:fill="D9D9D9"/>
          </w:tcPr>
          <w:p>
            <w:pPr>
              <w:spacing w:after="0"/>
              <w:rPr>
                <w:sz w:val="15"/>
                <w:szCs w:val="15"/>
                <w:color w:val="auto"/>
              </w:rPr>
            </w:pPr>
          </w:p>
        </w:tc>
      </w:tr>
      <w:tr>
        <w:trPr>
          <w:trHeight w:val="180"/>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Wade C. Davis</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1,750,000</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1,181,247</w:t>
            </w:r>
          </w:p>
        </w:tc>
        <w:tc>
          <w:tcPr>
            <w:tcW w:w="200" w:type="dxa"/>
            <w:vAlign w:val="bottom"/>
          </w:tcPr>
          <w:p>
            <w:pPr>
              <w:spacing w:after="0"/>
              <w:rPr>
                <w:sz w:val="15"/>
                <w:szCs w:val="15"/>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675,001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rPr>
              <w:t>3,490,000</w:t>
            </w:r>
          </w:p>
        </w:tc>
        <w:tc>
          <w:tcPr>
            <w:tcW w:w="44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27,840</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7,124,088</w:t>
            </w: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Executive Vice President,</w:t>
            </w:r>
          </w:p>
        </w:tc>
        <w:tc>
          <w:tcPr>
            <w:tcW w:w="440" w:type="dxa"/>
            <w:vAlign w:val="bottom"/>
          </w:tcPr>
          <w:p>
            <w:pPr>
              <w:jc w:val="center"/>
              <w:spacing w:after="0"/>
              <w:rPr>
                <w:sz w:val="20"/>
                <w:szCs w:val="20"/>
                <w:color w:val="auto"/>
              </w:rPr>
            </w:pPr>
            <w:r>
              <w:rPr>
                <w:rFonts w:ascii="Arial" w:cs="Arial" w:eastAsia="Arial" w:hAnsi="Arial"/>
                <w:sz w:val="14"/>
                <w:szCs w:val="14"/>
                <w:color w:val="auto"/>
              </w:rPr>
              <w:t>2017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1,750,000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1,350,015</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900,001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2,500,000</w:t>
            </w:r>
          </w:p>
        </w:tc>
        <w:tc>
          <w:tcPr>
            <w:tcW w:w="44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290</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25,638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6,525,944</w:t>
            </w:r>
          </w:p>
        </w:tc>
      </w:tr>
      <w:tr>
        <w:trPr>
          <w:trHeight w:val="184"/>
        </w:trPr>
        <w:tc>
          <w:tcPr>
            <w:tcW w:w="3020" w:type="dxa"/>
            <w:vAlign w:val="bottom"/>
            <w:gridSpan w:val="2"/>
          </w:tcPr>
          <w:p>
            <w:pPr>
              <w:spacing w:after="0"/>
              <w:rPr>
                <w:sz w:val="20"/>
                <w:szCs w:val="20"/>
                <w:color w:val="auto"/>
              </w:rPr>
            </w:pPr>
            <w:r>
              <w:rPr>
                <w:rFonts w:ascii="Arial" w:cs="Arial" w:eastAsia="Arial" w:hAnsi="Arial"/>
                <w:sz w:val="14"/>
                <w:szCs w:val="14"/>
                <w:color w:val="auto"/>
              </w:rPr>
              <w:t>Chief Financial Officer</w:t>
            </w:r>
          </w:p>
        </w:tc>
        <w:tc>
          <w:tcPr>
            <w:tcW w:w="440" w:type="dxa"/>
            <w:vAlign w:val="bottom"/>
          </w:tcPr>
          <w:p>
            <w:pPr>
              <w:jc w:val="center"/>
              <w:spacing w:after="0"/>
              <w:rPr>
                <w:sz w:val="20"/>
                <w:szCs w:val="20"/>
                <w:color w:val="auto"/>
              </w:rPr>
            </w:pPr>
            <w:r>
              <w:rPr>
                <w:rFonts w:ascii="Arial" w:cs="Arial" w:eastAsia="Arial" w:hAnsi="Arial"/>
                <w:sz w:val="14"/>
                <w:szCs w:val="14"/>
                <w:color w:val="auto"/>
              </w:rPr>
              <w:t>2016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1,750,000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1,349,996</w:t>
            </w:r>
          </w:p>
        </w:tc>
        <w:tc>
          <w:tcPr>
            <w:tcW w:w="20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899,998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1,375,000</w:t>
            </w:r>
          </w:p>
        </w:tc>
        <w:tc>
          <w:tcPr>
            <w:tcW w:w="44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46,222</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26,343</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5,447,559</w:t>
            </w:r>
          </w:p>
        </w:tc>
      </w:tr>
      <w:tr>
        <w:trPr>
          <w:trHeight w:val="187"/>
        </w:trPr>
        <w:tc>
          <w:tcPr>
            <w:tcW w:w="20" w:type="dxa"/>
            <w:vAlign w:val="bottom"/>
          </w:tcPr>
          <w:p>
            <w:pPr>
              <w:spacing w:after="0"/>
              <w:rPr>
                <w:sz w:val="16"/>
                <w:szCs w:val="16"/>
                <w:color w:val="auto"/>
              </w:rPr>
            </w:pPr>
          </w:p>
        </w:tc>
        <w:tc>
          <w:tcPr>
            <w:tcW w:w="3000" w:type="dxa"/>
            <w:vAlign w:val="bottom"/>
            <w:tcBorders>
              <w:top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rPr>
              <w:t>Christa A. D'Alimonte</w:t>
            </w:r>
          </w:p>
        </w:tc>
        <w:tc>
          <w:tcPr>
            <w:tcW w:w="44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1,043,846</w:t>
            </w:r>
          </w:p>
        </w:tc>
        <w:tc>
          <w:tcPr>
            <w:tcW w:w="220" w:type="dxa"/>
            <w:vAlign w:val="bottom"/>
            <w:tcBorders>
              <w:top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581,553</w:t>
            </w:r>
          </w:p>
        </w:tc>
        <w:tc>
          <w:tcPr>
            <w:tcW w:w="200" w:type="dxa"/>
            <w:vAlign w:val="bottom"/>
            <w:tcBorders>
              <w:top w:val="single" w:sz="8" w:color="auto"/>
            </w:tcBorders>
            <w:shd w:val="clear" w:color="auto" w:fill="D9D9D9"/>
          </w:tcPr>
          <w:p>
            <w:pPr>
              <w:spacing w:after="0"/>
              <w:rPr>
                <w:sz w:val="16"/>
                <w:szCs w:val="16"/>
                <w:color w:val="auto"/>
              </w:rPr>
            </w:pPr>
          </w:p>
        </w:tc>
        <w:tc>
          <w:tcPr>
            <w:tcW w:w="220" w:type="dxa"/>
            <w:vAlign w:val="bottom"/>
            <w:tcBorders>
              <w:top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378,467</w:t>
            </w:r>
          </w:p>
        </w:tc>
        <w:tc>
          <w:tcPr>
            <w:tcW w:w="1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rPr>
              <w:t>1,767,760</w:t>
            </w:r>
          </w:p>
        </w:tc>
        <w:tc>
          <w:tcPr>
            <w:tcW w:w="440" w:type="dxa"/>
            <w:vAlign w:val="bottom"/>
            <w:tcBorders>
              <w:top w:val="single" w:sz="8" w:color="auto"/>
            </w:tcBorders>
            <w:shd w:val="clear" w:color="auto" w:fill="D9D9D9"/>
          </w:tcPr>
          <w:p>
            <w:pPr>
              <w:jc w:val="right"/>
              <w:ind w:right="215"/>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D9D9D9"/>
          </w:tcPr>
          <w:p>
            <w:pPr>
              <w:jc w:val="right"/>
              <w:ind w:right="9"/>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D9D9D9"/>
          </w:tcPr>
          <w:p>
            <w:pPr>
              <w:jc w:val="right"/>
              <w:ind w:right="232"/>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25,638</w:t>
            </w:r>
          </w:p>
        </w:tc>
        <w:tc>
          <w:tcPr>
            <w:tcW w:w="260" w:type="dxa"/>
            <w:vAlign w:val="bottom"/>
            <w:tcBorders>
              <w:top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3,797,264</w:t>
            </w:r>
          </w:p>
        </w:tc>
      </w:tr>
      <w:tr>
        <w:trPr>
          <w:trHeight w:val="157"/>
        </w:trPr>
        <w:tc>
          <w:tcPr>
            <w:tcW w:w="20" w:type="dxa"/>
            <w:vAlign w:val="bottom"/>
          </w:tcPr>
          <w:p>
            <w:pPr>
              <w:spacing w:after="0"/>
              <w:rPr>
                <w:sz w:val="13"/>
                <w:szCs w:val="13"/>
                <w:color w:val="auto"/>
              </w:rPr>
            </w:pPr>
          </w:p>
        </w:tc>
        <w:tc>
          <w:tcPr>
            <w:tcW w:w="3000" w:type="dxa"/>
            <w:vAlign w:val="bottom"/>
            <w:shd w:val="clear" w:color="auto" w:fill="D9D9D9"/>
          </w:tcPr>
          <w:p>
            <w:pPr>
              <w:spacing w:after="0" w:line="157" w:lineRule="exact"/>
              <w:rPr>
                <w:sz w:val="20"/>
                <w:szCs w:val="20"/>
                <w:color w:val="auto"/>
              </w:rPr>
            </w:pPr>
            <w:r>
              <w:rPr>
                <w:rFonts w:ascii="Arial" w:cs="Arial" w:eastAsia="Arial" w:hAnsi="Arial"/>
                <w:sz w:val="14"/>
                <w:szCs w:val="14"/>
                <w:color w:val="auto"/>
              </w:rPr>
              <w:t>Executive Vice President,</w:t>
            </w:r>
          </w:p>
        </w:tc>
        <w:tc>
          <w:tcPr>
            <w:tcW w:w="440" w:type="dxa"/>
            <w:vAlign w:val="bottom"/>
            <w:shd w:val="clear" w:color="auto" w:fill="D9D9D9"/>
          </w:tcPr>
          <w:p>
            <w:pPr>
              <w:jc w:val="center"/>
              <w:spacing w:after="0" w:line="157" w:lineRule="exact"/>
              <w:rPr>
                <w:sz w:val="20"/>
                <w:szCs w:val="20"/>
                <w:color w:val="auto"/>
              </w:rPr>
            </w:pPr>
            <w:r>
              <w:rPr>
                <w:rFonts w:ascii="Arial" w:cs="Arial" w:eastAsia="Arial" w:hAnsi="Arial"/>
                <w:sz w:val="14"/>
                <w:szCs w:val="14"/>
                <w:color w:val="auto"/>
              </w:rPr>
              <w:t>2017</w:t>
            </w:r>
          </w:p>
        </w:tc>
        <w:tc>
          <w:tcPr>
            <w:tcW w:w="2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822,933</w:t>
            </w:r>
          </w:p>
        </w:tc>
        <w:tc>
          <w:tcPr>
            <w:tcW w:w="220" w:type="dxa"/>
            <w:vAlign w:val="bottom"/>
            <w:shd w:val="clear" w:color="auto" w:fill="D9D9D9"/>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480,007</w:t>
            </w:r>
          </w:p>
        </w:tc>
        <w:tc>
          <w:tcPr>
            <w:tcW w:w="200" w:type="dxa"/>
            <w:vAlign w:val="bottom"/>
            <w:shd w:val="clear" w:color="auto" w:fill="D9D9D9"/>
          </w:tcPr>
          <w:p>
            <w:pPr>
              <w:spacing w:after="0"/>
              <w:rPr>
                <w:sz w:val="13"/>
                <w:szCs w:val="13"/>
                <w:color w:val="auto"/>
              </w:rPr>
            </w:pPr>
          </w:p>
        </w:tc>
        <w:tc>
          <w:tcPr>
            <w:tcW w:w="220" w:type="dxa"/>
            <w:vAlign w:val="bottom"/>
            <w:shd w:val="clear" w:color="auto" w:fill="D9D9D9"/>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320,001</w:t>
            </w:r>
          </w:p>
        </w:tc>
        <w:tc>
          <w:tcPr>
            <w:tcW w:w="14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D9D9D9"/>
          </w:tcPr>
          <w:p>
            <w:pPr>
              <w:jc w:val="right"/>
              <w:ind w:right="32"/>
              <w:spacing w:after="0" w:line="157" w:lineRule="exact"/>
              <w:rPr>
                <w:sz w:val="20"/>
                <w:szCs w:val="20"/>
                <w:color w:val="auto"/>
              </w:rPr>
            </w:pPr>
            <w:r>
              <w:rPr>
                <w:rFonts w:ascii="Arial" w:cs="Arial" w:eastAsia="Arial" w:hAnsi="Arial"/>
                <w:sz w:val="14"/>
                <w:szCs w:val="14"/>
                <w:color w:val="auto"/>
              </w:rPr>
              <w:t>757,692</w:t>
            </w:r>
          </w:p>
        </w:tc>
        <w:tc>
          <w:tcPr>
            <w:tcW w:w="440" w:type="dxa"/>
            <w:vAlign w:val="bottom"/>
            <w:shd w:val="clear" w:color="auto" w:fill="D9D9D9"/>
          </w:tcPr>
          <w:p>
            <w:pPr>
              <w:jc w:val="right"/>
              <w:ind w:right="215"/>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ind w:right="9"/>
              <w:spacing w:after="0" w:line="157" w:lineRule="exact"/>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ind w:right="232"/>
              <w:spacing w:after="0" w:line="157" w:lineRule="exact"/>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25,494</w:t>
            </w:r>
          </w:p>
        </w:tc>
        <w:tc>
          <w:tcPr>
            <w:tcW w:w="260" w:type="dxa"/>
            <w:vAlign w:val="bottom"/>
            <w:shd w:val="clear" w:color="auto" w:fill="D9D9D9"/>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2,406,127</w:t>
            </w:r>
          </w:p>
        </w:tc>
      </w:tr>
      <w:tr>
        <w:trPr>
          <w:trHeight w:val="176"/>
        </w:trPr>
        <w:tc>
          <w:tcPr>
            <w:tcW w:w="20" w:type="dxa"/>
            <w:vAlign w:val="bottom"/>
          </w:tcPr>
          <w:p>
            <w:pPr>
              <w:spacing w:after="0"/>
              <w:rPr>
                <w:sz w:val="15"/>
                <w:szCs w:val="15"/>
                <w:color w:val="auto"/>
              </w:rPr>
            </w:pPr>
          </w:p>
        </w:tc>
        <w:tc>
          <w:tcPr>
            <w:tcW w:w="30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color w:val="auto"/>
              </w:rPr>
              <w:t>General Counsel and Secretary</w:t>
            </w:r>
          </w:p>
        </w:tc>
        <w:tc>
          <w:tcPr>
            <w:tcW w:w="440" w:type="dxa"/>
            <w:vAlign w:val="bottom"/>
            <w:tcBorders>
              <w:bottom w:val="single" w:sz="8" w:color="auto"/>
            </w:tcBorders>
            <w:shd w:val="clear" w:color="auto" w:fill="D9D9D9"/>
          </w:tcPr>
          <w:p>
            <w:pPr>
              <w:spacing w:after="0"/>
              <w:rPr>
                <w:sz w:val="15"/>
                <w:szCs w:val="15"/>
                <w:color w:val="auto"/>
              </w:rPr>
            </w:pPr>
          </w:p>
        </w:tc>
        <w:tc>
          <w:tcPr>
            <w:tcW w:w="260" w:type="dxa"/>
            <w:vAlign w:val="bottom"/>
            <w:tcBorders>
              <w:bottom w:val="single" w:sz="8" w:color="auto"/>
            </w:tcBorders>
            <w:shd w:val="clear" w:color="auto" w:fill="D9D9D9"/>
          </w:tcPr>
          <w:p>
            <w:pPr>
              <w:spacing w:after="0"/>
              <w:rPr>
                <w:sz w:val="15"/>
                <w:szCs w:val="15"/>
                <w:color w:val="auto"/>
              </w:rPr>
            </w:pPr>
          </w:p>
        </w:tc>
        <w:tc>
          <w:tcPr>
            <w:tcW w:w="860" w:type="dxa"/>
            <w:vAlign w:val="bottom"/>
            <w:tcBorders>
              <w:bottom w:val="single" w:sz="8" w:color="auto"/>
            </w:tcBorders>
            <w:shd w:val="clear" w:color="auto" w:fill="D9D9D9"/>
          </w:tcPr>
          <w:p>
            <w:pPr>
              <w:spacing w:after="0"/>
              <w:rPr>
                <w:sz w:val="15"/>
                <w:szCs w:val="15"/>
                <w:color w:val="auto"/>
              </w:rPr>
            </w:pPr>
          </w:p>
        </w:tc>
        <w:tc>
          <w:tcPr>
            <w:tcW w:w="220" w:type="dxa"/>
            <w:vAlign w:val="bottom"/>
            <w:tcBorders>
              <w:bottom w:val="single" w:sz="8" w:color="auto"/>
            </w:tcBorders>
            <w:shd w:val="clear" w:color="auto" w:fill="D9D9D9"/>
          </w:tcPr>
          <w:p>
            <w:pPr>
              <w:spacing w:after="0"/>
              <w:rPr>
                <w:sz w:val="15"/>
                <w:szCs w:val="15"/>
                <w:color w:val="auto"/>
              </w:rPr>
            </w:pPr>
          </w:p>
        </w:tc>
        <w:tc>
          <w:tcPr>
            <w:tcW w:w="800" w:type="dxa"/>
            <w:vAlign w:val="bottom"/>
            <w:tcBorders>
              <w:bottom w:val="single" w:sz="8" w:color="auto"/>
            </w:tcBorders>
            <w:shd w:val="clear" w:color="auto" w:fill="D9D9D9"/>
          </w:tcPr>
          <w:p>
            <w:pPr>
              <w:spacing w:after="0"/>
              <w:rPr>
                <w:sz w:val="15"/>
                <w:szCs w:val="15"/>
                <w:color w:val="auto"/>
              </w:rPr>
            </w:pPr>
          </w:p>
        </w:tc>
        <w:tc>
          <w:tcPr>
            <w:tcW w:w="200" w:type="dxa"/>
            <w:vAlign w:val="bottom"/>
            <w:tcBorders>
              <w:bottom w:val="single" w:sz="8" w:color="auto"/>
            </w:tcBorders>
            <w:shd w:val="clear" w:color="auto" w:fill="D9D9D9"/>
          </w:tcPr>
          <w:p>
            <w:pPr>
              <w:spacing w:after="0"/>
              <w:rPr>
                <w:sz w:val="15"/>
                <w:szCs w:val="15"/>
                <w:color w:val="auto"/>
              </w:rPr>
            </w:pPr>
          </w:p>
        </w:tc>
        <w:tc>
          <w:tcPr>
            <w:tcW w:w="220" w:type="dxa"/>
            <w:vAlign w:val="bottom"/>
            <w:tcBorders>
              <w:bottom w:val="single" w:sz="8" w:color="auto"/>
            </w:tcBorders>
            <w:shd w:val="clear" w:color="auto" w:fill="D9D9D9"/>
          </w:tcPr>
          <w:p>
            <w:pPr>
              <w:spacing w:after="0"/>
              <w:rPr>
                <w:sz w:val="15"/>
                <w:szCs w:val="15"/>
                <w:color w:val="auto"/>
              </w:rPr>
            </w:pPr>
          </w:p>
        </w:tc>
        <w:tc>
          <w:tcPr>
            <w:tcW w:w="840" w:type="dxa"/>
            <w:vAlign w:val="bottom"/>
            <w:tcBorders>
              <w:bottom w:val="single" w:sz="8" w:color="auto"/>
            </w:tcBorders>
            <w:shd w:val="clear" w:color="auto" w:fill="D9D9D9"/>
          </w:tcPr>
          <w:p>
            <w:pPr>
              <w:spacing w:after="0"/>
              <w:rPr>
                <w:sz w:val="15"/>
                <w:szCs w:val="15"/>
                <w:color w:val="auto"/>
              </w:rPr>
            </w:pPr>
          </w:p>
        </w:tc>
        <w:tc>
          <w:tcPr>
            <w:tcW w:w="140" w:type="dxa"/>
            <w:vAlign w:val="bottom"/>
            <w:tcBorders>
              <w:bottom w:val="single" w:sz="8" w:color="auto"/>
            </w:tcBorders>
            <w:shd w:val="clear" w:color="auto" w:fill="D9D9D9"/>
          </w:tcPr>
          <w:p>
            <w:pPr>
              <w:spacing w:after="0"/>
              <w:rPr>
                <w:sz w:val="15"/>
                <w:szCs w:val="15"/>
                <w:color w:val="auto"/>
              </w:rPr>
            </w:pPr>
          </w:p>
        </w:tc>
        <w:tc>
          <w:tcPr>
            <w:tcW w:w="1000" w:type="dxa"/>
            <w:vAlign w:val="bottom"/>
            <w:tcBorders>
              <w:bottom w:val="single" w:sz="8" w:color="auto"/>
            </w:tcBorders>
            <w:shd w:val="clear" w:color="auto" w:fill="D9D9D9"/>
          </w:tcPr>
          <w:p>
            <w:pPr>
              <w:spacing w:after="0"/>
              <w:rPr>
                <w:sz w:val="15"/>
                <w:szCs w:val="15"/>
                <w:color w:val="auto"/>
              </w:rPr>
            </w:pPr>
          </w:p>
        </w:tc>
        <w:tc>
          <w:tcPr>
            <w:tcW w:w="440" w:type="dxa"/>
            <w:vAlign w:val="bottom"/>
            <w:tcBorders>
              <w:bottom w:val="single" w:sz="8" w:color="auto"/>
            </w:tcBorders>
            <w:shd w:val="clear" w:color="auto" w:fill="D9D9D9"/>
          </w:tcPr>
          <w:p>
            <w:pPr>
              <w:spacing w:after="0"/>
              <w:rPr>
                <w:sz w:val="15"/>
                <w:szCs w:val="15"/>
                <w:color w:val="auto"/>
              </w:rPr>
            </w:pPr>
          </w:p>
        </w:tc>
        <w:tc>
          <w:tcPr>
            <w:tcW w:w="620" w:type="dxa"/>
            <w:vAlign w:val="bottom"/>
            <w:tcBorders>
              <w:bottom w:val="single" w:sz="8" w:color="auto"/>
            </w:tcBorders>
            <w:shd w:val="clear" w:color="auto" w:fill="D9D9D9"/>
          </w:tcPr>
          <w:p>
            <w:pPr>
              <w:spacing w:after="0"/>
              <w:rPr>
                <w:sz w:val="15"/>
                <w:szCs w:val="15"/>
                <w:color w:val="auto"/>
              </w:rPr>
            </w:pPr>
          </w:p>
        </w:tc>
        <w:tc>
          <w:tcPr>
            <w:tcW w:w="460" w:type="dxa"/>
            <w:vAlign w:val="bottom"/>
            <w:tcBorders>
              <w:bottom w:val="single" w:sz="8" w:color="auto"/>
            </w:tcBorders>
            <w:shd w:val="clear" w:color="auto" w:fill="D9D9D9"/>
          </w:tcPr>
          <w:p>
            <w:pPr>
              <w:spacing w:after="0"/>
              <w:rPr>
                <w:sz w:val="15"/>
                <w:szCs w:val="15"/>
                <w:color w:val="auto"/>
              </w:rPr>
            </w:pPr>
          </w:p>
        </w:tc>
        <w:tc>
          <w:tcPr>
            <w:tcW w:w="600" w:type="dxa"/>
            <w:vAlign w:val="bottom"/>
            <w:tcBorders>
              <w:bottom w:val="single" w:sz="8" w:color="auto"/>
            </w:tcBorders>
            <w:shd w:val="clear" w:color="auto" w:fill="D9D9D9"/>
          </w:tcPr>
          <w:p>
            <w:pPr>
              <w:spacing w:after="0"/>
              <w:rPr>
                <w:sz w:val="15"/>
                <w:szCs w:val="15"/>
                <w:color w:val="auto"/>
              </w:rPr>
            </w:pPr>
          </w:p>
        </w:tc>
        <w:tc>
          <w:tcPr>
            <w:tcW w:w="260" w:type="dxa"/>
            <w:vAlign w:val="bottom"/>
            <w:tcBorders>
              <w:bottom w:val="single" w:sz="8" w:color="auto"/>
            </w:tcBorders>
            <w:shd w:val="clear" w:color="auto" w:fill="D9D9D9"/>
          </w:tcPr>
          <w:p>
            <w:pPr>
              <w:spacing w:after="0"/>
              <w:rPr>
                <w:sz w:val="15"/>
                <w:szCs w:val="15"/>
                <w:color w:val="auto"/>
              </w:rPr>
            </w:pPr>
          </w:p>
        </w:tc>
        <w:tc>
          <w:tcPr>
            <w:tcW w:w="920" w:type="dxa"/>
            <w:vAlign w:val="bottom"/>
            <w:tcBorders>
              <w:bottom w:val="single" w:sz="8" w:color="auto"/>
            </w:tcBorders>
            <w:shd w:val="clear" w:color="auto" w:fill="D9D9D9"/>
          </w:tcPr>
          <w:p>
            <w:pPr>
              <w:spacing w:after="0"/>
              <w:rPr>
                <w:sz w:val="15"/>
                <w:szCs w:val="15"/>
                <w:color w:val="auto"/>
              </w:rPr>
            </w:pPr>
          </w:p>
        </w:tc>
      </w:tr>
      <w:tr>
        <w:trPr>
          <w:trHeight w:val="174"/>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Doretha (DeDe) F. Lea</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904,402</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367,496</w:t>
            </w:r>
          </w:p>
        </w:tc>
        <w:tc>
          <w:tcPr>
            <w:tcW w:w="200" w:type="dxa"/>
            <w:vAlign w:val="bottom"/>
          </w:tcPr>
          <w:p>
            <w:pPr>
              <w:spacing w:after="0"/>
              <w:rPr>
                <w:sz w:val="15"/>
                <w:szCs w:val="15"/>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210,002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rPr>
              <w:t>933,223</w:t>
            </w:r>
          </w:p>
        </w:tc>
        <w:tc>
          <w:tcPr>
            <w:tcW w:w="44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24,592</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2,439,715</w:t>
            </w: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Executive Vice President,</w:t>
            </w:r>
          </w:p>
        </w:tc>
        <w:tc>
          <w:tcPr>
            <w:tcW w:w="440" w:type="dxa"/>
            <w:vAlign w:val="bottom"/>
          </w:tcPr>
          <w:p>
            <w:pPr>
              <w:jc w:val="center"/>
              <w:spacing w:after="0"/>
              <w:rPr>
                <w:sz w:val="20"/>
                <w:szCs w:val="20"/>
                <w:color w:val="auto"/>
              </w:rPr>
            </w:pPr>
            <w:r>
              <w:rPr>
                <w:rFonts w:ascii="Arial" w:cs="Arial" w:eastAsia="Arial" w:hAnsi="Arial"/>
                <w:sz w:val="14"/>
                <w:szCs w:val="14"/>
                <w:color w:val="auto"/>
              </w:rPr>
              <w:t>2017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875,577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420,014</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280,002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708,000</w:t>
            </w:r>
          </w:p>
        </w:tc>
        <w:tc>
          <w:tcPr>
            <w:tcW w:w="44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6,477</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28,761</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2,318,831</w:t>
            </w:r>
          </w:p>
        </w:tc>
      </w:tr>
      <w:tr>
        <w:trPr>
          <w:trHeight w:val="184"/>
        </w:trPr>
        <w:tc>
          <w:tcPr>
            <w:tcW w:w="3020" w:type="dxa"/>
            <w:vAlign w:val="bottom"/>
            <w:gridSpan w:val="2"/>
          </w:tcPr>
          <w:p>
            <w:pPr>
              <w:spacing w:after="0"/>
              <w:rPr>
                <w:sz w:val="20"/>
                <w:szCs w:val="20"/>
                <w:color w:val="auto"/>
              </w:rPr>
            </w:pPr>
            <w:r>
              <w:rPr>
                <w:rFonts w:ascii="Arial" w:cs="Arial" w:eastAsia="Arial" w:hAnsi="Arial"/>
                <w:sz w:val="14"/>
                <w:szCs w:val="14"/>
                <w:color w:val="auto"/>
              </w:rPr>
              <w:t>Global Government Affairs</w:t>
            </w:r>
          </w:p>
        </w:tc>
        <w:tc>
          <w:tcPr>
            <w:tcW w:w="440" w:type="dxa"/>
            <w:vAlign w:val="bottom"/>
          </w:tcPr>
          <w:p>
            <w:pPr>
              <w:jc w:val="center"/>
              <w:spacing w:after="0"/>
              <w:rPr>
                <w:sz w:val="20"/>
                <w:szCs w:val="20"/>
                <w:color w:val="auto"/>
              </w:rPr>
            </w:pPr>
            <w:r>
              <w:rPr>
                <w:rFonts w:ascii="Arial" w:cs="Arial" w:eastAsia="Arial" w:hAnsi="Arial"/>
                <w:sz w:val="14"/>
                <w:szCs w:val="14"/>
                <w:color w:val="auto"/>
              </w:rPr>
              <w:t>2016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843,365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419,999</w:t>
            </w:r>
          </w:p>
        </w:tc>
        <w:tc>
          <w:tcPr>
            <w:tcW w:w="20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280,001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374,000</w:t>
            </w:r>
          </w:p>
        </w:tc>
        <w:tc>
          <w:tcPr>
            <w:tcW w:w="44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146,273</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22,288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2,085,926</w:t>
            </w:r>
          </w:p>
        </w:tc>
      </w:tr>
      <w:tr>
        <w:trPr>
          <w:trHeight w:val="169"/>
        </w:trPr>
        <w:tc>
          <w:tcPr>
            <w:tcW w:w="20" w:type="dxa"/>
            <w:vAlign w:val="bottom"/>
          </w:tcPr>
          <w:p>
            <w:pPr>
              <w:spacing w:after="0"/>
              <w:rPr>
                <w:sz w:val="14"/>
                <w:szCs w:val="14"/>
                <w:color w:val="auto"/>
              </w:rPr>
            </w:pPr>
          </w:p>
        </w:tc>
        <w:tc>
          <w:tcPr>
            <w:tcW w:w="3000" w:type="dxa"/>
            <w:vAlign w:val="bottom"/>
            <w:tcBorders>
              <w:top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rPr>
              <w:t>Scott M. Mills</w:t>
            </w:r>
          </w:p>
        </w:tc>
        <w:tc>
          <w:tcPr>
            <w:tcW w:w="44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1,750,000</w:t>
            </w:r>
          </w:p>
        </w:tc>
        <w:tc>
          <w:tcPr>
            <w:tcW w:w="220" w:type="dxa"/>
            <w:vAlign w:val="bottom"/>
            <w:tcBorders>
              <w:top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1,181,247</w:t>
            </w:r>
          </w:p>
        </w:tc>
        <w:tc>
          <w:tcPr>
            <w:tcW w:w="200" w:type="dxa"/>
            <w:vAlign w:val="bottom"/>
            <w:tcBorders>
              <w:top w:val="single" w:sz="8" w:color="auto"/>
            </w:tcBorders>
            <w:shd w:val="clear" w:color="auto" w:fill="D9D9D9"/>
          </w:tcPr>
          <w:p>
            <w:pPr>
              <w:spacing w:after="0"/>
              <w:rPr>
                <w:sz w:val="14"/>
                <w:szCs w:val="14"/>
                <w:color w:val="auto"/>
              </w:rPr>
            </w:pPr>
          </w:p>
        </w:tc>
        <w:tc>
          <w:tcPr>
            <w:tcW w:w="220" w:type="dxa"/>
            <w:vAlign w:val="bottom"/>
            <w:tcBorders>
              <w:top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675,001</w:t>
            </w:r>
          </w:p>
        </w:tc>
        <w:tc>
          <w:tcPr>
            <w:tcW w:w="1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rPr>
              <w:t>3,215,000</w:t>
            </w:r>
          </w:p>
        </w:tc>
        <w:tc>
          <w:tcPr>
            <w:tcW w:w="440" w:type="dxa"/>
            <w:vAlign w:val="bottom"/>
            <w:tcBorders>
              <w:top w:val="single" w:sz="8" w:color="auto"/>
            </w:tcBorders>
            <w:shd w:val="clear" w:color="auto" w:fill="D9D9D9"/>
          </w:tcPr>
          <w:p>
            <w:pPr>
              <w:jc w:val="right"/>
              <w:ind w:right="215"/>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D9D9D9"/>
          </w:tcPr>
          <w:p>
            <w:pPr>
              <w:jc w:val="right"/>
              <w:ind w:right="9"/>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D9D9D9"/>
          </w:tcPr>
          <w:p>
            <w:pPr>
              <w:jc w:val="right"/>
              <w:ind w:right="232"/>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28,761</w:t>
            </w:r>
          </w:p>
        </w:tc>
        <w:tc>
          <w:tcPr>
            <w:tcW w:w="260" w:type="dxa"/>
            <w:vAlign w:val="bottom"/>
            <w:tcBorders>
              <w:top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6,850,009</w:t>
            </w:r>
          </w:p>
        </w:tc>
      </w:tr>
      <w:tr>
        <w:trPr>
          <w:trHeight w:val="167"/>
        </w:trPr>
        <w:tc>
          <w:tcPr>
            <w:tcW w:w="20" w:type="dxa"/>
            <w:vAlign w:val="bottom"/>
          </w:tcPr>
          <w:p>
            <w:pPr>
              <w:spacing w:after="0"/>
              <w:rPr>
                <w:sz w:val="14"/>
                <w:szCs w:val="14"/>
                <w:color w:val="auto"/>
              </w:rPr>
            </w:pPr>
          </w:p>
        </w:tc>
        <w:tc>
          <w:tcPr>
            <w:tcW w:w="3000" w:type="dxa"/>
            <w:vAlign w:val="bottom"/>
            <w:shd w:val="clear" w:color="auto" w:fill="D9D9D9"/>
          </w:tcPr>
          <w:p>
            <w:pPr>
              <w:spacing w:after="0"/>
              <w:rPr>
                <w:sz w:val="20"/>
                <w:szCs w:val="20"/>
                <w:color w:val="auto"/>
              </w:rPr>
            </w:pPr>
            <w:r>
              <w:rPr>
                <w:rFonts w:ascii="Arial" w:cs="Arial" w:eastAsia="Arial" w:hAnsi="Arial"/>
                <w:sz w:val="14"/>
                <w:szCs w:val="14"/>
                <w:color w:val="auto"/>
              </w:rPr>
              <w:t>Former Executive Vice President, Chief</w:t>
            </w:r>
          </w:p>
        </w:tc>
        <w:tc>
          <w:tcPr>
            <w:tcW w:w="4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1,750,000</w:t>
            </w:r>
          </w:p>
        </w:tc>
        <w:tc>
          <w:tcPr>
            <w:tcW w:w="22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1,350,015</w:t>
            </w:r>
          </w:p>
        </w:tc>
        <w:tc>
          <w:tcPr>
            <w:tcW w:w="200" w:type="dxa"/>
            <w:vAlign w:val="bottom"/>
            <w:shd w:val="clear" w:color="auto" w:fill="D9D9D9"/>
          </w:tcPr>
          <w:p>
            <w:pPr>
              <w:spacing w:after="0"/>
              <w:rPr>
                <w:sz w:val="14"/>
                <w:szCs w:val="14"/>
                <w:color w:val="auto"/>
              </w:rPr>
            </w:pPr>
          </w:p>
        </w:tc>
        <w:tc>
          <w:tcPr>
            <w:tcW w:w="22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900,001</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9D9"/>
          </w:tcPr>
          <w:p>
            <w:pPr>
              <w:jc w:val="right"/>
              <w:ind w:right="32"/>
              <w:spacing w:after="0"/>
              <w:rPr>
                <w:sz w:val="20"/>
                <w:szCs w:val="20"/>
                <w:color w:val="auto"/>
              </w:rPr>
            </w:pPr>
            <w:r>
              <w:rPr>
                <w:rFonts w:ascii="Arial" w:cs="Arial" w:eastAsia="Arial" w:hAnsi="Arial"/>
                <w:sz w:val="14"/>
                <w:szCs w:val="14"/>
                <w:color w:val="auto"/>
              </w:rPr>
              <w:t>2,500,000</w:t>
            </w:r>
          </w:p>
        </w:tc>
        <w:tc>
          <w:tcPr>
            <w:tcW w:w="440" w:type="dxa"/>
            <w:vAlign w:val="bottom"/>
            <w:shd w:val="clear" w:color="auto" w:fill="D9D9D9"/>
          </w:tcPr>
          <w:p>
            <w:pPr>
              <w:jc w:val="right"/>
              <w:ind w:right="215"/>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948</w:t>
            </w:r>
          </w:p>
        </w:tc>
        <w:tc>
          <w:tcPr>
            <w:tcW w:w="460" w:type="dxa"/>
            <w:vAlign w:val="bottom"/>
            <w:shd w:val="clear" w:color="auto" w:fill="D9D9D9"/>
          </w:tcPr>
          <w:p>
            <w:pPr>
              <w:jc w:val="right"/>
              <w:ind w:right="232"/>
              <w:spacing w:after="0"/>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28,933</w:t>
            </w:r>
          </w:p>
        </w:tc>
        <w:tc>
          <w:tcPr>
            <w:tcW w:w="26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6,529,897</w:t>
            </w:r>
          </w:p>
        </w:tc>
      </w:tr>
      <w:tr>
        <w:trPr>
          <w:trHeight w:val="184"/>
        </w:trPr>
        <w:tc>
          <w:tcPr>
            <w:tcW w:w="20" w:type="dxa"/>
            <w:vAlign w:val="bottom"/>
          </w:tcPr>
          <w:p>
            <w:pPr>
              <w:spacing w:after="0"/>
              <w:rPr>
                <w:sz w:val="16"/>
                <w:szCs w:val="16"/>
                <w:color w:val="auto"/>
              </w:rPr>
            </w:pPr>
          </w:p>
        </w:tc>
        <w:tc>
          <w:tcPr>
            <w:tcW w:w="30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color w:val="auto"/>
              </w:rPr>
              <w:t>Administrative Officer</w:t>
            </w:r>
          </w:p>
        </w:tc>
        <w:tc>
          <w:tcPr>
            <w:tcW w:w="44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1,750,000</w:t>
            </w:r>
          </w:p>
        </w:tc>
        <w:tc>
          <w:tcPr>
            <w:tcW w:w="22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1,349,996</w:t>
            </w:r>
          </w:p>
        </w:tc>
        <w:tc>
          <w:tcPr>
            <w:tcW w:w="200" w:type="dxa"/>
            <w:vAlign w:val="bottom"/>
            <w:tcBorders>
              <w:bottom w:val="single" w:sz="8" w:color="auto"/>
            </w:tcBorders>
            <w:shd w:val="clear" w:color="auto" w:fill="D9D9D9"/>
          </w:tcPr>
          <w:p>
            <w:pPr>
              <w:spacing w:after="0"/>
              <w:rPr>
                <w:sz w:val="16"/>
                <w:szCs w:val="16"/>
                <w:color w:val="auto"/>
              </w:rPr>
            </w:pPr>
          </w:p>
        </w:tc>
        <w:tc>
          <w:tcPr>
            <w:tcW w:w="22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899,998</w:t>
            </w:r>
          </w:p>
        </w:tc>
        <w:tc>
          <w:tcPr>
            <w:tcW w:w="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color w:val="auto"/>
              </w:rPr>
              <w:t>1,375,000</w:t>
            </w:r>
          </w:p>
        </w:tc>
        <w:tc>
          <w:tcPr>
            <w:tcW w:w="440" w:type="dxa"/>
            <w:vAlign w:val="bottom"/>
            <w:tcBorders>
              <w:bottom w:val="single" w:sz="8" w:color="auto"/>
            </w:tcBorders>
            <w:shd w:val="clear" w:color="auto" w:fill="D9D9D9"/>
          </w:tcPr>
          <w:p>
            <w:pPr>
              <w:jc w:val="right"/>
              <w:ind w:right="215"/>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4,830</w:t>
            </w:r>
          </w:p>
        </w:tc>
        <w:tc>
          <w:tcPr>
            <w:tcW w:w="460" w:type="dxa"/>
            <w:vAlign w:val="bottom"/>
            <w:tcBorders>
              <w:bottom w:val="single" w:sz="8" w:color="auto"/>
            </w:tcBorders>
            <w:shd w:val="clear" w:color="auto" w:fill="D9D9D9"/>
          </w:tcPr>
          <w:p>
            <w:pPr>
              <w:jc w:val="right"/>
              <w:ind w:right="23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26,079</w:t>
            </w:r>
          </w:p>
        </w:tc>
        <w:tc>
          <w:tcPr>
            <w:tcW w:w="260" w:type="dxa"/>
            <w:vAlign w:val="bottom"/>
            <w:tcBorders>
              <w:bottom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5,405,903</w:t>
            </w:r>
          </w:p>
        </w:tc>
      </w:tr>
    </w:tbl>
    <w:p>
      <w:pPr>
        <w:spacing w:after="0" w:line="107" w:lineRule="exact"/>
        <w:rPr>
          <w:sz w:val="20"/>
          <w:szCs w:val="20"/>
          <w:color w:val="auto"/>
        </w:rPr>
      </w:pPr>
    </w:p>
    <w:p>
      <w:pPr>
        <w:jc w:val="both"/>
        <w:ind w:left="440" w:right="20" w:hanging="432"/>
        <w:spacing w:after="0" w:line="226" w:lineRule="auto"/>
        <w:tabs>
          <w:tab w:leader="none" w:pos="440" w:val="left"/>
        </w:tabs>
        <w:numPr>
          <w:ilvl w:val="0"/>
          <w:numId w:val="75"/>
        </w:numPr>
        <w:rPr>
          <w:rFonts w:ascii="Arial" w:cs="Arial" w:eastAsia="Arial" w:hAnsi="Arial"/>
          <w:sz w:val="11"/>
          <w:szCs w:val="11"/>
          <w:i w:val="1"/>
          <w:iCs w:val="1"/>
          <w:color w:val="auto"/>
        </w:rPr>
      </w:pPr>
      <w:r>
        <w:rPr>
          <w:rFonts w:ascii="Arial" w:cs="Arial" w:eastAsia="Arial" w:hAnsi="Arial"/>
          <w:sz w:val="14"/>
          <w:szCs w:val="14"/>
          <w:i w:val="1"/>
          <w:iCs w:val="1"/>
          <w:color w:val="auto"/>
        </w:rPr>
        <w:t>Reflects the aggregate grant date fair value of the equity awards granted in the respective year calculated in accordance with FASB ASC Topic 718 – Stock Compensation, not including assumed forfeitures. Includes annual equity awards granted under our LTMIP as part of our annual equity program. See “Compensation Discussion &amp; Analysis” for a detailed discussion of our equity program and the individual awards. Grant date fair value assumptions are consistent with those disclosed in the Equity-Based Compensation Note to our Consolidated Financial Statements in our Annual Reports on Form 10-K for fiscal years 2018, 2017 and 2016.</w:t>
      </w:r>
    </w:p>
    <w:p>
      <w:pPr>
        <w:spacing w:after="0" w:line="1" w:lineRule="exact"/>
        <w:rPr>
          <w:rFonts w:ascii="Arial" w:cs="Arial" w:eastAsia="Arial" w:hAnsi="Arial"/>
          <w:sz w:val="11"/>
          <w:szCs w:val="11"/>
          <w:i w:val="1"/>
          <w:iCs w:val="1"/>
          <w:color w:val="auto"/>
        </w:rPr>
      </w:pPr>
    </w:p>
    <w:p>
      <w:pPr>
        <w:ind w:left="440" w:right="20" w:hanging="432"/>
        <w:spacing w:after="0" w:line="221" w:lineRule="auto"/>
        <w:tabs>
          <w:tab w:leader="none" w:pos="440" w:val="left"/>
        </w:tabs>
        <w:numPr>
          <w:ilvl w:val="0"/>
          <w:numId w:val="75"/>
        </w:numPr>
        <w:rPr>
          <w:rFonts w:ascii="Arial" w:cs="Arial" w:eastAsia="Arial" w:hAnsi="Arial"/>
          <w:sz w:val="11"/>
          <w:szCs w:val="11"/>
          <w:i w:val="1"/>
          <w:iCs w:val="1"/>
          <w:color w:val="auto"/>
        </w:rPr>
      </w:pPr>
      <w:r>
        <w:rPr>
          <w:rFonts w:ascii="Arial" w:cs="Arial" w:eastAsia="Arial" w:hAnsi="Arial"/>
          <w:sz w:val="14"/>
          <w:szCs w:val="14"/>
          <w:i w:val="1"/>
          <w:iCs w:val="1"/>
          <w:color w:val="auto"/>
        </w:rPr>
        <w:t>Reflects annual cash bonus amounts under the Senior Executive STIP for performance during the respective year. Fiscal year 2018 amounts for each of Mr. Davis and Ms. D’Alimonte also reflect a one-time special bonus in the amount of $500,000 to recognize their significant contributions to the Company in fiscal year 2018.</w:t>
      </w:r>
    </w:p>
    <w:p>
      <w:pPr>
        <w:ind w:left="440" w:right="40" w:hanging="432"/>
        <w:spacing w:after="0" w:line="221" w:lineRule="auto"/>
        <w:tabs>
          <w:tab w:leader="none" w:pos="440" w:val="left"/>
        </w:tabs>
        <w:numPr>
          <w:ilvl w:val="0"/>
          <w:numId w:val="75"/>
        </w:numPr>
        <w:rPr>
          <w:rFonts w:ascii="Arial" w:cs="Arial" w:eastAsia="Arial" w:hAnsi="Arial"/>
          <w:sz w:val="11"/>
          <w:szCs w:val="11"/>
          <w:i w:val="1"/>
          <w:iCs w:val="1"/>
          <w:color w:val="auto"/>
        </w:rPr>
      </w:pPr>
      <w:r>
        <w:rPr>
          <w:rFonts w:ascii="Arial" w:cs="Arial" w:eastAsia="Arial" w:hAnsi="Arial"/>
          <w:sz w:val="14"/>
          <w:szCs w:val="14"/>
          <w:i w:val="1"/>
          <w:iCs w:val="1"/>
          <w:color w:val="auto"/>
        </w:rPr>
        <w:t>For fiscal years 2016 and 2017, figures reflect change in pension value only. For fiscal year 2018, each of the NEOs who have an accumulated pension benefit had a negative change in pension value as follows: $(44,699) for Mr. Bakish, $(15,297) for Mr. Davis, $(36,967) for Ms. Lea and $(321) for Mr. Mills.</w:t>
      </w:r>
    </w:p>
    <w:p>
      <w:pPr>
        <w:ind w:left="440" w:hanging="432"/>
        <w:spacing w:after="0"/>
        <w:tabs>
          <w:tab w:leader="none" w:pos="440" w:val="left"/>
        </w:tabs>
        <w:numPr>
          <w:ilvl w:val="0"/>
          <w:numId w:val="75"/>
        </w:numPr>
        <w:rPr>
          <w:rFonts w:ascii="Arial" w:cs="Arial" w:eastAsia="Arial" w:hAnsi="Arial"/>
          <w:sz w:val="11"/>
          <w:szCs w:val="11"/>
          <w:i w:val="1"/>
          <w:iCs w:val="1"/>
          <w:color w:val="auto"/>
        </w:rPr>
      </w:pPr>
      <w:r>
        <w:rPr>
          <w:rFonts w:ascii="Arial" w:cs="Arial" w:eastAsia="Arial" w:hAnsi="Arial"/>
          <w:sz w:val="14"/>
          <w:szCs w:val="14"/>
          <w:i w:val="1"/>
          <w:iCs w:val="1"/>
          <w:color w:val="auto"/>
        </w:rPr>
        <w:t>All Other Compensation includes the following amounts received in fiscal year 2018 by the NEOs: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37"/>
        </w:trPr>
        <w:tc>
          <w:tcPr>
            <w:tcW w:w="22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1"/>
                <w:szCs w:val="11"/>
                <w:b w:val="1"/>
                <w:bCs w:val="1"/>
                <w:color w:val="auto"/>
              </w:rPr>
              <w:t>Additional Compensation</w:t>
            </w:r>
          </w:p>
        </w:tc>
        <w:tc>
          <w:tcPr>
            <w:tcW w:w="3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7"/>
              </w:rPr>
              <w:t>Perquisites</w:t>
            </w: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13"/>
        </w:trPr>
        <w:tc>
          <w:tcPr>
            <w:tcW w:w="2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jc w:val="center"/>
              <w:ind w:left="366"/>
              <w:spacing w:after="0" w:line="114" w:lineRule="exact"/>
              <w:rPr>
                <w:sz w:val="20"/>
                <w:szCs w:val="20"/>
                <w:color w:val="auto"/>
              </w:rPr>
            </w:pPr>
            <w:r>
              <w:rPr>
                <w:rFonts w:ascii="Arial" w:cs="Arial" w:eastAsia="Arial" w:hAnsi="Arial"/>
                <w:sz w:val="11"/>
                <w:szCs w:val="11"/>
                <w:b w:val="1"/>
                <w:bCs w:val="1"/>
                <w:color w:val="auto"/>
                <w:w w:val="99"/>
              </w:rPr>
              <w:t>Company</w:t>
            </w:r>
          </w:p>
        </w:tc>
        <w:tc>
          <w:tcPr>
            <w:tcW w:w="420" w:type="dxa"/>
            <w:vAlign w:val="bottom"/>
          </w:tcPr>
          <w:p>
            <w:pPr>
              <w:spacing w:after="0"/>
              <w:rPr>
                <w:sz w:val="9"/>
                <w:szCs w:val="9"/>
                <w:color w:val="auto"/>
              </w:rPr>
            </w:pPr>
          </w:p>
        </w:tc>
        <w:tc>
          <w:tcPr>
            <w:tcW w:w="840" w:type="dxa"/>
            <w:vAlign w:val="bottom"/>
          </w:tcPr>
          <w:p>
            <w:pPr>
              <w:jc w:val="center"/>
              <w:ind w:left="326"/>
              <w:spacing w:after="0" w:line="114" w:lineRule="exact"/>
              <w:rPr>
                <w:sz w:val="20"/>
                <w:szCs w:val="20"/>
                <w:color w:val="auto"/>
              </w:rPr>
            </w:pPr>
            <w:r>
              <w:rPr>
                <w:rFonts w:ascii="Arial" w:cs="Arial" w:eastAsia="Arial" w:hAnsi="Arial"/>
                <w:sz w:val="11"/>
                <w:szCs w:val="11"/>
                <w:b w:val="1"/>
                <w:bCs w:val="1"/>
                <w:color w:val="auto"/>
              </w:rPr>
              <w:t>Profit</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22"/>
        </w:trPr>
        <w:tc>
          <w:tcPr>
            <w:tcW w:w="2240" w:type="dxa"/>
            <w:vAlign w:val="bottom"/>
          </w:tcPr>
          <w:p>
            <w:pPr>
              <w:spacing w:after="0"/>
              <w:rPr>
                <w:sz w:val="10"/>
                <w:szCs w:val="10"/>
                <w:color w:val="auto"/>
              </w:rPr>
            </w:pPr>
          </w:p>
        </w:tc>
        <w:tc>
          <w:tcPr>
            <w:tcW w:w="840" w:type="dxa"/>
            <w:vAlign w:val="bottom"/>
          </w:tcPr>
          <w:p>
            <w:pPr>
              <w:jc w:val="center"/>
              <w:ind w:left="289"/>
              <w:spacing w:after="0" w:line="122" w:lineRule="exact"/>
              <w:rPr>
                <w:sz w:val="20"/>
                <w:szCs w:val="20"/>
                <w:color w:val="auto"/>
              </w:rPr>
            </w:pPr>
            <w:r>
              <w:rPr>
                <w:rFonts w:ascii="Arial" w:cs="Arial" w:eastAsia="Arial" w:hAnsi="Arial"/>
                <w:sz w:val="11"/>
                <w:szCs w:val="11"/>
                <w:b w:val="1"/>
                <w:bCs w:val="1"/>
                <w:color w:val="auto"/>
                <w:w w:val="99"/>
              </w:rPr>
              <w:t>Company</w:t>
            </w:r>
          </w:p>
        </w:tc>
        <w:tc>
          <w:tcPr>
            <w:tcW w:w="400" w:type="dxa"/>
            <w:vAlign w:val="bottom"/>
          </w:tcPr>
          <w:p>
            <w:pPr>
              <w:spacing w:after="0"/>
              <w:rPr>
                <w:sz w:val="10"/>
                <w:szCs w:val="10"/>
                <w:color w:val="auto"/>
              </w:rPr>
            </w:pPr>
          </w:p>
        </w:tc>
        <w:tc>
          <w:tcPr>
            <w:tcW w:w="1000" w:type="dxa"/>
            <w:vAlign w:val="bottom"/>
          </w:tcPr>
          <w:p>
            <w:pPr>
              <w:jc w:val="center"/>
              <w:ind w:left="386"/>
              <w:spacing w:after="0" w:line="122" w:lineRule="exact"/>
              <w:rPr>
                <w:sz w:val="20"/>
                <w:szCs w:val="20"/>
                <w:color w:val="auto"/>
              </w:rPr>
            </w:pPr>
            <w:r>
              <w:rPr>
                <w:rFonts w:ascii="Arial" w:cs="Arial" w:eastAsia="Arial" w:hAnsi="Arial"/>
                <w:sz w:val="11"/>
                <w:szCs w:val="11"/>
                <w:b w:val="1"/>
                <w:bCs w:val="1"/>
                <w:color w:val="auto"/>
                <w:w w:val="98"/>
              </w:rPr>
              <w:t>Match in</w:t>
            </w:r>
          </w:p>
        </w:tc>
        <w:tc>
          <w:tcPr>
            <w:tcW w:w="420" w:type="dxa"/>
            <w:vAlign w:val="bottom"/>
          </w:tcPr>
          <w:p>
            <w:pPr>
              <w:spacing w:after="0"/>
              <w:rPr>
                <w:sz w:val="10"/>
                <w:szCs w:val="10"/>
                <w:color w:val="auto"/>
              </w:rPr>
            </w:pPr>
          </w:p>
        </w:tc>
        <w:tc>
          <w:tcPr>
            <w:tcW w:w="840" w:type="dxa"/>
            <w:vAlign w:val="bottom"/>
          </w:tcPr>
          <w:p>
            <w:pPr>
              <w:jc w:val="center"/>
              <w:ind w:left="326"/>
              <w:spacing w:after="0" w:line="122" w:lineRule="exact"/>
              <w:rPr>
                <w:sz w:val="20"/>
                <w:szCs w:val="20"/>
                <w:color w:val="auto"/>
              </w:rPr>
            </w:pPr>
            <w:r>
              <w:rPr>
                <w:rFonts w:ascii="Arial" w:cs="Arial" w:eastAsia="Arial" w:hAnsi="Arial"/>
                <w:sz w:val="11"/>
                <w:szCs w:val="11"/>
                <w:b w:val="1"/>
                <w:bCs w:val="1"/>
                <w:color w:val="auto"/>
              </w:rPr>
              <w:t>Sharing</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22"/>
        </w:trPr>
        <w:tc>
          <w:tcPr>
            <w:tcW w:w="2240" w:type="dxa"/>
            <w:vAlign w:val="bottom"/>
          </w:tcPr>
          <w:p>
            <w:pPr>
              <w:spacing w:after="0"/>
              <w:rPr>
                <w:sz w:val="10"/>
                <w:szCs w:val="10"/>
                <w:color w:val="auto"/>
              </w:rPr>
            </w:pPr>
          </w:p>
        </w:tc>
        <w:tc>
          <w:tcPr>
            <w:tcW w:w="840" w:type="dxa"/>
            <w:vAlign w:val="bottom"/>
          </w:tcPr>
          <w:p>
            <w:pPr>
              <w:jc w:val="center"/>
              <w:ind w:left="289"/>
              <w:spacing w:after="0" w:line="122" w:lineRule="exact"/>
              <w:rPr>
                <w:sz w:val="20"/>
                <w:szCs w:val="20"/>
                <w:color w:val="auto"/>
              </w:rPr>
            </w:pPr>
            <w:r>
              <w:rPr>
                <w:rFonts w:ascii="Arial" w:cs="Arial" w:eastAsia="Arial" w:hAnsi="Arial"/>
                <w:sz w:val="11"/>
                <w:szCs w:val="11"/>
                <w:b w:val="1"/>
                <w:bCs w:val="1"/>
                <w:color w:val="auto"/>
                <w:w w:val="94"/>
              </w:rPr>
              <w:t>Match in</w:t>
            </w:r>
          </w:p>
        </w:tc>
        <w:tc>
          <w:tcPr>
            <w:tcW w:w="400" w:type="dxa"/>
            <w:vAlign w:val="bottom"/>
          </w:tcPr>
          <w:p>
            <w:pPr>
              <w:spacing w:after="0"/>
              <w:rPr>
                <w:sz w:val="10"/>
                <w:szCs w:val="10"/>
                <w:color w:val="auto"/>
              </w:rPr>
            </w:pPr>
          </w:p>
        </w:tc>
        <w:tc>
          <w:tcPr>
            <w:tcW w:w="1000" w:type="dxa"/>
            <w:vAlign w:val="bottom"/>
          </w:tcPr>
          <w:p>
            <w:pPr>
              <w:jc w:val="center"/>
              <w:ind w:left="366"/>
              <w:spacing w:after="0" w:line="122" w:lineRule="exact"/>
              <w:rPr>
                <w:sz w:val="20"/>
                <w:szCs w:val="20"/>
                <w:color w:val="auto"/>
              </w:rPr>
            </w:pPr>
            <w:r>
              <w:rPr>
                <w:rFonts w:ascii="Arial" w:cs="Arial" w:eastAsia="Arial" w:hAnsi="Arial"/>
                <w:sz w:val="11"/>
                <w:szCs w:val="11"/>
                <w:b w:val="1"/>
                <w:bCs w:val="1"/>
                <w:color w:val="auto"/>
              </w:rPr>
              <w:t>Excess</w:t>
            </w:r>
          </w:p>
        </w:tc>
        <w:tc>
          <w:tcPr>
            <w:tcW w:w="420" w:type="dxa"/>
            <w:vAlign w:val="bottom"/>
          </w:tcPr>
          <w:p>
            <w:pPr>
              <w:spacing w:after="0"/>
              <w:rPr>
                <w:sz w:val="10"/>
                <w:szCs w:val="10"/>
                <w:color w:val="auto"/>
              </w:rPr>
            </w:pPr>
          </w:p>
        </w:tc>
        <w:tc>
          <w:tcPr>
            <w:tcW w:w="840" w:type="dxa"/>
            <w:vAlign w:val="bottom"/>
          </w:tcPr>
          <w:p>
            <w:pPr>
              <w:jc w:val="center"/>
              <w:ind w:left="326"/>
              <w:spacing w:after="0" w:line="122" w:lineRule="exact"/>
              <w:rPr>
                <w:sz w:val="20"/>
                <w:szCs w:val="20"/>
                <w:color w:val="auto"/>
              </w:rPr>
            </w:pPr>
            <w:r>
              <w:rPr>
                <w:rFonts w:ascii="Arial" w:cs="Arial" w:eastAsia="Arial" w:hAnsi="Arial"/>
                <w:sz w:val="11"/>
                <w:szCs w:val="11"/>
                <w:b w:val="1"/>
                <w:bCs w:val="1"/>
                <w:color w:val="auto"/>
                <w:w w:val="94"/>
              </w:rPr>
              <w:t>Plan in</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22"/>
        </w:trPr>
        <w:tc>
          <w:tcPr>
            <w:tcW w:w="2240" w:type="dxa"/>
            <w:vAlign w:val="bottom"/>
          </w:tcPr>
          <w:p>
            <w:pPr>
              <w:spacing w:after="0"/>
              <w:rPr>
                <w:sz w:val="10"/>
                <w:szCs w:val="10"/>
                <w:color w:val="auto"/>
              </w:rPr>
            </w:pPr>
          </w:p>
        </w:tc>
        <w:tc>
          <w:tcPr>
            <w:tcW w:w="840" w:type="dxa"/>
            <w:vAlign w:val="bottom"/>
          </w:tcPr>
          <w:p>
            <w:pPr>
              <w:jc w:val="center"/>
              <w:ind w:left="289"/>
              <w:spacing w:after="0" w:line="122" w:lineRule="exact"/>
              <w:rPr>
                <w:sz w:val="20"/>
                <w:szCs w:val="20"/>
                <w:color w:val="auto"/>
              </w:rPr>
            </w:pPr>
            <w:r>
              <w:rPr>
                <w:rFonts w:ascii="Arial" w:cs="Arial" w:eastAsia="Arial" w:hAnsi="Arial"/>
                <w:sz w:val="11"/>
                <w:szCs w:val="11"/>
                <w:b w:val="1"/>
                <w:bCs w:val="1"/>
                <w:color w:val="auto"/>
                <w:w w:val="94"/>
              </w:rPr>
              <w:t>401(k)</w:t>
            </w:r>
          </w:p>
        </w:tc>
        <w:tc>
          <w:tcPr>
            <w:tcW w:w="400" w:type="dxa"/>
            <w:vAlign w:val="bottom"/>
          </w:tcPr>
          <w:p>
            <w:pPr>
              <w:spacing w:after="0"/>
              <w:rPr>
                <w:sz w:val="10"/>
                <w:szCs w:val="10"/>
                <w:color w:val="auto"/>
              </w:rPr>
            </w:pPr>
          </w:p>
        </w:tc>
        <w:tc>
          <w:tcPr>
            <w:tcW w:w="1000" w:type="dxa"/>
            <w:vAlign w:val="bottom"/>
          </w:tcPr>
          <w:p>
            <w:pPr>
              <w:jc w:val="center"/>
              <w:ind w:left="386"/>
              <w:spacing w:after="0" w:line="122" w:lineRule="exact"/>
              <w:rPr>
                <w:sz w:val="20"/>
                <w:szCs w:val="20"/>
                <w:color w:val="auto"/>
              </w:rPr>
            </w:pPr>
            <w:r>
              <w:rPr>
                <w:rFonts w:ascii="Arial" w:cs="Arial" w:eastAsia="Arial" w:hAnsi="Arial"/>
                <w:sz w:val="11"/>
                <w:szCs w:val="11"/>
                <w:b w:val="1"/>
                <w:bCs w:val="1"/>
                <w:color w:val="auto"/>
              </w:rPr>
              <w:t>401(k)</w:t>
            </w:r>
          </w:p>
        </w:tc>
        <w:tc>
          <w:tcPr>
            <w:tcW w:w="420" w:type="dxa"/>
            <w:vAlign w:val="bottom"/>
          </w:tcPr>
          <w:p>
            <w:pPr>
              <w:spacing w:after="0"/>
              <w:rPr>
                <w:sz w:val="10"/>
                <w:szCs w:val="10"/>
                <w:color w:val="auto"/>
              </w:rPr>
            </w:pPr>
          </w:p>
        </w:tc>
        <w:tc>
          <w:tcPr>
            <w:tcW w:w="840" w:type="dxa"/>
            <w:vAlign w:val="bottom"/>
          </w:tcPr>
          <w:p>
            <w:pPr>
              <w:jc w:val="center"/>
              <w:ind w:left="326"/>
              <w:spacing w:after="0" w:line="122" w:lineRule="exact"/>
              <w:rPr>
                <w:sz w:val="20"/>
                <w:szCs w:val="20"/>
                <w:color w:val="auto"/>
              </w:rPr>
            </w:pPr>
            <w:r>
              <w:rPr>
                <w:rFonts w:ascii="Arial" w:cs="Arial" w:eastAsia="Arial" w:hAnsi="Arial"/>
                <w:sz w:val="11"/>
                <w:szCs w:val="11"/>
                <w:b w:val="1"/>
                <w:bCs w:val="1"/>
                <w:color w:val="auto"/>
                <w:w w:val="94"/>
              </w:rPr>
              <w:t>401(k)</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jc w:val="right"/>
              <w:ind w:right="606"/>
              <w:spacing w:after="0" w:line="122" w:lineRule="exact"/>
              <w:rPr>
                <w:sz w:val="20"/>
                <w:szCs w:val="20"/>
                <w:color w:val="auto"/>
              </w:rPr>
            </w:pPr>
            <w:r>
              <w:rPr>
                <w:rFonts w:ascii="Arial" w:cs="Arial" w:eastAsia="Arial" w:hAnsi="Arial"/>
                <w:sz w:val="11"/>
                <w:szCs w:val="11"/>
                <w:b w:val="1"/>
                <w:bCs w:val="1"/>
                <w:color w:val="auto"/>
              </w:rPr>
              <w:t>Life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auto"/>
                <w:w w:val="97"/>
              </w:rPr>
              <w:t>Car</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37"/>
        </w:trPr>
        <w:tc>
          <w:tcPr>
            <w:tcW w:w="2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left="289"/>
              <w:spacing w:after="0"/>
              <w:rPr>
                <w:sz w:val="20"/>
                <w:szCs w:val="20"/>
                <w:color w:val="auto"/>
              </w:rPr>
            </w:pPr>
            <w:r>
              <w:rPr>
                <w:rFonts w:ascii="Arial" w:cs="Arial" w:eastAsia="Arial" w:hAnsi="Arial"/>
                <w:sz w:val="11"/>
                <w:szCs w:val="11"/>
                <w:b w:val="1"/>
                <w:bCs w:val="1"/>
                <w:color w:val="auto"/>
                <w:w w:val="94"/>
              </w:rPr>
              <w:t>Plan</w:t>
            </w: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left="366"/>
              <w:spacing w:after="0"/>
              <w:rPr>
                <w:sz w:val="20"/>
                <w:szCs w:val="20"/>
                <w:color w:val="auto"/>
              </w:rPr>
            </w:pPr>
            <w:r>
              <w:rPr>
                <w:rFonts w:ascii="Arial" w:cs="Arial" w:eastAsia="Arial" w:hAnsi="Arial"/>
                <w:sz w:val="11"/>
                <w:szCs w:val="11"/>
                <w:b w:val="1"/>
                <w:bCs w:val="1"/>
                <w:color w:val="auto"/>
                <w:w w:val="94"/>
              </w:rPr>
              <w:t>Plan</w:t>
            </w: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left="326"/>
              <w:spacing w:after="0"/>
              <w:rPr>
                <w:sz w:val="20"/>
                <w:szCs w:val="20"/>
                <w:color w:val="auto"/>
              </w:rPr>
            </w:pPr>
            <w:r>
              <w:rPr>
                <w:rFonts w:ascii="Arial" w:cs="Arial" w:eastAsia="Arial" w:hAnsi="Arial"/>
                <w:sz w:val="11"/>
                <w:szCs w:val="11"/>
                <w:b w:val="1"/>
                <w:bCs w:val="1"/>
                <w:color w:val="auto"/>
                <w:w w:val="94"/>
              </w:rPr>
              <w:t>Plan</w:t>
            </w:r>
          </w:p>
        </w:tc>
        <w:tc>
          <w:tcPr>
            <w:tcW w:w="3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 xml:space="preserve">Insurance </w:t>
            </w:r>
            <w:r>
              <w:rPr>
                <w:rFonts w:ascii="Arial" w:cs="Arial" w:eastAsia="Arial" w:hAnsi="Arial"/>
                <w:sz w:val="9"/>
                <w:szCs w:val="9"/>
                <w:b w:val="1"/>
                <w:bCs w:val="1"/>
                <w:color w:val="auto"/>
              </w:rPr>
              <w:t>(a)</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rPr>
              <w:t xml:space="preserve">Service </w:t>
            </w:r>
            <w:r>
              <w:rPr>
                <w:rFonts w:ascii="Arial" w:cs="Arial" w:eastAsia="Arial" w:hAnsi="Arial"/>
                <w:sz w:val="9"/>
                <w:szCs w:val="9"/>
                <w:b w:val="1"/>
                <w:bCs w:val="1"/>
                <w:color w:val="auto"/>
              </w:rPr>
              <w:t>(b)</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rPr>
              <w:t>Total</w:t>
            </w:r>
          </w:p>
        </w:tc>
      </w:tr>
      <w:tr>
        <w:trPr>
          <w:trHeight w:val="129"/>
        </w:trPr>
        <w:tc>
          <w:tcPr>
            <w:tcW w:w="224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1"/>
                <w:szCs w:val="11"/>
                <w:color w:val="auto"/>
              </w:rPr>
              <w:t>Robert M. Bakish</w:t>
            </w:r>
          </w:p>
        </w:tc>
        <w:tc>
          <w:tcPr>
            <w:tcW w:w="840" w:type="dxa"/>
            <w:vAlign w:val="bottom"/>
            <w:tcBorders>
              <w:bottom w:val="single" w:sz="8" w:color="auto"/>
            </w:tcBorders>
            <w:shd w:val="clear" w:color="auto" w:fill="DCDDDE"/>
          </w:tcPr>
          <w:p>
            <w:pPr>
              <w:jc w:val="right"/>
              <w:ind w:right="729"/>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8,417</w:t>
            </w:r>
          </w:p>
        </w:tc>
        <w:tc>
          <w:tcPr>
            <w:tcW w:w="1000" w:type="dxa"/>
            <w:vAlign w:val="bottom"/>
            <w:tcBorders>
              <w:bottom w:val="single" w:sz="8" w:color="auto"/>
            </w:tcBorders>
            <w:shd w:val="clear" w:color="auto" w:fill="DCDDDE"/>
          </w:tcPr>
          <w:p>
            <w:pPr>
              <w:jc w:val="right"/>
              <w:ind w:right="826"/>
              <w:spacing w:after="0"/>
              <w:rPr>
                <w:sz w:val="20"/>
                <w:szCs w:val="20"/>
                <w:color w:val="auto"/>
              </w:rPr>
            </w:pPr>
            <w:r>
              <w:rPr>
                <w:rFonts w:ascii="Arial" w:cs="Arial" w:eastAsia="Arial" w:hAnsi="Arial"/>
                <w:sz w:val="11"/>
                <w:szCs w:val="11"/>
                <w:b w:val="1"/>
                <w:bCs w:val="1"/>
                <w:color w:val="auto"/>
              </w:rPr>
              <w:t>$</w:t>
            </w:r>
          </w:p>
        </w:tc>
        <w:tc>
          <w:tcPr>
            <w:tcW w:w="42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13,183</w:t>
            </w:r>
          </w:p>
        </w:tc>
        <w:tc>
          <w:tcPr>
            <w:tcW w:w="840" w:type="dxa"/>
            <w:vAlign w:val="bottom"/>
            <w:tcBorders>
              <w:bottom w:val="single" w:sz="8" w:color="auto"/>
            </w:tcBorders>
            <w:shd w:val="clear" w:color="auto" w:fill="DCDDDE"/>
          </w:tcPr>
          <w:p>
            <w:pPr>
              <w:jc w:val="right"/>
              <w:ind w:right="666"/>
              <w:spacing w:after="0"/>
              <w:rPr>
                <w:sz w:val="20"/>
                <w:szCs w:val="20"/>
                <w:color w:val="auto"/>
              </w:rPr>
            </w:pPr>
            <w:r>
              <w:rPr>
                <w:rFonts w:ascii="Arial" w:cs="Arial" w:eastAsia="Arial" w:hAnsi="Arial"/>
                <w:sz w:val="11"/>
                <w:szCs w:val="11"/>
                <w:b w:val="1"/>
                <w:bCs w:val="1"/>
                <w:color w:val="auto"/>
              </w:rPr>
              <w:t>$</w:t>
            </w:r>
          </w:p>
        </w:tc>
        <w:tc>
          <w:tcPr>
            <w:tcW w:w="38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4,050</w:t>
            </w:r>
          </w:p>
        </w:tc>
        <w:tc>
          <w:tcPr>
            <w:tcW w:w="300" w:type="dxa"/>
            <w:vAlign w:val="bottom"/>
            <w:tcBorders>
              <w:bottom w:val="single" w:sz="8" w:color="auto"/>
            </w:tcBorders>
            <w:shd w:val="clear" w:color="auto" w:fill="DCDDDE"/>
          </w:tcPr>
          <w:p>
            <w:pPr>
              <w:jc w:val="right"/>
              <w:ind w:right="126"/>
              <w:spacing w:after="0"/>
              <w:rPr>
                <w:sz w:val="20"/>
                <w:szCs w:val="20"/>
                <w:color w:val="auto"/>
              </w:rPr>
            </w:pPr>
            <w:r>
              <w:rPr>
                <w:rFonts w:ascii="Arial" w:cs="Arial" w:eastAsia="Arial" w:hAnsi="Arial"/>
                <w:sz w:val="11"/>
                <w:szCs w:val="11"/>
                <w:b w:val="1"/>
                <w:bCs w:val="1"/>
                <w:color w:val="auto"/>
              </w:rPr>
              <w:t>$</w:t>
            </w:r>
          </w:p>
        </w:tc>
        <w:tc>
          <w:tcPr>
            <w:tcW w:w="12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1"/>
                <w:szCs w:val="11"/>
                <w:b w:val="1"/>
                <w:bCs w:val="1"/>
                <w:color w:val="auto"/>
              </w:rPr>
              <w:t>4,992</w:t>
            </w:r>
          </w:p>
        </w:tc>
        <w:tc>
          <w:tcPr>
            <w:tcW w:w="300" w:type="dxa"/>
            <w:vAlign w:val="bottom"/>
            <w:tcBorders>
              <w:bottom w:val="single" w:sz="8" w:color="auto"/>
            </w:tcBorders>
            <w:gridSpan w:val="2"/>
            <w:shd w:val="clear" w:color="auto" w:fill="DCDDDE"/>
          </w:tcPr>
          <w:p>
            <w:pPr>
              <w:jc w:val="right"/>
              <w:ind w:right="140"/>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48,002</w:t>
            </w:r>
          </w:p>
        </w:tc>
        <w:tc>
          <w:tcPr>
            <w:tcW w:w="460" w:type="dxa"/>
            <w:vAlign w:val="bottom"/>
            <w:tcBorders>
              <w:bottom w:val="single" w:sz="8" w:color="auto"/>
            </w:tcBorders>
            <w:gridSpan w:val="2"/>
            <w:shd w:val="clear" w:color="auto" w:fill="DCDDDE"/>
          </w:tcPr>
          <w:p>
            <w:pPr>
              <w:jc w:val="right"/>
              <w:ind w:right="3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auto"/>
            </w:tcBorders>
            <w:shd w:val="clear" w:color="auto" w:fill="DCDDDE"/>
          </w:tcPr>
          <w:p>
            <w:pPr>
              <w:jc w:val="right"/>
              <w:ind w:right="66"/>
              <w:spacing w:after="0"/>
              <w:rPr>
                <w:sz w:val="20"/>
                <w:szCs w:val="20"/>
                <w:color w:val="auto"/>
              </w:rPr>
            </w:pPr>
            <w:r>
              <w:rPr>
                <w:rFonts w:ascii="Arial" w:cs="Arial" w:eastAsia="Arial" w:hAnsi="Arial"/>
                <w:sz w:val="11"/>
                <w:szCs w:val="11"/>
                <w:b w:val="1"/>
                <w:bCs w:val="1"/>
                <w:color w:val="auto"/>
              </w:rPr>
              <w:t>78,644</w:t>
            </w:r>
          </w:p>
        </w:tc>
      </w:tr>
      <w:tr>
        <w:trPr>
          <w:trHeight w:val="129"/>
        </w:trPr>
        <w:tc>
          <w:tcPr>
            <w:tcW w:w="22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Wade C. Davis</w:t>
            </w:r>
          </w:p>
        </w:tc>
        <w:tc>
          <w:tcPr>
            <w:tcW w:w="840" w:type="dxa"/>
            <w:vAlign w:val="bottom"/>
            <w:tcBorders>
              <w:bottom w:val="single" w:sz="8" w:color="auto"/>
            </w:tcBorders>
          </w:tcPr>
          <w:p>
            <w:pPr>
              <w:jc w:val="right"/>
              <w:ind w:right="729"/>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8,417</w:t>
            </w:r>
          </w:p>
        </w:tc>
        <w:tc>
          <w:tcPr>
            <w:tcW w:w="1000" w:type="dxa"/>
            <w:vAlign w:val="bottom"/>
            <w:tcBorders>
              <w:bottom w:val="single" w:sz="8" w:color="auto"/>
            </w:tcBorders>
          </w:tcPr>
          <w:p>
            <w:pPr>
              <w:jc w:val="right"/>
              <w:ind w:right="826"/>
              <w:spacing w:after="0"/>
              <w:rPr>
                <w:sz w:val="20"/>
                <w:szCs w:val="20"/>
                <w:color w:val="auto"/>
              </w:rPr>
            </w:pPr>
            <w:r>
              <w:rPr>
                <w:rFonts w:ascii="Arial" w:cs="Arial" w:eastAsia="Arial" w:hAnsi="Arial"/>
                <w:sz w:val="11"/>
                <w:szCs w:val="11"/>
                <w:b w:val="1"/>
                <w:bCs w:val="1"/>
                <w:color w:val="auto"/>
              </w:rPr>
              <w:t>$</w:t>
            </w: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13,183</w:t>
            </w:r>
          </w:p>
        </w:tc>
        <w:tc>
          <w:tcPr>
            <w:tcW w:w="84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4,050</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2,190</w:t>
            </w:r>
          </w:p>
        </w:tc>
        <w:tc>
          <w:tcPr>
            <w:tcW w:w="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27,840</w:t>
            </w:r>
          </w:p>
        </w:tc>
      </w:tr>
      <w:tr>
        <w:trPr>
          <w:trHeight w:val="129"/>
        </w:trPr>
        <w:tc>
          <w:tcPr>
            <w:tcW w:w="224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1"/>
                <w:szCs w:val="11"/>
                <w:color w:val="auto"/>
              </w:rPr>
              <w:t>Christa A. D'Alimonte</w:t>
            </w:r>
          </w:p>
        </w:tc>
        <w:tc>
          <w:tcPr>
            <w:tcW w:w="840" w:type="dxa"/>
            <w:vAlign w:val="bottom"/>
            <w:tcBorders>
              <w:bottom w:val="single" w:sz="8" w:color="auto"/>
            </w:tcBorders>
            <w:shd w:val="clear" w:color="auto" w:fill="DCDDDE"/>
          </w:tcPr>
          <w:p>
            <w:pPr>
              <w:jc w:val="right"/>
              <w:ind w:right="729"/>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7,325</w:t>
            </w:r>
          </w:p>
        </w:tc>
        <w:tc>
          <w:tcPr>
            <w:tcW w:w="1000" w:type="dxa"/>
            <w:vAlign w:val="bottom"/>
            <w:tcBorders>
              <w:bottom w:val="single" w:sz="8" w:color="auto"/>
            </w:tcBorders>
            <w:shd w:val="clear" w:color="auto" w:fill="DCDDDE"/>
          </w:tcPr>
          <w:p>
            <w:pPr>
              <w:jc w:val="right"/>
              <w:ind w:right="826"/>
              <w:spacing w:after="0"/>
              <w:rPr>
                <w:sz w:val="20"/>
                <w:szCs w:val="20"/>
                <w:color w:val="auto"/>
              </w:rPr>
            </w:pPr>
            <w:r>
              <w:rPr>
                <w:rFonts w:ascii="Arial" w:cs="Arial" w:eastAsia="Arial" w:hAnsi="Arial"/>
                <w:sz w:val="11"/>
                <w:szCs w:val="11"/>
                <w:b w:val="1"/>
                <w:bCs w:val="1"/>
                <w:color w:val="auto"/>
              </w:rPr>
              <w:t>$</w:t>
            </w:r>
          </w:p>
        </w:tc>
        <w:tc>
          <w:tcPr>
            <w:tcW w:w="42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14,263</w:t>
            </w:r>
          </w:p>
        </w:tc>
        <w:tc>
          <w:tcPr>
            <w:tcW w:w="840" w:type="dxa"/>
            <w:vAlign w:val="bottom"/>
            <w:tcBorders>
              <w:bottom w:val="single" w:sz="8" w:color="auto"/>
            </w:tcBorders>
            <w:shd w:val="clear" w:color="auto" w:fill="DCDDDE"/>
          </w:tcPr>
          <w:p>
            <w:pPr>
              <w:jc w:val="right"/>
              <w:ind w:right="666"/>
              <w:spacing w:after="0"/>
              <w:rPr>
                <w:sz w:val="20"/>
                <w:szCs w:val="20"/>
                <w:color w:val="auto"/>
              </w:rPr>
            </w:pPr>
            <w:r>
              <w:rPr>
                <w:rFonts w:ascii="Arial" w:cs="Arial" w:eastAsia="Arial" w:hAnsi="Arial"/>
                <w:sz w:val="11"/>
                <w:szCs w:val="11"/>
                <w:b w:val="1"/>
                <w:bCs w:val="1"/>
                <w:color w:val="auto"/>
              </w:rPr>
              <w:t>$</w:t>
            </w:r>
          </w:p>
        </w:tc>
        <w:tc>
          <w:tcPr>
            <w:tcW w:w="38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4,050</w:t>
            </w:r>
          </w:p>
        </w:tc>
        <w:tc>
          <w:tcPr>
            <w:tcW w:w="300" w:type="dxa"/>
            <w:vAlign w:val="bottom"/>
            <w:tcBorders>
              <w:bottom w:val="single" w:sz="8" w:color="auto"/>
            </w:tcBorders>
            <w:shd w:val="clear" w:color="auto" w:fill="DCDDDE"/>
          </w:tcPr>
          <w:p>
            <w:pPr>
              <w:jc w:val="right"/>
              <w:ind w:right="126"/>
              <w:spacing w:after="0"/>
              <w:rPr>
                <w:sz w:val="20"/>
                <w:szCs w:val="20"/>
                <w:color w:val="auto"/>
              </w:rPr>
            </w:pPr>
            <w:r>
              <w:rPr>
                <w:rFonts w:ascii="Arial" w:cs="Arial" w:eastAsia="Arial" w:hAnsi="Arial"/>
                <w:sz w:val="11"/>
                <w:szCs w:val="11"/>
                <w:b w:val="1"/>
                <w:bCs w:val="1"/>
                <w:color w:val="auto"/>
              </w:rPr>
              <w:t>$</w:t>
            </w:r>
          </w:p>
        </w:tc>
        <w:tc>
          <w:tcPr>
            <w:tcW w:w="12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1"/>
                <w:szCs w:val="11"/>
                <w:b w:val="1"/>
                <w:bCs w:val="1"/>
                <w:color w:val="auto"/>
              </w:rPr>
              <w:t>—</w:t>
            </w:r>
          </w:p>
        </w:tc>
        <w:tc>
          <w:tcPr>
            <w:tcW w:w="300" w:type="dxa"/>
            <w:vAlign w:val="bottom"/>
            <w:tcBorders>
              <w:bottom w:val="single" w:sz="8" w:color="auto"/>
            </w:tcBorders>
            <w:gridSpan w:val="2"/>
            <w:shd w:val="clear" w:color="auto" w:fill="DCDDDE"/>
          </w:tcPr>
          <w:p>
            <w:pPr>
              <w:jc w:val="right"/>
              <w:ind w:right="140"/>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w:t>
            </w:r>
          </w:p>
        </w:tc>
        <w:tc>
          <w:tcPr>
            <w:tcW w:w="460" w:type="dxa"/>
            <w:vAlign w:val="bottom"/>
            <w:tcBorders>
              <w:bottom w:val="single" w:sz="8" w:color="auto"/>
            </w:tcBorders>
            <w:gridSpan w:val="2"/>
            <w:shd w:val="clear" w:color="auto" w:fill="DCDDDE"/>
          </w:tcPr>
          <w:p>
            <w:pPr>
              <w:jc w:val="right"/>
              <w:ind w:right="3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auto"/>
            </w:tcBorders>
            <w:shd w:val="clear" w:color="auto" w:fill="DCDDDE"/>
          </w:tcPr>
          <w:p>
            <w:pPr>
              <w:jc w:val="right"/>
              <w:ind w:right="66"/>
              <w:spacing w:after="0"/>
              <w:rPr>
                <w:sz w:val="20"/>
                <w:szCs w:val="20"/>
                <w:color w:val="auto"/>
              </w:rPr>
            </w:pPr>
            <w:r>
              <w:rPr>
                <w:rFonts w:ascii="Arial" w:cs="Arial" w:eastAsia="Arial" w:hAnsi="Arial"/>
                <w:sz w:val="11"/>
                <w:szCs w:val="11"/>
                <w:b w:val="1"/>
                <w:bCs w:val="1"/>
                <w:color w:val="auto"/>
              </w:rPr>
              <w:t>25,638</w:t>
            </w:r>
          </w:p>
        </w:tc>
      </w:tr>
      <w:tr>
        <w:trPr>
          <w:trHeight w:val="129"/>
        </w:trPr>
        <w:tc>
          <w:tcPr>
            <w:tcW w:w="22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Dorethea (DeDe) F. Lea</w:t>
            </w:r>
          </w:p>
        </w:tc>
        <w:tc>
          <w:tcPr>
            <w:tcW w:w="840" w:type="dxa"/>
            <w:vAlign w:val="bottom"/>
            <w:tcBorders>
              <w:bottom w:val="single" w:sz="8" w:color="auto"/>
            </w:tcBorders>
          </w:tcPr>
          <w:p>
            <w:pPr>
              <w:jc w:val="right"/>
              <w:ind w:right="729"/>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4"/>
              </w:rPr>
              <w:t>13,471</w:t>
            </w:r>
          </w:p>
        </w:tc>
        <w:tc>
          <w:tcPr>
            <w:tcW w:w="1000" w:type="dxa"/>
            <w:vAlign w:val="bottom"/>
            <w:tcBorders>
              <w:bottom w:val="single" w:sz="8" w:color="auto"/>
            </w:tcBorders>
          </w:tcPr>
          <w:p>
            <w:pPr>
              <w:jc w:val="right"/>
              <w:ind w:right="826"/>
              <w:spacing w:after="0"/>
              <w:rPr>
                <w:sz w:val="20"/>
                <w:szCs w:val="20"/>
                <w:color w:val="auto"/>
              </w:rPr>
            </w:pPr>
            <w:r>
              <w:rPr>
                <w:rFonts w:ascii="Arial" w:cs="Arial" w:eastAsia="Arial" w:hAnsi="Arial"/>
                <w:sz w:val="11"/>
                <w:szCs w:val="11"/>
                <w:b w:val="1"/>
                <w:bCs w:val="1"/>
                <w:color w:val="auto"/>
              </w:rPr>
              <w:t>$</w:t>
            </w: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7,071</w:t>
            </w:r>
          </w:p>
        </w:tc>
        <w:tc>
          <w:tcPr>
            <w:tcW w:w="84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4,050</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24,592</w:t>
            </w:r>
          </w:p>
        </w:tc>
      </w:tr>
      <w:tr>
        <w:trPr>
          <w:trHeight w:val="129"/>
        </w:trPr>
        <w:tc>
          <w:tcPr>
            <w:tcW w:w="224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1"/>
                <w:szCs w:val="11"/>
                <w:color w:val="auto"/>
              </w:rPr>
              <w:t>Scott M. Mills</w:t>
            </w:r>
          </w:p>
        </w:tc>
        <w:tc>
          <w:tcPr>
            <w:tcW w:w="840" w:type="dxa"/>
            <w:vAlign w:val="bottom"/>
            <w:tcBorders>
              <w:bottom w:val="single" w:sz="8" w:color="auto"/>
            </w:tcBorders>
            <w:shd w:val="clear" w:color="auto" w:fill="DCDDDE"/>
          </w:tcPr>
          <w:p>
            <w:pPr>
              <w:jc w:val="right"/>
              <w:ind w:right="729"/>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w w:val="94"/>
              </w:rPr>
              <w:t>13,407</w:t>
            </w:r>
          </w:p>
        </w:tc>
        <w:tc>
          <w:tcPr>
            <w:tcW w:w="1000" w:type="dxa"/>
            <w:vAlign w:val="bottom"/>
            <w:tcBorders>
              <w:bottom w:val="single" w:sz="8" w:color="auto"/>
            </w:tcBorders>
            <w:shd w:val="clear" w:color="auto" w:fill="DCDDDE"/>
          </w:tcPr>
          <w:p>
            <w:pPr>
              <w:jc w:val="right"/>
              <w:ind w:right="826"/>
              <w:spacing w:after="0"/>
              <w:rPr>
                <w:sz w:val="20"/>
                <w:szCs w:val="20"/>
                <w:color w:val="auto"/>
              </w:rPr>
            </w:pPr>
            <w:r>
              <w:rPr>
                <w:rFonts w:ascii="Arial" w:cs="Arial" w:eastAsia="Arial" w:hAnsi="Arial"/>
                <w:sz w:val="11"/>
                <w:szCs w:val="11"/>
                <w:b w:val="1"/>
                <w:bCs w:val="1"/>
                <w:color w:val="auto"/>
              </w:rPr>
              <w:t>$</w:t>
            </w:r>
          </w:p>
        </w:tc>
        <w:tc>
          <w:tcPr>
            <w:tcW w:w="42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8,250</w:t>
            </w:r>
          </w:p>
        </w:tc>
        <w:tc>
          <w:tcPr>
            <w:tcW w:w="840" w:type="dxa"/>
            <w:vAlign w:val="bottom"/>
            <w:tcBorders>
              <w:bottom w:val="single" w:sz="8" w:color="auto"/>
            </w:tcBorders>
            <w:shd w:val="clear" w:color="auto" w:fill="DCDDDE"/>
          </w:tcPr>
          <w:p>
            <w:pPr>
              <w:jc w:val="right"/>
              <w:ind w:right="666"/>
              <w:spacing w:after="0"/>
              <w:rPr>
                <w:sz w:val="20"/>
                <w:szCs w:val="20"/>
                <w:color w:val="auto"/>
              </w:rPr>
            </w:pPr>
            <w:r>
              <w:rPr>
                <w:rFonts w:ascii="Arial" w:cs="Arial" w:eastAsia="Arial" w:hAnsi="Arial"/>
                <w:sz w:val="11"/>
                <w:szCs w:val="11"/>
                <w:b w:val="1"/>
                <w:bCs w:val="1"/>
                <w:color w:val="auto"/>
              </w:rPr>
              <w:t>$</w:t>
            </w:r>
          </w:p>
        </w:tc>
        <w:tc>
          <w:tcPr>
            <w:tcW w:w="38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4,050</w:t>
            </w:r>
          </w:p>
        </w:tc>
        <w:tc>
          <w:tcPr>
            <w:tcW w:w="300" w:type="dxa"/>
            <w:vAlign w:val="bottom"/>
            <w:tcBorders>
              <w:bottom w:val="single" w:sz="8" w:color="auto"/>
            </w:tcBorders>
            <w:shd w:val="clear" w:color="auto" w:fill="DCDDDE"/>
          </w:tcPr>
          <w:p>
            <w:pPr>
              <w:jc w:val="right"/>
              <w:ind w:right="126"/>
              <w:spacing w:after="0"/>
              <w:rPr>
                <w:sz w:val="20"/>
                <w:szCs w:val="20"/>
                <w:color w:val="auto"/>
              </w:rPr>
            </w:pPr>
            <w:r>
              <w:rPr>
                <w:rFonts w:ascii="Arial" w:cs="Arial" w:eastAsia="Arial" w:hAnsi="Arial"/>
                <w:sz w:val="11"/>
                <w:szCs w:val="11"/>
                <w:b w:val="1"/>
                <w:bCs w:val="1"/>
                <w:color w:val="auto"/>
              </w:rPr>
              <w:t>$</w:t>
            </w:r>
          </w:p>
        </w:tc>
        <w:tc>
          <w:tcPr>
            <w:tcW w:w="12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1"/>
                <w:szCs w:val="11"/>
                <w:b w:val="1"/>
                <w:bCs w:val="1"/>
                <w:color w:val="auto"/>
              </w:rPr>
              <w:t>3,054</w:t>
            </w:r>
          </w:p>
        </w:tc>
        <w:tc>
          <w:tcPr>
            <w:tcW w:w="300" w:type="dxa"/>
            <w:vAlign w:val="bottom"/>
            <w:tcBorders>
              <w:bottom w:val="single" w:sz="8" w:color="auto"/>
            </w:tcBorders>
            <w:gridSpan w:val="2"/>
            <w:shd w:val="clear" w:color="auto" w:fill="DCDDDE"/>
          </w:tcPr>
          <w:p>
            <w:pPr>
              <w:jc w:val="right"/>
              <w:ind w:right="140"/>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tcBorders>
            <w:shd w:val="clear" w:color="auto" w:fill="DCDDDE"/>
          </w:tcPr>
          <w:p>
            <w:pPr>
              <w:jc w:val="right"/>
              <w:ind w:right="6"/>
              <w:spacing w:after="0"/>
              <w:rPr>
                <w:sz w:val="20"/>
                <w:szCs w:val="20"/>
                <w:color w:val="auto"/>
              </w:rPr>
            </w:pPr>
            <w:r>
              <w:rPr>
                <w:rFonts w:ascii="Arial" w:cs="Arial" w:eastAsia="Arial" w:hAnsi="Arial"/>
                <w:sz w:val="11"/>
                <w:szCs w:val="11"/>
                <w:b w:val="1"/>
                <w:bCs w:val="1"/>
                <w:color w:val="auto"/>
              </w:rPr>
              <w:t>—</w:t>
            </w:r>
          </w:p>
        </w:tc>
        <w:tc>
          <w:tcPr>
            <w:tcW w:w="460" w:type="dxa"/>
            <w:vAlign w:val="bottom"/>
            <w:tcBorders>
              <w:bottom w:val="single" w:sz="8" w:color="auto"/>
            </w:tcBorders>
            <w:gridSpan w:val="2"/>
            <w:shd w:val="clear" w:color="auto" w:fill="DCDDDE"/>
          </w:tcPr>
          <w:p>
            <w:pPr>
              <w:jc w:val="right"/>
              <w:ind w:right="3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auto"/>
            </w:tcBorders>
            <w:shd w:val="clear" w:color="auto" w:fill="DCDDDE"/>
          </w:tcPr>
          <w:p>
            <w:pPr>
              <w:jc w:val="right"/>
              <w:ind w:right="66"/>
              <w:spacing w:after="0"/>
              <w:rPr>
                <w:sz w:val="20"/>
                <w:szCs w:val="20"/>
                <w:color w:val="auto"/>
              </w:rPr>
            </w:pPr>
            <w:r>
              <w:rPr>
                <w:rFonts w:ascii="Arial" w:cs="Arial" w:eastAsia="Arial" w:hAnsi="Arial"/>
                <w:sz w:val="11"/>
                <w:szCs w:val="11"/>
                <w:b w:val="1"/>
                <w:bCs w:val="1"/>
                <w:color w:val="auto"/>
              </w:rPr>
              <w:t>28,761</w:t>
            </w:r>
          </w:p>
        </w:tc>
      </w:tr>
    </w:tbl>
    <w:p>
      <w:pPr>
        <w:spacing w:after="0" w:line="26" w:lineRule="exact"/>
        <w:rPr>
          <w:sz w:val="20"/>
          <w:szCs w:val="20"/>
          <w:color w:val="auto"/>
        </w:rPr>
      </w:pPr>
    </w:p>
    <w:p>
      <w:pPr>
        <w:ind w:left="800" w:right="40" w:hanging="360"/>
        <w:spacing w:after="0" w:line="244" w:lineRule="auto"/>
        <w:tabs>
          <w:tab w:leader="none" w:pos="800" w:val="left"/>
        </w:tabs>
        <w:numPr>
          <w:ilvl w:val="0"/>
          <w:numId w:val="76"/>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the incremental cost of the life insurance policy we provide in accordance with the terms of each NEO’s respective employment agreement above the cost of life insurance that we provide to employees generally.</w:t>
      </w:r>
    </w:p>
    <w:p>
      <w:pPr>
        <w:spacing w:after="0" w:line="10" w:lineRule="exact"/>
        <w:rPr>
          <w:rFonts w:ascii="Arial" w:cs="Arial" w:eastAsia="Arial" w:hAnsi="Arial"/>
          <w:sz w:val="11"/>
          <w:szCs w:val="11"/>
          <w:i w:val="1"/>
          <w:iCs w:val="1"/>
          <w:color w:val="auto"/>
        </w:rPr>
      </w:pPr>
    </w:p>
    <w:p>
      <w:pPr>
        <w:ind w:left="800" w:right="20" w:hanging="360"/>
        <w:spacing w:after="0" w:line="244" w:lineRule="auto"/>
        <w:tabs>
          <w:tab w:leader="none" w:pos="800" w:val="left"/>
        </w:tabs>
        <w:numPr>
          <w:ilvl w:val="0"/>
          <w:numId w:val="76"/>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incremental costs in connection with personal use of car service, including amounts attributable to commuting expenses. For security reasons, we provide Mr. Bakish with a car and driver in New York for use by him and other executives.</w:t>
      </w:r>
    </w:p>
    <w:p>
      <w:pPr>
        <w:spacing w:after="0" w:line="10" w:lineRule="exact"/>
        <w:rPr>
          <w:sz w:val="20"/>
          <w:szCs w:val="20"/>
          <w:color w:val="auto"/>
        </w:rPr>
      </w:pPr>
    </w:p>
    <w:p>
      <w:pPr>
        <w:jc w:val="both"/>
        <w:ind w:left="440" w:right="20"/>
        <w:spacing w:after="0" w:line="231" w:lineRule="auto"/>
        <w:rPr>
          <w:sz w:val="20"/>
          <w:szCs w:val="20"/>
          <w:color w:val="auto"/>
        </w:rPr>
      </w:pPr>
      <w:r>
        <w:rPr>
          <w:rFonts w:ascii="Arial" w:cs="Arial" w:eastAsia="Arial" w:hAnsi="Arial"/>
          <w:sz w:val="14"/>
          <w:szCs w:val="14"/>
          <w:i w:val="1"/>
          <w:iCs w:val="1"/>
          <w:color w:val="auto"/>
        </w:rPr>
        <w:t>An executive’s spouse or other guests may accompany him or her on business travel, including travel on company aircraft, in company-paid car service, and sharing a hotel room. No amounts are included in the table above for such events since there is little or no incremental cost to us. Other items that may be considered perquisites and for which there is a de minimis or no incremental cost to us include meals provided by our corporate kitchen upon an executive’s request (we do not have an executive dining room), access to the executive fitness room (non-staffed) and occasional receipt of tickets, DVDs and other merchandise related to our businesses.</w:t>
      </w:r>
    </w:p>
    <w:p>
      <w:pPr>
        <w:spacing w:after="0" w:line="2" w:lineRule="exact"/>
        <w:rPr>
          <w:sz w:val="20"/>
          <w:szCs w:val="20"/>
          <w:color w:val="auto"/>
        </w:rPr>
      </w:pPr>
    </w:p>
    <w:p>
      <w:pPr>
        <w:jc w:val="both"/>
        <w:ind w:left="440" w:right="20" w:hanging="432"/>
        <w:spacing w:after="0" w:line="228" w:lineRule="auto"/>
        <w:tabs>
          <w:tab w:leader="none" w:pos="440" w:val="left"/>
        </w:tabs>
        <w:numPr>
          <w:ilvl w:val="0"/>
          <w:numId w:val="77"/>
        </w:numPr>
        <w:rPr>
          <w:rFonts w:ascii="Arial" w:cs="Arial" w:eastAsia="Arial" w:hAnsi="Arial"/>
          <w:sz w:val="11"/>
          <w:szCs w:val="11"/>
          <w:i w:val="1"/>
          <w:iCs w:val="1"/>
          <w:color w:val="auto"/>
        </w:rPr>
      </w:pPr>
      <w:r>
        <w:rPr>
          <w:rFonts w:ascii="Arial" w:cs="Arial" w:eastAsia="Arial" w:hAnsi="Arial"/>
          <w:sz w:val="14"/>
          <w:szCs w:val="14"/>
          <w:i w:val="1"/>
          <w:iCs w:val="1"/>
          <w:color w:val="auto"/>
        </w:rPr>
        <w:t>Reflects the fair value of Mr. Bakish’s PSUs on the date of grant of January 9, 2017, as described in footnote (1). The number of PSUs comprising Mr. Bakish’s target award was determined using the target value of $3,375,000 and the fair value on January 3, 2017, which was the first business day of the performance period, which resulted in an incremental $470,239 in value to Mr. Bakish.</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9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50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Compensation of Viacom’s Named Executive Officers</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Additional detail on the compensation of our NEOs, including decisions made on fiscal year 2018 compensation, can be found in “Compensation Discussion and Analysis.”</w:t>
      </w:r>
    </w:p>
    <w:p>
      <w:pPr>
        <w:sectPr>
          <w:pgSz w:w="11900" w:h="16838" w:orient="portrait"/>
          <w:cols w:equalWidth="0" w:num="1">
            <w:col w:w="11420"/>
          </w:cols>
          <w:pgMar w:left="240" w:top="125" w:right="2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M. Bakish</w:t>
      </w:r>
    </w:p>
    <w:p>
      <w:pPr>
        <w:spacing w:after="0" w:line="39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Mr. Bakish has been our President and Chief Executive Officer, and a member of the Board, since December 12, 2016. Prior to that, he served as Acting President and Chief Executive Officer (“Acting CEO”) of Viacom, beginning November 15, 2016. Mr. Bakish joined Viacom in 1997 and has held leadership positions throughout the organization, including serving as President and Chief Executive Officer of VIMN and its predecessor company, MTV Networks International, from 2007 to 2016.</w:t>
      </w:r>
    </w:p>
    <w:p>
      <w:pPr>
        <w:spacing w:after="0" w:line="6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From October 31, 2016 until December 12, 2016, Mr. Bakish served as President and Chief Executive Officer of our Global Entertainment Group (“GEG CEO”). In his role as GEG CEO, Mr. Bakish received an annual base salary of $2,750,000 per year, his target annual cash bonus was $3,500,000 and his target annual equity award was $3,250,000. The annual equity award that would normally have been made in May 2017 was made on an accelerated basis on November 10, 2016. In his role as Acting CEO from November 15, 2016 until he became President and Chief Executive Officer effective December 12, 2016, Mr. Bakish received an annual base salary of the greater of (i) $2,500,000 per year and (ii) $500,000 per month of service, pro-rated for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Wade C. Davis</w:t>
      </w:r>
    </w:p>
    <w:p>
      <w:pPr>
        <w:spacing w:after="0" w:line="32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Mr. Davis has been our Executive Vice President, Chief Financial Officer since November 2012. Prior to that, he served as Executive Vice President, Strategy and Corporate Development beginning in August 2009, as Senior Vice President, Mergers &amp; Acquisitions and Strategic Planning from January 2007 to August 2009 and as Senior Vice President of Mergers &amp; Acquisitions beginning January 1, 2006.</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Effective November 27, 2014, we entered into a new employment agreement with Mr. Davis, with an employment term through November 26, 2018. His annual base salary was increased to $1,350,000 from $1,250,000, his target annual bonus was increased to $2,000,000 from $1,550,000 and his target annual equity award was increased to $1,650,000 from $1,200,000.</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Christa A. D’Alimonte</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Ms. D’Alimonte has been our Executive Vice President, General Counsel and Secretary since April 15, 2017. Prior to that, she served as our Senior Vice President, Deputy General Counsel and Assistant Secretary beginning in November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partial months of service. This was in addition to the salary he received for his role as GEG CEO. Mr. Bakish was not entitled to a bonus in his role as Acting CEO; however, for the period he served as Acting CEO, the company performance multiplier applied to the target annual bonus he was eligible to receive as GEG CEO was the company performance multiplier applied to participants in the Viacom Senior Executive STIP, and his actual bonus was determined in the manner set forth in such plan. Mr. Bakish was not entitled to an annual equity award in his role as Acting CEO.</w:t>
      </w:r>
    </w:p>
    <w:p>
      <w:pPr>
        <w:spacing w:after="0" w:line="67"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connection with his appointment as President and Chief Executive Officer effective December 12, 2016, we entered into a new employment agreement with Mr. Bakish, with an employment term through December 31, 2019, an annual base salary of $3,000,000, a target annual bonus of $7,000,000 and a target annual equity award of $10,000,000.</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Mr. Bakish’s compensation reflects the Compensation Committee’s evaluation of Mr. Bakish’s performance, competitive market data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connection with an expansion of his role and increased responsibilities, effective May 11, 2015, Mr. Davis’ annual base salary was increased to $1,750,000, his target annual bonus amount was increased to $2,500,000 and his target annual equity award was increased to $2,250,000.</w:t>
      </w:r>
    </w:p>
    <w:p>
      <w:pPr>
        <w:spacing w:after="0" w:line="6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Effective November 1, 2018, we entered into a letter agreement with Mr. Davis, extending Mr. Davis's term of employment to November 30, 2019 and increasing his target annual equity award to $2,750,000.</w:t>
      </w: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Mr. Davis’ compensation reflects the Compensation Committee’s evaluation of Mr. Davis’ performance, competitive market data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connection with her appointment as Executive Vice President, General Counsel and Secretary, we entered into a new employment agreement with Ms. D’Alimonte, with an employment term through April 14, 2020, an annual base salary of $1,000,000, a</w:t>
      </w:r>
    </w:p>
    <w:p>
      <w:pPr>
        <w:spacing w:after="0" w:line="61" w:lineRule="exact"/>
        <w:rPr>
          <w:sz w:val="20"/>
          <w:szCs w:val="20"/>
          <w:color w:val="auto"/>
        </w:rPr>
      </w:pPr>
    </w:p>
    <w:tbl>
      <w:tblPr>
        <w:tblLayout w:type="fixed"/>
        <w:tblInd w:w="980" w:type="dxa"/>
        <w:tblCellMar>
          <w:top w:w="0" w:type="dxa"/>
          <w:left w:w="0" w:type="dxa"/>
          <w:bottom w:w="0" w:type="dxa"/>
          <w:right w:w="0" w:type="dxa"/>
        </w:tblCellMar>
      </w:tblPr>
      <w:tr>
        <w:trPr>
          <w:trHeight w:val="419"/>
        </w:trPr>
        <w:tc>
          <w:tcPr>
            <w:tcW w:w="130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1CB6EA"/>
              </w:rPr>
              <w:t>VIACOM INC.</w:t>
            </w:r>
          </w:p>
        </w:tc>
        <w:tc>
          <w:tcPr>
            <w:tcW w:w="320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64770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23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target annual bonus of 100% of base salary and a target annual equity award of $800,000.</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Effective January 1, 2018, Ms. D’Alimonte’s annual base salary was increased to $1,060,000 and her target annual equity award was increased to $1,100,000.</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Doretha (DeDe) F. Lea</w:t>
      </w:r>
    </w:p>
    <w:p>
      <w:pPr>
        <w:spacing w:after="0" w:line="36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Ms. Lea has been our Executive Vice President, Global Government Affairs since January 2013, having previously served as Executive Vice President, Government Relations of Viacom and Former Viacom beginning in November 2005. Prior to that, she was Senior Vice President, Government Relations of our predecessor beginning in September 2005.</w:t>
      </w:r>
    </w:p>
    <w:p>
      <w:pPr>
        <w:spacing w:after="0" w:line="5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Effective January 1, 2016, Ms. Lea’s annual base salary was $850,000, her target annual bonus was 80% of her base salary and her target annual equity award was $700,000.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 M. Mills</w:t>
      </w:r>
    </w:p>
    <w:p>
      <w:pPr>
        <w:spacing w:after="0" w:line="36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Mr. Mills was our Executive Vice President and Chief Administrative Officer from May 2015 until January 1, 2018 when he assumed the role of President of BET Networks. Prior to May 2015, he served as Executive Vice President, Human Resources and Administration beginning in October 2012. From 1997 to 2012, Mr. Mills served in several positions at BET Networks, including as its President and Chief Operating Officer.</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Effective October 1, 2014, we entered into an employment agreement with Mr. Mills, with an employment term through September 30, 2018. His annual base salary was increased to $1,350,000 from $1,250,000, his target annual bonus was increased to $2,000,000 from $1,550,000 and his target annual equity award was increased to $1,650,000 from $1,200,000.</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 Applicable Employment Agreement Provisions</w:t>
      </w:r>
    </w:p>
    <w:p>
      <w:pPr>
        <w:spacing w:after="0" w:line="35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employment agreements of Messrs. Bakish, Davis and Mills and Mses. D’Alimonte and Lea generally permit the executive to participate in all arrangements for benefits, business expenses and perquisites available to senior executives of Viacom.</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52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Ms. D’Alimonte’s compensation reflects the Compensation Committee’s evaluation of her performance, competitive market data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Effective November 14, 2016, we entered into a new employment agreement with Ms. Lea, with an employment term through September 30, 2020. Effective January 1, 2017, her annual base salary was increased to $885,000.</w:t>
      </w:r>
    </w:p>
    <w:p>
      <w:pPr>
        <w:spacing w:after="0" w:line="55"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Effective January 1, 2018, Ms. Lea’s annual base salary was increased to $911,550.</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Ms. Lea’s compensation reflects the Compensation Committee’s evaluation of Ms. Lea’s performance, competitive market data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connection with an expansion of his role and increased responsibilities, effective May 11, 2015, Mr. Mills’ annual base salary was increased to $1,750,000, his target annual bonus amount was increased to $2,500,000 and his target annual equity award was increased to $2,250,000.</w:t>
      </w:r>
    </w:p>
    <w:p>
      <w:pPr>
        <w:spacing w:after="0" w:line="5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Effective January 1, 2018, Mr. Mills assumed the role of President of BET Networks. In connection with his new role, Mr. Mills entered into a new employment agreement with a term through June 30, 2020. Under the agreement, his annual base salary, target annual bonus and target annual equity award values remained unchanged.</w:t>
      </w:r>
    </w:p>
    <w:p>
      <w:pPr>
        <w:spacing w:after="0" w:line="6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Mr. Mills’ compensation reflects the Compensation Committee’s evaluation of Mr. Mills’ performance, competitive market data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Provisions on termination of employment under various circumstances, including treatment of equity awards and other holdings and applicable restrictive covenants, are discussed in the section entitled “Payments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532130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Fiscal Year 2018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The table below presents information on estimated future payouts of our equity grants under our LTMIP to our NEOs in fiscal year 2018 and our non-equity incentive compensation plan awards under our Senior Executive STIP. In November 2017, as part of the Compensation Committee’s review of the company’s executive compensation program, the Committee determined to approve future annual LTMIP awards at the meeting of the Committee that takes place in November of each year, and to award PSUs to a broader group of executives than simply Mr. Bakish. The Compensation Committee also approved at that time the annual PSU awards for fiscal year 2018, including to Messrs. Bakish, Davis and Mills and Mses. D’Alimonte and Lea, with a grant date of November 20, 2017, and determined that, for the 2018 transition year, the remaining LTMIP grants for fiscal year 2018 would be made on January 31, 2018 (the same date as the annual RSU grants to our directors). The PSUs awarded for fiscal year 2018 have a three-year performance period beginning October 1, 2017.</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jc w:val="center"/>
              <w:ind w:right="35"/>
              <w:spacing w:after="0"/>
              <w:rPr>
                <w:sz w:val="20"/>
                <w:szCs w:val="20"/>
                <w:color w:val="auto"/>
              </w:rPr>
            </w:pPr>
            <w:r>
              <w:rPr>
                <w:rFonts w:ascii="Arial" w:cs="Arial" w:eastAsia="Arial" w:hAnsi="Arial"/>
                <w:sz w:val="9"/>
                <w:szCs w:val="9"/>
                <w:b w:val="1"/>
                <w:bCs w:val="1"/>
                <w:color w:val="auto"/>
                <w:w w:val="98"/>
              </w:rPr>
              <w:t>Date of</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center"/>
              <w:ind w:right="55"/>
              <w:spacing w:after="0"/>
              <w:rPr>
                <w:sz w:val="20"/>
                <w:szCs w:val="20"/>
                <w:color w:val="auto"/>
              </w:rPr>
            </w:pPr>
            <w:r>
              <w:rPr>
                <w:rFonts w:ascii="Arial" w:cs="Arial" w:eastAsia="Arial" w:hAnsi="Arial"/>
                <w:sz w:val="9"/>
                <w:szCs w:val="9"/>
                <w:b w:val="1"/>
                <w:bCs w:val="1"/>
                <w:color w:val="auto"/>
                <w:w w:val="99"/>
              </w:rPr>
              <w:t>All Other</w:t>
            </w:r>
          </w:p>
        </w:tc>
        <w:tc>
          <w:tcPr>
            <w:tcW w:w="720" w:type="dxa"/>
            <w:vAlign w:val="bottom"/>
          </w:tcPr>
          <w:p>
            <w:pPr>
              <w:jc w:val="center"/>
              <w:ind w:right="15"/>
              <w:spacing w:after="0"/>
              <w:rPr>
                <w:sz w:val="20"/>
                <w:szCs w:val="20"/>
                <w:color w:val="auto"/>
              </w:rPr>
            </w:pPr>
            <w:r>
              <w:rPr>
                <w:rFonts w:ascii="Arial" w:cs="Arial" w:eastAsia="Arial" w:hAnsi="Arial"/>
                <w:sz w:val="9"/>
                <w:szCs w:val="9"/>
                <w:b w:val="1"/>
                <w:bCs w:val="1"/>
                <w:color w:val="auto"/>
                <w:w w:val="99"/>
              </w:rPr>
              <w:t>All Other</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center"/>
              <w:ind w:right="75"/>
              <w:spacing w:after="0"/>
              <w:rPr>
                <w:sz w:val="20"/>
                <w:szCs w:val="20"/>
                <w:color w:val="auto"/>
              </w:rPr>
            </w:pPr>
            <w:r>
              <w:rPr>
                <w:rFonts w:ascii="Arial" w:cs="Arial" w:eastAsia="Arial" w:hAnsi="Arial"/>
                <w:sz w:val="9"/>
                <w:szCs w:val="9"/>
                <w:b w:val="1"/>
                <w:bCs w:val="1"/>
                <w:color w:val="auto"/>
                <w:w w:val="99"/>
              </w:rPr>
              <w:t>Grant</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08"/>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jc w:val="center"/>
              <w:ind w:right="35"/>
              <w:spacing w:after="0"/>
              <w:rPr>
                <w:sz w:val="20"/>
                <w:szCs w:val="20"/>
                <w:color w:val="auto"/>
              </w:rPr>
            </w:pPr>
            <w:r>
              <w:rPr>
                <w:rFonts w:ascii="Arial" w:cs="Arial" w:eastAsia="Arial" w:hAnsi="Arial"/>
                <w:sz w:val="9"/>
                <w:szCs w:val="9"/>
                <w:b w:val="1"/>
                <w:bCs w:val="1"/>
                <w:color w:val="auto"/>
                <w:w w:val="99"/>
              </w:rPr>
              <w:t>Board</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center"/>
              <w:ind w:right="75"/>
              <w:spacing w:after="0"/>
              <w:rPr>
                <w:sz w:val="20"/>
                <w:szCs w:val="20"/>
                <w:color w:val="auto"/>
              </w:rPr>
            </w:pPr>
            <w:r>
              <w:rPr>
                <w:rFonts w:ascii="Arial" w:cs="Arial" w:eastAsia="Arial" w:hAnsi="Arial"/>
                <w:sz w:val="9"/>
                <w:szCs w:val="9"/>
                <w:b w:val="1"/>
                <w:bCs w:val="1"/>
                <w:color w:val="auto"/>
                <w:w w:val="97"/>
              </w:rPr>
              <w:t>Stock</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6"/>
              </w:rPr>
              <w:t>Option</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center"/>
              <w:ind w:right="95"/>
              <w:spacing w:after="0"/>
              <w:rPr>
                <w:sz w:val="20"/>
                <w:szCs w:val="20"/>
                <w:color w:val="auto"/>
              </w:rPr>
            </w:pPr>
            <w:r>
              <w:rPr>
                <w:rFonts w:ascii="Arial" w:cs="Arial" w:eastAsia="Arial" w:hAnsi="Arial"/>
                <w:sz w:val="9"/>
                <w:szCs w:val="9"/>
                <w:b w:val="1"/>
                <w:bCs w:val="1"/>
                <w:color w:val="auto"/>
                <w:w w:val="98"/>
              </w:rPr>
              <w:t>Date Fair</w:t>
            </w:r>
          </w:p>
        </w:tc>
        <w:tc>
          <w:tcPr>
            <w:tcW w:w="160" w:type="dxa"/>
            <w:vAlign w:val="bottom"/>
          </w:tcPr>
          <w:p>
            <w:pPr>
              <w:spacing w:after="0"/>
              <w:rPr>
                <w:sz w:val="9"/>
                <w:szCs w:val="9"/>
                <w:color w:val="auto"/>
              </w:rPr>
            </w:pPr>
          </w:p>
        </w:tc>
        <w:tc>
          <w:tcPr>
            <w:tcW w:w="840" w:type="dxa"/>
            <w:vAlign w:val="bottom"/>
          </w:tcPr>
          <w:p>
            <w:pPr>
              <w:jc w:val="center"/>
              <w:ind w:right="295"/>
              <w:spacing w:after="0"/>
              <w:rPr>
                <w:sz w:val="20"/>
                <w:szCs w:val="20"/>
                <w:color w:val="auto"/>
              </w:rPr>
            </w:pPr>
            <w:r>
              <w:rPr>
                <w:rFonts w:ascii="Arial" w:cs="Arial" w:eastAsia="Arial" w:hAnsi="Arial"/>
                <w:sz w:val="9"/>
                <w:szCs w:val="9"/>
                <w:b w:val="1"/>
                <w:bCs w:val="1"/>
                <w:color w:val="auto"/>
                <w:w w:val="96"/>
              </w:rPr>
              <w:t>Intrinsic</w:t>
            </w:r>
          </w:p>
        </w:tc>
      </w:tr>
      <w:tr>
        <w:trPr>
          <w:trHeight w:val="108"/>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jc w:val="center"/>
              <w:ind w:right="35"/>
              <w:spacing w:after="0"/>
              <w:rPr>
                <w:sz w:val="20"/>
                <w:szCs w:val="20"/>
                <w:color w:val="auto"/>
              </w:rPr>
            </w:pPr>
            <w:r>
              <w:rPr>
                <w:rFonts w:ascii="Arial" w:cs="Arial" w:eastAsia="Arial" w:hAnsi="Arial"/>
                <w:sz w:val="9"/>
                <w:szCs w:val="9"/>
                <w:b w:val="1"/>
                <w:bCs w:val="1"/>
                <w:color w:val="auto"/>
                <w:w w:val="98"/>
              </w:rPr>
              <w:t>Action,</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center"/>
              <w:ind w:right="75"/>
              <w:spacing w:after="0"/>
              <w:rPr>
                <w:sz w:val="20"/>
                <w:szCs w:val="20"/>
                <w:color w:val="auto"/>
              </w:rPr>
            </w:pPr>
            <w:r>
              <w:rPr>
                <w:rFonts w:ascii="Arial" w:cs="Arial" w:eastAsia="Arial" w:hAnsi="Arial"/>
                <w:sz w:val="9"/>
                <w:szCs w:val="9"/>
                <w:b w:val="1"/>
                <w:bCs w:val="1"/>
                <w:color w:val="auto"/>
              </w:rPr>
              <w:t>Awards:</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rPr>
              <w:t>Awards:</w:t>
            </w:r>
          </w:p>
        </w:tc>
        <w:tc>
          <w:tcPr>
            <w:tcW w:w="160" w:type="dxa"/>
            <w:vAlign w:val="bottom"/>
          </w:tcPr>
          <w:p>
            <w:pPr>
              <w:spacing w:after="0"/>
              <w:rPr>
                <w:sz w:val="9"/>
                <w:szCs w:val="9"/>
                <w:color w:val="auto"/>
              </w:rPr>
            </w:pPr>
          </w:p>
        </w:tc>
        <w:tc>
          <w:tcPr>
            <w:tcW w:w="620" w:type="dxa"/>
            <w:vAlign w:val="bottom"/>
          </w:tcPr>
          <w:p>
            <w:pPr>
              <w:jc w:val="center"/>
              <w:ind w:right="115"/>
              <w:spacing w:after="0"/>
              <w:rPr>
                <w:sz w:val="20"/>
                <w:szCs w:val="20"/>
                <w:color w:val="auto"/>
              </w:rPr>
            </w:pPr>
            <w:r>
              <w:rPr>
                <w:rFonts w:ascii="Arial" w:cs="Arial" w:eastAsia="Arial" w:hAnsi="Arial"/>
                <w:sz w:val="9"/>
                <w:szCs w:val="9"/>
                <w:b w:val="1"/>
                <w:bCs w:val="1"/>
                <w:color w:val="auto"/>
              </w:rPr>
              <w:t>Exercise</w:t>
            </w:r>
          </w:p>
        </w:tc>
        <w:tc>
          <w:tcPr>
            <w:tcW w:w="140" w:type="dxa"/>
            <w:vAlign w:val="bottom"/>
          </w:tcPr>
          <w:p>
            <w:pPr>
              <w:spacing w:after="0"/>
              <w:rPr>
                <w:sz w:val="9"/>
                <w:szCs w:val="9"/>
                <w:color w:val="auto"/>
              </w:rPr>
            </w:pPr>
          </w:p>
        </w:tc>
        <w:tc>
          <w:tcPr>
            <w:tcW w:w="640" w:type="dxa"/>
            <w:vAlign w:val="bottom"/>
          </w:tcPr>
          <w:p>
            <w:pPr>
              <w:jc w:val="center"/>
              <w:ind w:right="95"/>
              <w:spacing w:after="0"/>
              <w:rPr>
                <w:sz w:val="20"/>
                <w:szCs w:val="20"/>
                <w:color w:val="auto"/>
              </w:rPr>
            </w:pPr>
            <w:r>
              <w:rPr>
                <w:rFonts w:ascii="Arial" w:cs="Arial" w:eastAsia="Arial" w:hAnsi="Arial"/>
                <w:sz w:val="9"/>
                <w:szCs w:val="9"/>
                <w:b w:val="1"/>
                <w:bCs w:val="1"/>
                <w:color w:val="auto"/>
                <w:w w:val="96"/>
              </w:rPr>
              <w:t>Value of</w:t>
            </w:r>
          </w:p>
        </w:tc>
        <w:tc>
          <w:tcPr>
            <w:tcW w:w="160" w:type="dxa"/>
            <w:vAlign w:val="bottom"/>
          </w:tcPr>
          <w:p>
            <w:pPr>
              <w:spacing w:after="0"/>
              <w:rPr>
                <w:sz w:val="9"/>
                <w:szCs w:val="9"/>
                <w:color w:val="auto"/>
              </w:rPr>
            </w:pPr>
          </w:p>
        </w:tc>
        <w:tc>
          <w:tcPr>
            <w:tcW w:w="840" w:type="dxa"/>
            <w:vAlign w:val="bottom"/>
          </w:tcPr>
          <w:p>
            <w:pPr>
              <w:jc w:val="center"/>
              <w:ind w:right="295"/>
              <w:spacing w:after="0"/>
              <w:rPr>
                <w:sz w:val="20"/>
                <w:szCs w:val="20"/>
                <w:color w:val="auto"/>
              </w:rPr>
            </w:pPr>
            <w:r>
              <w:rPr>
                <w:rFonts w:ascii="Arial" w:cs="Arial" w:eastAsia="Arial" w:hAnsi="Arial"/>
                <w:sz w:val="9"/>
                <w:szCs w:val="9"/>
                <w:b w:val="1"/>
                <w:bCs w:val="1"/>
                <w:color w:val="auto"/>
                <w:w w:val="96"/>
              </w:rPr>
              <w:t>Value of</w:t>
            </w:r>
          </w:p>
        </w:tc>
      </w:tr>
      <w:tr>
        <w:trPr>
          <w:trHeight w:val="108"/>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jc w:val="center"/>
              <w:ind w:right="35"/>
              <w:spacing w:after="0"/>
              <w:rPr>
                <w:sz w:val="20"/>
                <w:szCs w:val="20"/>
                <w:color w:val="auto"/>
              </w:rPr>
            </w:pPr>
            <w:r>
              <w:rPr>
                <w:rFonts w:ascii="Arial" w:cs="Arial" w:eastAsia="Arial" w:hAnsi="Arial"/>
                <w:sz w:val="9"/>
                <w:szCs w:val="9"/>
                <w:b w:val="1"/>
                <w:bCs w:val="1"/>
                <w:color w:val="auto"/>
              </w:rPr>
              <w:t>if</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center"/>
              <w:ind w:right="55"/>
              <w:spacing w:after="0"/>
              <w:rPr>
                <w:sz w:val="20"/>
                <w:szCs w:val="20"/>
                <w:color w:val="auto"/>
              </w:rPr>
            </w:pPr>
            <w:r>
              <w:rPr>
                <w:rFonts w:ascii="Arial" w:cs="Arial" w:eastAsia="Arial" w:hAnsi="Arial"/>
                <w:sz w:val="9"/>
                <w:szCs w:val="9"/>
                <w:b w:val="1"/>
                <w:bCs w:val="1"/>
                <w:color w:val="auto"/>
              </w:rPr>
              <w:t>Number of</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7"/>
              </w:rPr>
              <w:t>Number of</w:t>
            </w:r>
          </w:p>
        </w:tc>
        <w:tc>
          <w:tcPr>
            <w:tcW w:w="160" w:type="dxa"/>
            <w:vAlign w:val="bottom"/>
          </w:tcPr>
          <w:p>
            <w:pPr>
              <w:spacing w:after="0"/>
              <w:rPr>
                <w:sz w:val="9"/>
                <w:szCs w:val="9"/>
                <w:color w:val="auto"/>
              </w:rPr>
            </w:pPr>
          </w:p>
        </w:tc>
        <w:tc>
          <w:tcPr>
            <w:tcW w:w="620" w:type="dxa"/>
            <w:vAlign w:val="bottom"/>
          </w:tcPr>
          <w:p>
            <w:pPr>
              <w:jc w:val="center"/>
              <w:ind w:right="115"/>
              <w:spacing w:after="0"/>
              <w:rPr>
                <w:sz w:val="20"/>
                <w:szCs w:val="20"/>
                <w:color w:val="auto"/>
              </w:rPr>
            </w:pPr>
            <w:r>
              <w:rPr>
                <w:rFonts w:ascii="Arial" w:cs="Arial" w:eastAsia="Arial" w:hAnsi="Arial"/>
                <w:sz w:val="9"/>
                <w:szCs w:val="9"/>
                <w:b w:val="1"/>
                <w:bCs w:val="1"/>
                <w:color w:val="auto"/>
              </w:rPr>
              <w:t>or Base</w:t>
            </w:r>
          </w:p>
        </w:tc>
        <w:tc>
          <w:tcPr>
            <w:tcW w:w="140" w:type="dxa"/>
            <w:vAlign w:val="bottom"/>
          </w:tcPr>
          <w:p>
            <w:pPr>
              <w:spacing w:after="0"/>
              <w:rPr>
                <w:sz w:val="9"/>
                <w:szCs w:val="9"/>
                <w:color w:val="auto"/>
              </w:rPr>
            </w:pPr>
          </w:p>
        </w:tc>
        <w:tc>
          <w:tcPr>
            <w:tcW w:w="640" w:type="dxa"/>
            <w:vAlign w:val="bottom"/>
          </w:tcPr>
          <w:p>
            <w:pPr>
              <w:jc w:val="center"/>
              <w:ind w:right="75"/>
              <w:spacing w:after="0"/>
              <w:rPr>
                <w:sz w:val="20"/>
                <w:szCs w:val="20"/>
                <w:color w:val="auto"/>
              </w:rPr>
            </w:pPr>
            <w:r>
              <w:rPr>
                <w:rFonts w:ascii="Arial" w:cs="Arial" w:eastAsia="Arial" w:hAnsi="Arial"/>
                <w:sz w:val="9"/>
                <w:szCs w:val="9"/>
                <w:b w:val="1"/>
                <w:bCs w:val="1"/>
                <w:color w:val="auto"/>
              </w:rPr>
              <w:t>Stock and</w:t>
            </w:r>
          </w:p>
        </w:tc>
        <w:tc>
          <w:tcPr>
            <w:tcW w:w="160" w:type="dxa"/>
            <w:vAlign w:val="bottom"/>
          </w:tcPr>
          <w:p>
            <w:pPr>
              <w:spacing w:after="0"/>
              <w:rPr>
                <w:sz w:val="9"/>
                <w:szCs w:val="9"/>
                <w:color w:val="auto"/>
              </w:rPr>
            </w:pPr>
          </w:p>
        </w:tc>
        <w:tc>
          <w:tcPr>
            <w:tcW w:w="840" w:type="dxa"/>
            <w:vAlign w:val="bottom"/>
          </w:tcPr>
          <w:p>
            <w:pPr>
              <w:jc w:val="center"/>
              <w:ind w:right="295"/>
              <w:spacing w:after="0"/>
              <w:rPr>
                <w:sz w:val="20"/>
                <w:szCs w:val="20"/>
                <w:color w:val="auto"/>
              </w:rPr>
            </w:pPr>
            <w:r>
              <w:rPr>
                <w:rFonts w:ascii="Arial" w:cs="Arial" w:eastAsia="Arial" w:hAnsi="Arial"/>
                <w:sz w:val="9"/>
                <w:szCs w:val="9"/>
                <w:b w:val="1"/>
                <w:bCs w:val="1"/>
                <w:color w:val="auto"/>
              </w:rPr>
              <w:t>Option</w:t>
            </w:r>
          </w:p>
        </w:tc>
      </w:tr>
      <w:tr>
        <w:trPr>
          <w:trHeight w:val="108"/>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tcPr>
          <w:p>
            <w:pPr>
              <w:jc w:val="center"/>
              <w:ind w:right="35"/>
              <w:spacing w:after="0"/>
              <w:rPr>
                <w:sz w:val="20"/>
                <w:szCs w:val="20"/>
                <w:color w:val="auto"/>
              </w:rPr>
            </w:pPr>
            <w:r>
              <w:rPr>
                <w:rFonts w:ascii="Arial" w:cs="Arial" w:eastAsia="Arial" w:hAnsi="Arial"/>
                <w:sz w:val="9"/>
                <w:szCs w:val="9"/>
                <w:b w:val="1"/>
                <w:bCs w:val="1"/>
                <w:color w:val="auto"/>
              </w:rPr>
              <w:t>Different</w:t>
            </w:r>
          </w:p>
        </w:tc>
        <w:tc>
          <w:tcPr>
            <w:tcW w:w="2240" w:type="dxa"/>
            <w:vAlign w:val="bottom"/>
            <w:gridSpan w:val="5"/>
          </w:tcPr>
          <w:p>
            <w:pPr>
              <w:jc w:val="center"/>
              <w:ind w:right="155"/>
              <w:spacing w:after="0"/>
              <w:rPr>
                <w:sz w:val="20"/>
                <w:szCs w:val="20"/>
                <w:color w:val="auto"/>
              </w:rPr>
            </w:pPr>
            <w:r>
              <w:rPr>
                <w:rFonts w:ascii="Arial" w:cs="Arial" w:eastAsia="Arial" w:hAnsi="Arial"/>
                <w:sz w:val="9"/>
                <w:szCs w:val="9"/>
                <w:b w:val="1"/>
                <w:bCs w:val="1"/>
                <w:color w:val="auto"/>
              </w:rPr>
              <w:t>Estimated Future Payouts Under</w:t>
            </w:r>
          </w:p>
        </w:tc>
        <w:tc>
          <w:tcPr>
            <w:tcW w:w="720" w:type="dxa"/>
            <w:vAlign w:val="bottom"/>
          </w:tcPr>
          <w:p>
            <w:pPr>
              <w:spacing w:after="0"/>
              <w:rPr>
                <w:sz w:val="9"/>
                <w:szCs w:val="9"/>
                <w:color w:val="auto"/>
              </w:rPr>
            </w:pPr>
          </w:p>
        </w:tc>
        <w:tc>
          <w:tcPr>
            <w:tcW w:w="1840" w:type="dxa"/>
            <w:vAlign w:val="bottom"/>
            <w:gridSpan w:val="3"/>
          </w:tcPr>
          <w:p>
            <w:pPr>
              <w:jc w:val="center"/>
              <w:ind w:right="75"/>
              <w:spacing w:after="0"/>
              <w:rPr>
                <w:sz w:val="20"/>
                <w:szCs w:val="20"/>
                <w:color w:val="auto"/>
              </w:rPr>
            </w:pPr>
            <w:r>
              <w:rPr>
                <w:rFonts w:ascii="Arial" w:cs="Arial" w:eastAsia="Arial" w:hAnsi="Arial"/>
                <w:sz w:val="9"/>
                <w:szCs w:val="9"/>
                <w:b w:val="1"/>
                <w:bCs w:val="1"/>
                <w:color w:val="auto"/>
              </w:rPr>
              <w:t>Estimated Future Payouts Under</w:t>
            </w:r>
          </w:p>
        </w:tc>
        <w:tc>
          <w:tcPr>
            <w:tcW w:w="760" w:type="dxa"/>
            <w:vAlign w:val="bottom"/>
          </w:tcPr>
          <w:p>
            <w:pPr>
              <w:jc w:val="center"/>
              <w:ind w:right="55"/>
              <w:spacing w:after="0"/>
              <w:rPr>
                <w:sz w:val="20"/>
                <w:szCs w:val="20"/>
                <w:color w:val="auto"/>
              </w:rPr>
            </w:pPr>
            <w:r>
              <w:rPr>
                <w:rFonts w:ascii="Arial" w:cs="Arial" w:eastAsia="Arial" w:hAnsi="Arial"/>
                <w:sz w:val="9"/>
                <w:szCs w:val="9"/>
                <w:b w:val="1"/>
                <w:bCs w:val="1"/>
                <w:color w:val="auto"/>
              </w:rPr>
              <w:t>Shares of</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rPr>
              <w:t>Securities</w:t>
            </w:r>
          </w:p>
        </w:tc>
        <w:tc>
          <w:tcPr>
            <w:tcW w:w="160" w:type="dxa"/>
            <w:vAlign w:val="bottom"/>
          </w:tcPr>
          <w:p>
            <w:pPr>
              <w:spacing w:after="0"/>
              <w:rPr>
                <w:sz w:val="9"/>
                <w:szCs w:val="9"/>
                <w:color w:val="auto"/>
              </w:rPr>
            </w:pPr>
          </w:p>
        </w:tc>
        <w:tc>
          <w:tcPr>
            <w:tcW w:w="620" w:type="dxa"/>
            <w:vAlign w:val="bottom"/>
          </w:tcPr>
          <w:p>
            <w:pPr>
              <w:jc w:val="center"/>
              <w:ind w:right="115"/>
              <w:spacing w:after="0"/>
              <w:rPr>
                <w:sz w:val="20"/>
                <w:szCs w:val="20"/>
                <w:color w:val="auto"/>
              </w:rPr>
            </w:pPr>
            <w:r>
              <w:rPr>
                <w:rFonts w:ascii="Arial" w:cs="Arial" w:eastAsia="Arial" w:hAnsi="Arial"/>
                <w:sz w:val="9"/>
                <w:szCs w:val="9"/>
                <w:b w:val="1"/>
                <w:bCs w:val="1"/>
                <w:color w:val="auto"/>
              </w:rPr>
              <w:t>Price of</w:t>
            </w:r>
          </w:p>
        </w:tc>
        <w:tc>
          <w:tcPr>
            <w:tcW w:w="140" w:type="dxa"/>
            <w:vAlign w:val="bottom"/>
          </w:tcPr>
          <w:p>
            <w:pPr>
              <w:spacing w:after="0"/>
              <w:rPr>
                <w:sz w:val="9"/>
                <w:szCs w:val="9"/>
                <w:color w:val="auto"/>
              </w:rPr>
            </w:pPr>
          </w:p>
        </w:tc>
        <w:tc>
          <w:tcPr>
            <w:tcW w:w="640" w:type="dxa"/>
            <w:vAlign w:val="bottom"/>
          </w:tcPr>
          <w:p>
            <w:pPr>
              <w:jc w:val="center"/>
              <w:ind w:right="75"/>
              <w:spacing w:after="0"/>
              <w:rPr>
                <w:sz w:val="20"/>
                <w:szCs w:val="20"/>
                <w:color w:val="auto"/>
              </w:rPr>
            </w:pPr>
            <w:r>
              <w:rPr>
                <w:rFonts w:ascii="Arial" w:cs="Arial" w:eastAsia="Arial" w:hAnsi="Arial"/>
                <w:sz w:val="9"/>
                <w:szCs w:val="9"/>
                <w:b w:val="1"/>
                <w:bCs w:val="1"/>
                <w:color w:val="auto"/>
                <w:w w:val="97"/>
              </w:rPr>
              <w:t>Stock</w:t>
            </w:r>
          </w:p>
        </w:tc>
        <w:tc>
          <w:tcPr>
            <w:tcW w:w="160" w:type="dxa"/>
            <w:vAlign w:val="bottom"/>
          </w:tcPr>
          <w:p>
            <w:pPr>
              <w:spacing w:after="0"/>
              <w:rPr>
                <w:sz w:val="9"/>
                <w:szCs w:val="9"/>
                <w:color w:val="auto"/>
              </w:rPr>
            </w:pPr>
          </w:p>
        </w:tc>
        <w:tc>
          <w:tcPr>
            <w:tcW w:w="840" w:type="dxa"/>
            <w:vAlign w:val="bottom"/>
          </w:tcPr>
          <w:p>
            <w:pPr>
              <w:jc w:val="center"/>
              <w:ind w:right="315"/>
              <w:spacing w:after="0"/>
              <w:rPr>
                <w:sz w:val="20"/>
                <w:szCs w:val="20"/>
                <w:color w:val="auto"/>
              </w:rPr>
            </w:pPr>
            <w:r>
              <w:rPr>
                <w:rFonts w:ascii="Arial" w:cs="Arial" w:eastAsia="Arial" w:hAnsi="Arial"/>
                <w:sz w:val="9"/>
                <w:szCs w:val="9"/>
                <w:b w:val="1"/>
                <w:bCs w:val="1"/>
                <w:color w:val="auto"/>
              </w:rPr>
              <w:t>Awards;</w:t>
            </w:r>
          </w:p>
        </w:tc>
      </w:tr>
      <w:tr>
        <w:trPr>
          <w:trHeight w:val="105"/>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9"/>
                <w:szCs w:val="9"/>
                <w:b w:val="1"/>
                <w:bCs w:val="1"/>
                <w:color w:val="auto"/>
                <w:w w:val="97"/>
              </w:rPr>
              <w:t>From</w:t>
            </w:r>
          </w:p>
        </w:tc>
        <w:tc>
          <w:tcPr>
            <w:tcW w:w="8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5"/>
          </w:tcPr>
          <w:p>
            <w:pPr>
              <w:jc w:val="center"/>
              <w:ind w:right="155"/>
              <w:spacing w:after="0"/>
              <w:rPr>
                <w:sz w:val="20"/>
                <w:szCs w:val="20"/>
                <w:color w:val="auto"/>
              </w:rPr>
            </w:pPr>
            <w:r>
              <w:rPr>
                <w:rFonts w:ascii="Arial" w:cs="Arial" w:eastAsia="Arial" w:hAnsi="Arial"/>
                <w:sz w:val="9"/>
                <w:szCs w:val="9"/>
                <w:b w:val="1"/>
                <w:bCs w:val="1"/>
                <w:color w:val="auto"/>
                <w:w w:val="98"/>
              </w:rPr>
              <w:t>Non-Equity Incentive Plan Awards</w:t>
            </w:r>
          </w:p>
        </w:tc>
        <w:tc>
          <w:tcPr>
            <w:tcW w:w="720" w:type="dxa"/>
            <w:vAlign w:val="bottom"/>
          </w:tcPr>
          <w:p>
            <w:pPr>
              <w:spacing w:after="0"/>
              <w:rPr>
                <w:sz w:val="9"/>
                <w:szCs w:val="9"/>
                <w:color w:val="auto"/>
              </w:rPr>
            </w:pPr>
          </w:p>
        </w:tc>
        <w:tc>
          <w:tcPr>
            <w:tcW w:w="1840" w:type="dxa"/>
            <w:vAlign w:val="bottom"/>
            <w:tcBorders>
              <w:bottom w:val="single" w:sz="8" w:color="auto"/>
            </w:tcBorders>
            <w:gridSpan w:val="3"/>
          </w:tcPr>
          <w:p>
            <w:pPr>
              <w:jc w:val="center"/>
              <w:ind w:right="75"/>
              <w:spacing w:after="0"/>
              <w:rPr>
                <w:sz w:val="20"/>
                <w:szCs w:val="20"/>
                <w:color w:val="auto"/>
              </w:rPr>
            </w:pPr>
            <w:r>
              <w:rPr>
                <w:rFonts w:ascii="Arial" w:cs="Arial" w:eastAsia="Arial" w:hAnsi="Arial"/>
                <w:sz w:val="9"/>
                <w:szCs w:val="9"/>
                <w:b w:val="1"/>
                <w:bCs w:val="1"/>
                <w:color w:val="auto"/>
                <w:w w:val="98"/>
              </w:rPr>
              <w:t>Equity Incentive Plan Awards</w:t>
            </w:r>
          </w:p>
        </w:tc>
        <w:tc>
          <w:tcPr>
            <w:tcW w:w="760" w:type="dxa"/>
            <w:vAlign w:val="bottom"/>
          </w:tcPr>
          <w:p>
            <w:pPr>
              <w:jc w:val="center"/>
              <w:ind w:right="75"/>
              <w:spacing w:after="0"/>
              <w:rPr>
                <w:sz w:val="20"/>
                <w:szCs w:val="20"/>
                <w:color w:val="auto"/>
              </w:rPr>
            </w:pPr>
            <w:r>
              <w:rPr>
                <w:rFonts w:ascii="Arial" w:cs="Arial" w:eastAsia="Arial" w:hAnsi="Arial"/>
                <w:sz w:val="9"/>
                <w:szCs w:val="9"/>
                <w:b w:val="1"/>
                <w:bCs w:val="1"/>
                <w:color w:val="auto"/>
                <w:w w:val="99"/>
              </w:rPr>
              <w:t>Stock or</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rPr>
              <w:t>Underlying</w:t>
            </w:r>
          </w:p>
        </w:tc>
        <w:tc>
          <w:tcPr>
            <w:tcW w:w="160" w:type="dxa"/>
            <w:vAlign w:val="bottom"/>
          </w:tcPr>
          <w:p>
            <w:pPr>
              <w:spacing w:after="0"/>
              <w:rPr>
                <w:sz w:val="9"/>
                <w:szCs w:val="9"/>
                <w:color w:val="auto"/>
              </w:rPr>
            </w:pPr>
          </w:p>
        </w:tc>
        <w:tc>
          <w:tcPr>
            <w:tcW w:w="620" w:type="dxa"/>
            <w:vAlign w:val="bottom"/>
          </w:tcPr>
          <w:p>
            <w:pPr>
              <w:jc w:val="center"/>
              <w:ind w:right="115"/>
              <w:spacing w:after="0"/>
              <w:rPr>
                <w:sz w:val="20"/>
                <w:szCs w:val="20"/>
                <w:color w:val="auto"/>
              </w:rPr>
            </w:pPr>
            <w:r>
              <w:rPr>
                <w:rFonts w:ascii="Arial" w:cs="Arial" w:eastAsia="Arial" w:hAnsi="Arial"/>
                <w:sz w:val="9"/>
                <w:szCs w:val="9"/>
                <w:b w:val="1"/>
                <w:bCs w:val="1"/>
                <w:color w:val="auto"/>
              </w:rPr>
              <w:t>Option</w:t>
            </w:r>
          </w:p>
        </w:tc>
        <w:tc>
          <w:tcPr>
            <w:tcW w:w="140" w:type="dxa"/>
            <w:vAlign w:val="bottom"/>
          </w:tcPr>
          <w:p>
            <w:pPr>
              <w:spacing w:after="0"/>
              <w:rPr>
                <w:sz w:val="9"/>
                <w:szCs w:val="9"/>
                <w:color w:val="auto"/>
              </w:rPr>
            </w:pPr>
          </w:p>
        </w:tc>
        <w:tc>
          <w:tcPr>
            <w:tcW w:w="640" w:type="dxa"/>
            <w:vAlign w:val="bottom"/>
          </w:tcPr>
          <w:p>
            <w:pPr>
              <w:jc w:val="center"/>
              <w:ind w:right="75"/>
              <w:spacing w:after="0"/>
              <w:rPr>
                <w:sz w:val="20"/>
                <w:szCs w:val="20"/>
                <w:color w:val="auto"/>
              </w:rPr>
            </w:pPr>
            <w:r>
              <w:rPr>
                <w:rFonts w:ascii="Arial" w:cs="Arial" w:eastAsia="Arial" w:hAnsi="Arial"/>
                <w:sz w:val="9"/>
                <w:szCs w:val="9"/>
                <w:b w:val="1"/>
                <w:bCs w:val="1"/>
                <w:color w:val="auto"/>
                <w:w w:val="96"/>
              </w:rPr>
              <w:t>Option</w:t>
            </w:r>
          </w:p>
        </w:tc>
        <w:tc>
          <w:tcPr>
            <w:tcW w:w="160" w:type="dxa"/>
            <w:vAlign w:val="bottom"/>
          </w:tcPr>
          <w:p>
            <w:pPr>
              <w:spacing w:after="0"/>
              <w:rPr>
                <w:sz w:val="9"/>
                <w:szCs w:val="9"/>
                <w:color w:val="auto"/>
              </w:rPr>
            </w:pPr>
          </w:p>
        </w:tc>
        <w:tc>
          <w:tcPr>
            <w:tcW w:w="840" w:type="dxa"/>
            <w:vAlign w:val="bottom"/>
          </w:tcPr>
          <w:p>
            <w:pPr>
              <w:jc w:val="center"/>
              <w:ind w:right="295"/>
              <w:spacing w:after="0"/>
              <w:rPr>
                <w:sz w:val="20"/>
                <w:szCs w:val="20"/>
                <w:color w:val="auto"/>
              </w:rPr>
            </w:pPr>
            <w:r>
              <w:rPr>
                <w:rFonts w:ascii="Arial" w:cs="Arial" w:eastAsia="Arial" w:hAnsi="Arial"/>
                <w:sz w:val="9"/>
                <w:szCs w:val="9"/>
                <w:b w:val="1"/>
                <w:bCs w:val="1"/>
                <w:color w:val="auto"/>
                <w:w w:val="96"/>
              </w:rPr>
              <w:t>Value of</w:t>
            </w:r>
          </w:p>
        </w:tc>
      </w:tr>
      <w:tr>
        <w:trPr>
          <w:trHeight w:val="114"/>
        </w:trPr>
        <w:tc>
          <w:tcPr>
            <w:tcW w:w="108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Grant</w:t>
            </w:r>
          </w:p>
        </w:tc>
        <w:tc>
          <w:tcPr>
            <w:tcW w:w="860" w:type="dxa"/>
            <w:vAlign w:val="bottom"/>
            <w:gridSpan w:val="2"/>
          </w:tcPr>
          <w:p>
            <w:pPr>
              <w:jc w:val="center"/>
              <w:ind w:right="55"/>
              <w:spacing w:after="0"/>
              <w:rPr>
                <w:sz w:val="20"/>
                <w:szCs w:val="20"/>
                <w:color w:val="auto"/>
              </w:rPr>
            </w:pPr>
            <w:r>
              <w:rPr>
                <w:rFonts w:ascii="Arial" w:cs="Arial" w:eastAsia="Arial" w:hAnsi="Arial"/>
                <w:sz w:val="9"/>
                <w:szCs w:val="9"/>
                <w:b w:val="1"/>
                <w:bCs w:val="1"/>
                <w:color w:val="auto"/>
                <w:w w:val="99"/>
              </w:rPr>
              <w:t>Grant</w:t>
            </w:r>
          </w:p>
        </w:tc>
        <w:tc>
          <w:tcPr>
            <w:tcW w:w="640" w:type="dxa"/>
            <w:vAlign w:val="bottom"/>
          </w:tcPr>
          <w:p>
            <w:pPr>
              <w:jc w:val="right"/>
              <w:ind w:right="135"/>
              <w:spacing w:after="0"/>
              <w:rPr>
                <w:sz w:val="20"/>
                <w:szCs w:val="20"/>
                <w:color w:val="auto"/>
              </w:rPr>
            </w:pPr>
            <w:r>
              <w:rPr>
                <w:rFonts w:ascii="Arial" w:cs="Arial" w:eastAsia="Arial" w:hAnsi="Arial"/>
                <w:sz w:val="9"/>
                <w:szCs w:val="9"/>
                <w:b w:val="1"/>
                <w:bCs w:val="1"/>
                <w:color w:val="auto"/>
              </w:rPr>
              <w:t>Threshold</w:t>
            </w:r>
          </w:p>
        </w:tc>
        <w:tc>
          <w:tcPr>
            <w:tcW w:w="180" w:type="dxa"/>
            <w:vAlign w:val="bottom"/>
          </w:tcPr>
          <w:p>
            <w:pPr>
              <w:spacing w:after="0"/>
              <w:rPr>
                <w:sz w:val="9"/>
                <w:szCs w:val="9"/>
                <w:color w:val="auto"/>
              </w:rPr>
            </w:pPr>
          </w:p>
        </w:tc>
        <w:tc>
          <w:tcPr>
            <w:tcW w:w="580" w:type="dxa"/>
            <w:vAlign w:val="bottom"/>
          </w:tcPr>
          <w:p>
            <w:pPr>
              <w:jc w:val="center"/>
              <w:ind w:right="135"/>
              <w:spacing w:after="0"/>
              <w:rPr>
                <w:sz w:val="20"/>
                <w:szCs w:val="20"/>
                <w:color w:val="auto"/>
              </w:rPr>
            </w:pPr>
            <w:r>
              <w:rPr>
                <w:rFonts w:ascii="Arial" w:cs="Arial" w:eastAsia="Arial" w:hAnsi="Arial"/>
                <w:sz w:val="9"/>
                <w:szCs w:val="9"/>
                <w:b w:val="1"/>
                <w:bCs w:val="1"/>
                <w:color w:val="auto"/>
              </w:rPr>
              <w:t>Target</w:t>
            </w:r>
          </w:p>
        </w:tc>
        <w:tc>
          <w:tcPr>
            <w:tcW w:w="140" w:type="dxa"/>
            <w:vAlign w:val="bottom"/>
          </w:tcPr>
          <w:p>
            <w:pPr>
              <w:spacing w:after="0"/>
              <w:rPr>
                <w:sz w:val="9"/>
                <w:szCs w:val="9"/>
                <w:color w:val="auto"/>
              </w:rPr>
            </w:pPr>
          </w:p>
        </w:tc>
        <w:tc>
          <w:tcPr>
            <w:tcW w:w="700" w:type="dxa"/>
            <w:vAlign w:val="bottom"/>
          </w:tcPr>
          <w:p>
            <w:pPr>
              <w:jc w:val="right"/>
              <w:ind w:right="195"/>
              <w:spacing w:after="0"/>
              <w:rPr>
                <w:sz w:val="20"/>
                <w:szCs w:val="20"/>
                <w:color w:val="auto"/>
              </w:rPr>
            </w:pPr>
            <w:r>
              <w:rPr>
                <w:rFonts w:ascii="Arial" w:cs="Arial" w:eastAsia="Arial" w:hAnsi="Arial"/>
                <w:sz w:val="9"/>
                <w:szCs w:val="9"/>
                <w:b w:val="1"/>
                <w:bCs w:val="1"/>
                <w:color w:val="auto"/>
              </w:rPr>
              <w:t>Maximum</w:t>
            </w:r>
          </w:p>
        </w:tc>
        <w:tc>
          <w:tcPr>
            <w:tcW w:w="720" w:type="dxa"/>
            <w:vAlign w:val="bottom"/>
          </w:tcPr>
          <w:p>
            <w:pPr>
              <w:jc w:val="right"/>
              <w:ind w:right="195"/>
              <w:spacing w:after="0"/>
              <w:rPr>
                <w:sz w:val="20"/>
                <w:szCs w:val="20"/>
                <w:color w:val="auto"/>
              </w:rPr>
            </w:pPr>
            <w:r>
              <w:rPr>
                <w:rFonts w:ascii="Arial" w:cs="Arial" w:eastAsia="Arial" w:hAnsi="Arial"/>
                <w:sz w:val="9"/>
                <w:szCs w:val="9"/>
                <w:b w:val="1"/>
                <w:bCs w:val="1"/>
                <w:color w:val="auto"/>
              </w:rPr>
              <w:t>Type Of</w:t>
            </w:r>
          </w:p>
        </w:tc>
        <w:tc>
          <w:tcPr>
            <w:tcW w:w="600" w:type="dxa"/>
            <w:vAlign w:val="bottom"/>
          </w:tcPr>
          <w:p>
            <w:pPr>
              <w:jc w:val="right"/>
              <w:ind w:right="95"/>
              <w:spacing w:after="0"/>
              <w:rPr>
                <w:sz w:val="20"/>
                <w:szCs w:val="20"/>
                <w:color w:val="auto"/>
              </w:rPr>
            </w:pPr>
            <w:r>
              <w:rPr>
                <w:rFonts w:ascii="Arial" w:cs="Arial" w:eastAsia="Arial" w:hAnsi="Arial"/>
                <w:sz w:val="9"/>
                <w:szCs w:val="9"/>
                <w:b w:val="1"/>
                <w:bCs w:val="1"/>
                <w:color w:val="auto"/>
              </w:rPr>
              <w:t>Threshold</w:t>
            </w:r>
          </w:p>
        </w:tc>
        <w:tc>
          <w:tcPr>
            <w:tcW w:w="580" w:type="dxa"/>
            <w:vAlign w:val="bottom"/>
          </w:tcPr>
          <w:p>
            <w:pPr>
              <w:jc w:val="center"/>
              <w:ind w:right="35"/>
              <w:spacing w:after="0"/>
              <w:rPr>
                <w:sz w:val="20"/>
                <w:szCs w:val="20"/>
                <w:color w:val="auto"/>
              </w:rPr>
            </w:pPr>
            <w:r>
              <w:rPr>
                <w:rFonts w:ascii="Arial" w:cs="Arial" w:eastAsia="Arial" w:hAnsi="Arial"/>
                <w:sz w:val="9"/>
                <w:szCs w:val="9"/>
                <w:b w:val="1"/>
                <w:bCs w:val="1"/>
                <w:color w:val="auto"/>
                <w:w w:val="94"/>
              </w:rPr>
              <w:t>Target</w:t>
            </w:r>
          </w:p>
        </w:tc>
        <w:tc>
          <w:tcPr>
            <w:tcW w:w="660" w:type="dxa"/>
            <w:vAlign w:val="bottom"/>
          </w:tcPr>
          <w:p>
            <w:pPr>
              <w:jc w:val="right"/>
              <w:ind w:right="115"/>
              <w:spacing w:after="0"/>
              <w:rPr>
                <w:sz w:val="20"/>
                <w:szCs w:val="20"/>
                <w:color w:val="auto"/>
              </w:rPr>
            </w:pPr>
            <w:r>
              <w:rPr>
                <w:rFonts w:ascii="Arial" w:cs="Arial" w:eastAsia="Arial" w:hAnsi="Arial"/>
                <w:sz w:val="9"/>
                <w:szCs w:val="9"/>
                <w:b w:val="1"/>
                <w:bCs w:val="1"/>
                <w:color w:val="auto"/>
              </w:rPr>
              <w:t>Maximum</w:t>
            </w:r>
          </w:p>
        </w:tc>
        <w:tc>
          <w:tcPr>
            <w:tcW w:w="760" w:type="dxa"/>
            <w:vAlign w:val="bottom"/>
          </w:tcPr>
          <w:p>
            <w:pPr>
              <w:jc w:val="center"/>
              <w:ind w:right="55"/>
              <w:spacing w:after="0"/>
              <w:rPr>
                <w:sz w:val="20"/>
                <w:szCs w:val="20"/>
                <w:color w:val="auto"/>
              </w:rPr>
            </w:pPr>
            <w:r>
              <w:rPr>
                <w:rFonts w:ascii="Arial" w:cs="Arial" w:eastAsia="Arial" w:hAnsi="Arial"/>
                <w:sz w:val="9"/>
                <w:szCs w:val="9"/>
                <w:b w:val="1"/>
                <w:bCs w:val="1"/>
                <w:color w:val="auto"/>
                <w:w w:val="97"/>
              </w:rPr>
              <w:t>Units</w:t>
            </w:r>
          </w:p>
        </w:tc>
        <w:tc>
          <w:tcPr>
            <w:tcW w:w="720" w:type="dxa"/>
            <w:vAlign w:val="bottom"/>
          </w:tcPr>
          <w:p>
            <w:pPr>
              <w:jc w:val="center"/>
              <w:ind w:right="15"/>
              <w:spacing w:after="0"/>
              <w:rPr>
                <w:sz w:val="20"/>
                <w:szCs w:val="20"/>
                <w:color w:val="auto"/>
              </w:rPr>
            </w:pPr>
            <w:r>
              <w:rPr>
                <w:rFonts w:ascii="Arial" w:cs="Arial" w:eastAsia="Arial" w:hAnsi="Arial"/>
                <w:sz w:val="9"/>
                <w:szCs w:val="9"/>
                <w:b w:val="1"/>
                <w:bCs w:val="1"/>
                <w:color w:val="auto"/>
                <w:w w:val="99"/>
              </w:rPr>
              <w:t>Options</w:t>
            </w:r>
          </w:p>
        </w:tc>
        <w:tc>
          <w:tcPr>
            <w:tcW w:w="160" w:type="dxa"/>
            <w:vAlign w:val="bottom"/>
          </w:tcPr>
          <w:p>
            <w:pPr>
              <w:spacing w:after="0"/>
              <w:rPr>
                <w:sz w:val="9"/>
                <w:szCs w:val="9"/>
                <w:color w:val="auto"/>
              </w:rPr>
            </w:pPr>
          </w:p>
        </w:tc>
        <w:tc>
          <w:tcPr>
            <w:tcW w:w="620" w:type="dxa"/>
            <w:vAlign w:val="bottom"/>
          </w:tcPr>
          <w:p>
            <w:pPr>
              <w:jc w:val="center"/>
              <w:ind w:right="95"/>
              <w:spacing w:after="0"/>
              <w:rPr>
                <w:sz w:val="20"/>
                <w:szCs w:val="20"/>
                <w:color w:val="auto"/>
              </w:rPr>
            </w:pPr>
            <w:r>
              <w:rPr>
                <w:rFonts w:ascii="Arial" w:cs="Arial" w:eastAsia="Arial" w:hAnsi="Arial"/>
                <w:sz w:val="9"/>
                <w:szCs w:val="9"/>
                <w:b w:val="1"/>
                <w:bCs w:val="1"/>
                <w:color w:val="auto"/>
                <w:w w:val="98"/>
              </w:rPr>
              <w:t>Awards</w:t>
            </w:r>
          </w:p>
        </w:tc>
        <w:tc>
          <w:tcPr>
            <w:tcW w:w="140" w:type="dxa"/>
            <w:vAlign w:val="bottom"/>
          </w:tcPr>
          <w:p>
            <w:pPr>
              <w:spacing w:after="0"/>
              <w:rPr>
                <w:sz w:val="9"/>
                <w:szCs w:val="9"/>
                <w:color w:val="auto"/>
              </w:rPr>
            </w:pPr>
          </w:p>
        </w:tc>
        <w:tc>
          <w:tcPr>
            <w:tcW w:w="640" w:type="dxa"/>
            <w:vAlign w:val="bottom"/>
          </w:tcPr>
          <w:p>
            <w:pPr>
              <w:jc w:val="center"/>
              <w:ind w:right="75"/>
              <w:spacing w:after="0"/>
              <w:rPr>
                <w:sz w:val="20"/>
                <w:szCs w:val="20"/>
                <w:color w:val="auto"/>
              </w:rPr>
            </w:pPr>
            <w:r>
              <w:rPr>
                <w:rFonts w:ascii="Arial" w:cs="Arial" w:eastAsia="Arial" w:hAnsi="Arial"/>
                <w:sz w:val="9"/>
                <w:szCs w:val="9"/>
                <w:b w:val="1"/>
                <w:bCs w:val="1"/>
                <w:color w:val="auto"/>
                <w:w w:val="98"/>
              </w:rPr>
              <w:t>Awards</w:t>
            </w:r>
          </w:p>
        </w:tc>
        <w:tc>
          <w:tcPr>
            <w:tcW w:w="160" w:type="dxa"/>
            <w:vAlign w:val="bottom"/>
          </w:tcPr>
          <w:p>
            <w:pPr>
              <w:spacing w:after="0"/>
              <w:rPr>
                <w:sz w:val="9"/>
                <w:szCs w:val="9"/>
                <w:color w:val="auto"/>
              </w:rPr>
            </w:pPr>
          </w:p>
        </w:tc>
        <w:tc>
          <w:tcPr>
            <w:tcW w:w="840" w:type="dxa"/>
            <w:vAlign w:val="bottom"/>
          </w:tcPr>
          <w:p>
            <w:pPr>
              <w:jc w:val="center"/>
              <w:ind w:right="315"/>
              <w:spacing w:after="0"/>
              <w:rPr>
                <w:sz w:val="20"/>
                <w:szCs w:val="20"/>
                <w:color w:val="auto"/>
              </w:rPr>
            </w:pPr>
            <w:r>
              <w:rPr>
                <w:rFonts w:ascii="Arial" w:cs="Arial" w:eastAsia="Arial" w:hAnsi="Arial"/>
                <w:sz w:val="9"/>
                <w:szCs w:val="9"/>
                <w:b w:val="1"/>
                <w:bCs w:val="1"/>
                <w:color w:val="auto"/>
                <w:w w:val="97"/>
              </w:rPr>
              <w:t>Stock</w:t>
            </w:r>
          </w:p>
        </w:tc>
      </w:tr>
      <w:tr>
        <w:trPr>
          <w:trHeight w:val="217"/>
        </w:trPr>
        <w:tc>
          <w:tcPr>
            <w:tcW w:w="10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Name</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Date</w:t>
            </w:r>
          </w:p>
        </w:tc>
        <w:tc>
          <w:tcPr>
            <w:tcW w:w="86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9"/>
                <w:szCs w:val="9"/>
                <w:b w:val="1"/>
                <w:bCs w:val="1"/>
                <w:color w:val="auto"/>
                <w:w w:val="98"/>
              </w:rPr>
              <w:t xml:space="preserve">Date </w:t>
            </w:r>
            <w:r>
              <w:rPr>
                <w:rFonts w:ascii="Arial" w:cs="Arial" w:eastAsia="Arial" w:hAnsi="Arial"/>
                <w:sz w:val="7"/>
                <w:szCs w:val="7"/>
                <w:b w:val="1"/>
                <w:bCs w:val="1"/>
                <w:color w:val="auto"/>
                <w:w w:val="98"/>
              </w:rPr>
              <w:t>(1)</w:t>
            </w: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9"/>
                <w:szCs w:val="9"/>
                <w:b w:val="1"/>
                <w:bCs w:val="1"/>
                <w:color w:val="auto"/>
              </w:rPr>
              <w:t xml:space="preserve">($) </w:t>
            </w:r>
            <w:r>
              <w:rPr>
                <w:rFonts w:ascii="Arial" w:cs="Arial" w:eastAsia="Arial" w:hAnsi="Arial"/>
                <w:sz w:val="7"/>
                <w:szCs w:val="7"/>
                <w:b w:val="1"/>
                <w:bCs w:val="1"/>
                <w:color w:val="auto"/>
              </w:rPr>
              <w:t>(2)</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135"/>
              <w:spacing w:after="0"/>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5"/>
              <w:spacing w:after="0"/>
              <w:rPr>
                <w:sz w:val="20"/>
                <w:szCs w:val="20"/>
                <w:color w:val="auto"/>
              </w:rPr>
            </w:pPr>
            <w:r>
              <w:rPr>
                <w:rFonts w:ascii="Arial" w:cs="Arial" w:eastAsia="Arial" w:hAnsi="Arial"/>
                <w:sz w:val="9"/>
                <w:szCs w:val="9"/>
                <w:b w:val="1"/>
                <w:bCs w:val="1"/>
                <w:color w:val="auto"/>
              </w:rPr>
              <w:t>($)</w:t>
            </w: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9"/>
                <w:szCs w:val="9"/>
                <w:b w:val="1"/>
                <w:bCs w:val="1"/>
                <w:color w:val="auto"/>
              </w:rPr>
              <w:t>Award</w:t>
            </w:r>
          </w:p>
        </w:tc>
        <w:tc>
          <w:tcPr>
            <w:tcW w:w="600" w:type="dxa"/>
            <w:vAlign w:val="bottom"/>
            <w:tcBorders>
              <w:bottom w:val="single" w:sz="8" w:color="auto"/>
            </w:tcBorders>
          </w:tcPr>
          <w:p>
            <w:pPr>
              <w:jc w:val="right"/>
              <w:ind w:right="215"/>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7"/>
                <w:szCs w:val="7"/>
                <w:b w:val="1"/>
                <w:bCs w:val="1"/>
                <w:color w:val="auto"/>
              </w:rPr>
              <w:t>(3)</w:t>
            </w: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w:t>
            </w: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9"/>
                <w:szCs w:val="9"/>
                <w:b w:val="1"/>
                <w:bCs w:val="1"/>
                <w:color w:val="auto"/>
              </w:rPr>
              <w:t>(#)</w:t>
            </w: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9"/>
              </w:rPr>
              <w:t xml:space="preserve">(#) </w:t>
            </w:r>
            <w:r>
              <w:rPr>
                <w:rFonts w:ascii="Arial" w:cs="Arial" w:eastAsia="Arial" w:hAnsi="Arial"/>
                <w:sz w:val="7"/>
                <w:szCs w:val="7"/>
                <w:b w:val="1"/>
                <w:bCs w:val="1"/>
                <w:color w:val="auto"/>
                <w:w w:val="99"/>
              </w:rPr>
              <w:t>(4)</w:t>
            </w: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9"/>
                <w:szCs w:val="9"/>
                <w:b w:val="1"/>
                <w:bCs w:val="1"/>
                <w:color w:val="auto"/>
                <w:w w:val="99"/>
              </w:rPr>
              <w:t xml:space="preserve">(#) </w:t>
            </w:r>
            <w:r>
              <w:rPr>
                <w:rFonts w:ascii="Arial" w:cs="Arial" w:eastAsia="Arial" w:hAnsi="Arial"/>
                <w:sz w:val="7"/>
                <w:szCs w:val="7"/>
                <w:b w:val="1"/>
                <w:bCs w:val="1"/>
                <w:color w:val="auto"/>
                <w:w w:val="99"/>
              </w:rPr>
              <w:t>(4)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115"/>
              <w:spacing w:after="0"/>
              <w:rPr>
                <w:sz w:val="20"/>
                <w:szCs w:val="20"/>
                <w:color w:val="auto"/>
              </w:rPr>
            </w:pPr>
            <w:r>
              <w:rPr>
                <w:rFonts w:ascii="Arial" w:cs="Arial" w:eastAsia="Arial" w:hAnsi="Arial"/>
                <w:sz w:val="9"/>
                <w:szCs w:val="9"/>
                <w:b w:val="1"/>
                <w:bCs w:val="1"/>
                <w:color w:val="auto"/>
              </w:rPr>
              <w:t>($/Sh)</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95"/>
              <w:spacing w:after="0"/>
              <w:rPr>
                <w:sz w:val="20"/>
                <w:szCs w:val="20"/>
                <w:color w:val="auto"/>
              </w:rPr>
            </w:pPr>
            <w:r>
              <w:rPr>
                <w:rFonts w:ascii="Arial" w:cs="Arial" w:eastAsia="Arial" w:hAnsi="Arial"/>
                <w:sz w:val="9"/>
                <w:szCs w:val="9"/>
                <w:b w:val="1"/>
                <w:bCs w:val="1"/>
                <w:color w:val="auto"/>
                <w:w w:val="99"/>
              </w:rPr>
              <w:t xml:space="preserve">($) </w:t>
            </w:r>
            <w:r>
              <w:rPr>
                <w:rFonts w:ascii="Arial" w:cs="Arial" w:eastAsia="Arial" w:hAnsi="Arial"/>
                <w:sz w:val="7"/>
                <w:szCs w:val="7"/>
                <w:b w:val="1"/>
                <w:bCs w:val="1"/>
                <w:color w:val="auto"/>
                <w:w w:val="99"/>
              </w:rPr>
              <w:t>(5)</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15"/>
              <w:spacing w:after="0"/>
              <w:rPr>
                <w:sz w:val="20"/>
                <w:szCs w:val="20"/>
                <w:color w:val="auto"/>
              </w:rPr>
            </w:pPr>
            <w:r>
              <w:rPr>
                <w:rFonts w:ascii="Arial" w:cs="Arial" w:eastAsia="Arial" w:hAnsi="Arial"/>
                <w:sz w:val="9"/>
                <w:szCs w:val="9"/>
                <w:b w:val="1"/>
                <w:bCs w:val="1"/>
                <w:color w:val="auto"/>
              </w:rPr>
              <w:t xml:space="preserve">Awards </w:t>
            </w:r>
            <w:r>
              <w:rPr>
                <w:rFonts w:ascii="Arial" w:cs="Arial" w:eastAsia="Arial" w:hAnsi="Arial"/>
                <w:sz w:val="7"/>
                <w:szCs w:val="7"/>
                <w:b w:val="1"/>
                <w:bCs w:val="1"/>
                <w:color w:val="auto"/>
              </w:rPr>
              <w:t>(6)</w:t>
            </w:r>
          </w:p>
        </w:tc>
      </w:tr>
      <w:tr>
        <w:trPr>
          <w:trHeight w:val="102"/>
        </w:trPr>
        <w:tc>
          <w:tcPr>
            <w:tcW w:w="1080" w:type="dxa"/>
            <w:vAlign w:val="bottom"/>
            <w:shd w:val="clear" w:color="auto" w:fill="D9D9D9"/>
          </w:tcPr>
          <w:p>
            <w:pPr>
              <w:spacing w:after="0" w:line="102" w:lineRule="exact"/>
              <w:rPr>
                <w:sz w:val="20"/>
                <w:szCs w:val="20"/>
                <w:color w:val="auto"/>
              </w:rPr>
            </w:pPr>
            <w:r>
              <w:rPr>
                <w:rFonts w:ascii="Arial" w:cs="Arial" w:eastAsia="Arial" w:hAnsi="Arial"/>
                <w:sz w:val="9"/>
                <w:szCs w:val="9"/>
                <w:color w:val="auto"/>
              </w:rPr>
              <w:t>Robert M. Bakish</w:t>
            </w:r>
          </w:p>
        </w:tc>
        <w:tc>
          <w:tcPr>
            <w:tcW w:w="640" w:type="dxa"/>
            <w:vAlign w:val="bottom"/>
            <w:shd w:val="clear" w:color="auto" w:fill="D9D9D9"/>
          </w:tcPr>
          <w:p>
            <w:pPr>
              <w:jc w:val="center"/>
              <w:spacing w:after="0" w:line="102" w:lineRule="exact"/>
              <w:rPr>
                <w:sz w:val="20"/>
                <w:szCs w:val="20"/>
                <w:color w:val="auto"/>
              </w:rPr>
            </w:pPr>
            <w:r>
              <w:rPr>
                <w:rFonts w:ascii="Arial" w:cs="Arial" w:eastAsia="Arial" w:hAnsi="Arial"/>
                <w:sz w:val="9"/>
                <w:szCs w:val="9"/>
                <w:color w:val="auto"/>
              </w:rPr>
              <w:t>11/20/17</w:t>
            </w:r>
          </w:p>
        </w:tc>
        <w:tc>
          <w:tcPr>
            <w:tcW w:w="780" w:type="dxa"/>
            <w:vAlign w:val="bottom"/>
            <w:shd w:val="clear" w:color="auto" w:fill="D9D9D9"/>
          </w:tcPr>
          <w:p>
            <w:pPr>
              <w:jc w:val="center"/>
              <w:spacing w:after="0" w:line="102" w:lineRule="exact"/>
              <w:rPr>
                <w:sz w:val="20"/>
                <w:szCs w:val="20"/>
                <w:color w:val="auto"/>
              </w:rPr>
            </w:pPr>
            <w:r>
              <w:rPr>
                <w:rFonts w:ascii="Arial" w:cs="Arial" w:eastAsia="Arial" w:hAnsi="Arial"/>
                <w:sz w:val="9"/>
                <w:szCs w:val="9"/>
                <w:color w:val="auto"/>
                <w:w w:val="99"/>
              </w:rPr>
              <w:t>11/9/17</w:t>
            </w:r>
          </w:p>
        </w:tc>
        <w:tc>
          <w:tcPr>
            <w:tcW w:w="80" w:type="dxa"/>
            <w:vAlign w:val="bottom"/>
            <w:shd w:val="clear" w:color="auto" w:fill="D9D9D9"/>
          </w:tcPr>
          <w:p>
            <w:pPr>
              <w:spacing w:after="0"/>
              <w:rPr>
                <w:sz w:val="8"/>
                <w:szCs w:val="8"/>
                <w:color w:val="auto"/>
              </w:rPr>
            </w:pPr>
          </w:p>
        </w:tc>
        <w:tc>
          <w:tcPr>
            <w:tcW w:w="64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140" w:type="dxa"/>
            <w:vAlign w:val="bottom"/>
            <w:shd w:val="clear" w:color="auto" w:fill="D9D9D9"/>
          </w:tcPr>
          <w:p>
            <w:pPr>
              <w:spacing w:after="0"/>
              <w:rPr>
                <w:sz w:val="8"/>
                <w:szCs w:val="8"/>
                <w:color w:val="auto"/>
              </w:rPr>
            </w:pPr>
          </w:p>
        </w:tc>
        <w:tc>
          <w:tcPr>
            <w:tcW w:w="700" w:type="dxa"/>
            <w:vAlign w:val="bottom"/>
            <w:shd w:val="clear" w:color="auto" w:fill="D9D9D9"/>
          </w:tcPr>
          <w:p>
            <w:pPr>
              <w:spacing w:after="0"/>
              <w:rPr>
                <w:sz w:val="8"/>
                <w:szCs w:val="8"/>
                <w:color w:val="auto"/>
              </w:rPr>
            </w:pPr>
          </w:p>
        </w:tc>
        <w:tc>
          <w:tcPr>
            <w:tcW w:w="720" w:type="dxa"/>
            <w:vAlign w:val="bottom"/>
            <w:shd w:val="clear" w:color="auto" w:fill="D9D9D9"/>
          </w:tcPr>
          <w:p>
            <w:pPr>
              <w:jc w:val="right"/>
              <w:ind w:right="55"/>
              <w:spacing w:after="0" w:line="102" w:lineRule="exact"/>
              <w:rPr>
                <w:sz w:val="20"/>
                <w:szCs w:val="20"/>
                <w:color w:val="auto"/>
              </w:rPr>
            </w:pPr>
            <w:r>
              <w:rPr>
                <w:rFonts w:ascii="Arial" w:cs="Arial" w:eastAsia="Arial" w:hAnsi="Arial"/>
                <w:sz w:val="9"/>
                <w:szCs w:val="9"/>
                <w:color w:val="auto"/>
              </w:rPr>
              <w:t>PSU (EPS)</w:t>
            </w:r>
          </w:p>
        </w:tc>
        <w:tc>
          <w:tcPr>
            <w:tcW w:w="600" w:type="dxa"/>
            <w:vAlign w:val="bottom"/>
            <w:shd w:val="clear" w:color="auto" w:fill="D9D9D9"/>
          </w:tcPr>
          <w:p>
            <w:pPr>
              <w:jc w:val="right"/>
              <w:ind w:right="75"/>
              <w:spacing w:after="0" w:line="102" w:lineRule="exact"/>
              <w:rPr>
                <w:sz w:val="20"/>
                <w:szCs w:val="20"/>
                <w:color w:val="auto"/>
              </w:rPr>
            </w:pPr>
            <w:r>
              <w:rPr>
                <w:rFonts w:ascii="Arial" w:cs="Arial" w:eastAsia="Arial" w:hAnsi="Arial"/>
                <w:sz w:val="9"/>
                <w:szCs w:val="9"/>
                <w:color w:val="auto"/>
              </w:rPr>
              <w:t>23,880</w:t>
            </w:r>
          </w:p>
        </w:tc>
        <w:tc>
          <w:tcPr>
            <w:tcW w:w="580" w:type="dxa"/>
            <w:vAlign w:val="bottom"/>
            <w:shd w:val="clear" w:color="auto" w:fill="D9D9D9"/>
          </w:tcPr>
          <w:p>
            <w:pPr>
              <w:jc w:val="right"/>
              <w:ind w:right="35"/>
              <w:spacing w:after="0" w:line="102" w:lineRule="exact"/>
              <w:rPr>
                <w:sz w:val="20"/>
                <w:szCs w:val="20"/>
                <w:color w:val="auto"/>
              </w:rPr>
            </w:pPr>
            <w:r>
              <w:rPr>
                <w:rFonts w:ascii="Arial" w:cs="Arial" w:eastAsia="Arial" w:hAnsi="Arial"/>
                <w:sz w:val="9"/>
                <w:szCs w:val="9"/>
                <w:color w:val="auto"/>
              </w:rPr>
              <w:t>47,760</w:t>
            </w:r>
          </w:p>
        </w:tc>
        <w:tc>
          <w:tcPr>
            <w:tcW w:w="660" w:type="dxa"/>
            <w:vAlign w:val="bottom"/>
            <w:shd w:val="clear" w:color="auto" w:fill="D9D9D9"/>
          </w:tcPr>
          <w:p>
            <w:pPr>
              <w:jc w:val="right"/>
              <w:ind w:right="75"/>
              <w:spacing w:after="0" w:line="102" w:lineRule="exact"/>
              <w:rPr>
                <w:sz w:val="20"/>
                <w:szCs w:val="20"/>
                <w:color w:val="auto"/>
              </w:rPr>
            </w:pPr>
            <w:r>
              <w:rPr>
                <w:rFonts w:ascii="Arial" w:cs="Arial" w:eastAsia="Arial" w:hAnsi="Arial"/>
                <w:sz w:val="9"/>
                <w:szCs w:val="9"/>
                <w:color w:val="auto"/>
              </w:rPr>
              <w:t>95,520</w:t>
            </w:r>
          </w:p>
        </w:tc>
        <w:tc>
          <w:tcPr>
            <w:tcW w:w="760" w:type="dxa"/>
            <w:vAlign w:val="bottom"/>
            <w:shd w:val="clear" w:color="auto" w:fill="D9D9D9"/>
          </w:tcPr>
          <w:p>
            <w:pPr>
              <w:spacing w:after="0"/>
              <w:rPr>
                <w:sz w:val="8"/>
                <w:szCs w:val="8"/>
                <w:color w:val="auto"/>
              </w:rPr>
            </w:pPr>
          </w:p>
        </w:tc>
        <w:tc>
          <w:tcPr>
            <w:tcW w:w="72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620" w:type="dxa"/>
            <w:vAlign w:val="bottom"/>
            <w:shd w:val="clear" w:color="auto" w:fill="D9D9D9"/>
          </w:tcPr>
          <w:p>
            <w:pPr>
              <w:spacing w:after="0"/>
              <w:rPr>
                <w:sz w:val="8"/>
                <w:szCs w:val="8"/>
                <w:color w:val="auto"/>
              </w:rPr>
            </w:pPr>
          </w:p>
        </w:tc>
        <w:tc>
          <w:tcPr>
            <w:tcW w:w="140" w:type="dxa"/>
            <w:vAlign w:val="bottom"/>
            <w:shd w:val="clear" w:color="auto" w:fill="D9D9D9"/>
          </w:tcPr>
          <w:p>
            <w:pPr>
              <w:jc w:val="right"/>
              <w:spacing w:after="0" w:line="102" w:lineRule="exact"/>
              <w:rPr>
                <w:sz w:val="20"/>
                <w:szCs w:val="20"/>
                <w:color w:val="auto"/>
              </w:rPr>
            </w:pPr>
            <w:r>
              <w:rPr>
                <w:rFonts w:ascii="Arial" w:cs="Arial" w:eastAsia="Arial" w:hAnsi="Arial"/>
                <w:sz w:val="9"/>
                <w:szCs w:val="9"/>
                <w:color w:val="auto"/>
              </w:rPr>
              <w:t>$</w:t>
            </w:r>
          </w:p>
        </w:tc>
        <w:tc>
          <w:tcPr>
            <w:tcW w:w="640" w:type="dxa"/>
            <w:vAlign w:val="bottom"/>
            <w:shd w:val="clear" w:color="auto" w:fill="D9D9D9"/>
          </w:tcPr>
          <w:p>
            <w:pPr>
              <w:jc w:val="right"/>
              <w:ind w:right="15"/>
              <w:spacing w:after="0" w:line="102" w:lineRule="exact"/>
              <w:rPr>
                <w:sz w:val="20"/>
                <w:szCs w:val="20"/>
                <w:color w:val="auto"/>
              </w:rPr>
            </w:pPr>
            <w:r>
              <w:rPr>
                <w:rFonts w:ascii="Arial" w:cs="Arial" w:eastAsia="Arial" w:hAnsi="Arial"/>
                <w:sz w:val="9"/>
                <w:szCs w:val="9"/>
                <w:color w:val="auto"/>
              </w:rPr>
              <w:t>1,249,879</w:t>
            </w:r>
          </w:p>
        </w:tc>
        <w:tc>
          <w:tcPr>
            <w:tcW w:w="160" w:type="dxa"/>
            <w:vAlign w:val="bottom"/>
            <w:shd w:val="clear" w:color="auto" w:fill="D9D9D9"/>
          </w:tcPr>
          <w:p>
            <w:pPr>
              <w:jc w:val="right"/>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D9D9D9"/>
          </w:tcPr>
          <w:p>
            <w:pPr>
              <w:jc w:val="right"/>
              <w:ind w:right="215"/>
              <w:spacing w:after="0" w:line="102" w:lineRule="exact"/>
              <w:rPr>
                <w:sz w:val="20"/>
                <w:szCs w:val="20"/>
                <w:color w:val="auto"/>
              </w:rPr>
            </w:pPr>
            <w:r>
              <w:rPr>
                <w:rFonts w:ascii="Arial" w:cs="Arial" w:eastAsia="Arial" w:hAnsi="Arial"/>
                <w:sz w:val="9"/>
                <w:szCs w:val="9"/>
                <w:color w:val="auto"/>
              </w:rPr>
              <w:t>1,612,378</w:t>
            </w:r>
          </w:p>
        </w:tc>
      </w:tr>
      <w:tr>
        <w:trPr>
          <w:trHeight w:val="108"/>
        </w:trPr>
        <w:tc>
          <w:tcPr>
            <w:tcW w:w="10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78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72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PSU (TSR)</w:t>
            </w:r>
          </w:p>
        </w:tc>
        <w:tc>
          <w:tcPr>
            <w:tcW w:w="600" w:type="dxa"/>
            <w:vAlign w:val="bottom"/>
            <w:shd w:val="clear" w:color="auto" w:fill="D9D9D9"/>
          </w:tcPr>
          <w:p>
            <w:pPr>
              <w:jc w:val="right"/>
              <w:ind w:right="75"/>
              <w:spacing w:after="0"/>
              <w:rPr>
                <w:sz w:val="20"/>
                <w:szCs w:val="20"/>
                <w:color w:val="auto"/>
              </w:rPr>
            </w:pPr>
            <w:r>
              <w:rPr>
                <w:rFonts w:ascii="Arial" w:cs="Arial" w:eastAsia="Arial" w:hAnsi="Arial"/>
                <w:sz w:val="9"/>
                <w:szCs w:val="9"/>
                <w:color w:val="auto"/>
              </w:rPr>
              <w:t>11,290</w:t>
            </w:r>
          </w:p>
        </w:tc>
        <w:tc>
          <w:tcPr>
            <w:tcW w:w="580" w:type="dxa"/>
            <w:vAlign w:val="bottom"/>
            <w:shd w:val="clear" w:color="auto" w:fill="D9D9D9"/>
          </w:tcPr>
          <w:p>
            <w:pPr>
              <w:jc w:val="right"/>
              <w:ind w:right="35"/>
              <w:spacing w:after="0"/>
              <w:rPr>
                <w:sz w:val="20"/>
                <w:szCs w:val="20"/>
                <w:color w:val="auto"/>
              </w:rPr>
            </w:pPr>
            <w:r>
              <w:rPr>
                <w:rFonts w:ascii="Arial" w:cs="Arial" w:eastAsia="Arial" w:hAnsi="Arial"/>
                <w:sz w:val="9"/>
                <w:szCs w:val="9"/>
                <w:color w:val="auto"/>
              </w:rPr>
              <w:t>45,159</w:t>
            </w:r>
          </w:p>
        </w:tc>
        <w:tc>
          <w:tcPr>
            <w:tcW w:w="660" w:type="dxa"/>
            <w:vAlign w:val="bottom"/>
            <w:shd w:val="clear" w:color="auto" w:fill="D9D9D9"/>
          </w:tcPr>
          <w:p>
            <w:pPr>
              <w:jc w:val="right"/>
              <w:ind w:right="75"/>
              <w:spacing w:after="0"/>
              <w:rPr>
                <w:sz w:val="20"/>
                <w:szCs w:val="20"/>
                <w:color w:val="auto"/>
              </w:rPr>
            </w:pPr>
            <w:r>
              <w:rPr>
                <w:rFonts w:ascii="Arial" w:cs="Arial" w:eastAsia="Arial" w:hAnsi="Arial"/>
                <w:sz w:val="9"/>
                <w:szCs w:val="9"/>
                <w:color w:val="auto"/>
              </w:rPr>
              <w:t>90,318</w:t>
            </w:r>
          </w:p>
        </w:tc>
        <w:tc>
          <w:tcPr>
            <w:tcW w:w="76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64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1,250,001</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840" w:type="dxa"/>
            <w:vAlign w:val="bottom"/>
            <w:shd w:val="clear" w:color="auto" w:fill="D9D9D9"/>
          </w:tcPr>
          <w:p>
            <w:pPr>
              <w:jc w:val="right"/>
              <w:ind w:right="215"/>
              <w:spacing w:after="0"/>
              <w:rPr>
                <w:sz w:val="20"/>
                <w:szCs w:val="20"/>
                <w:color w:val="auto"/>
              </w:rPr>
            </w:pPr>
            <w:r>
              <w:rPr>
                <w:rFonts w:ascii="Arial" w:cs="Arial" w:eastAsia="Arial" w:hAnsi="Arial"/>
                <w:sz w:val="9"/>
                <w:szCs w:val="9"/>
                <w:color w:val="auto"/>
              </w:rPr>
              <w:t>1,524,568</w:t>
            </w:r>
          </w:p>
        </w:tc>
      </w:tr>
      <w:tr>
        <w:trPr>
          <w:trHeight w:val="108"/>
        </w:trPr>
        <w:tc>
          <w:tcPr>
            <w:tcW w:w="10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78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72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SO</w:t>
            </w:r>
          </w:p>
        </w:tc>
        <w:tc>
          <w:tcPr>
            <w:tcW w:w="60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660" w:type="dxa"/>
            <w:vAlign w:val="bottom"/>
            <w:shd w:val="clear" w:color="auto" w:fill="D9D9D9"/>
          </w:tcPr>
          <w:p>
            <w:pPr>
              <w:spacing w:after="0"/>
              <w:rPr>
                <w:sz w:val="9"/>
                <w:szCs w:val="9"/>
                <w:color w:val="auto"/>
              </w:rPr>
            </w:pPr>
          </w:p>
        </w:tc>
        <w:tc>
          <w:tcPr>
            <w:tcW w:w="760" w:type="dxa"/>
            <w:vAlign w:val="bottom"/>
            <w:shd w:val="clear" w:color="auto" w:fill="D9D9D9"/>
          </w:tcPr>
          <w:p>
            <w:pPr>
              <w:spacing w:after="0"/>
              <w:rPr>
                <w:sz w:val="9"/>
                <w:szCs w:val="9"/>
                <w:color w:val="auto"/>
              </w:rPr>
            </w:pPr>
          </w:p>
        </w:tc>
        <w:tc>
          <w:tcPr>
            <w:tcW w:w="72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734,214</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62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26.17</w:t>
            </w: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64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4,999,997</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840" w:type="dxa"/>
            <w:vAlign w:val="bottom"/>
            <w:shd w:val="clear" w:color="auto" w:fill="D9D9D9"/>
          </w:tcPr>
          <w:p>
            <w:pPr>
              <w:jc w:val="right"/>
              <w:ind w:right="215"/>
              <w:spacing w:after="0"/>
              <w:rPr>
                <w:sz w:val="20"/>
                <w:szCs w:val="20"/>
                <w:color w:val="auto"/>
              </w:rPr>
            </w:pPr>
            <w:r>
              <w:rPr>
                <w:rFonts w:ascii="Arial" w:cs="Arial" w:eastAsia="Arial" w:hAnsi="Arial"/>
                <w:sz w:val="9"/>
                <w:szCs w:val="9"/>
                <w:color w:val="auto"/>
              </w:rPr>
              <w:t>5,572,684</w:t>
            </w:r>
          </w:p>
        </w:tc>
      </w:tr>
      <w:tr>
        <w:trPr>
          <w:trHeight w:val="108"/>
        </w:trPr>
        <w:tc>
          <w:tcPr>
            <w:tcW w:w="1080" w:type="dxa"/>
            <w:vAlign w:val="bottom"/>
            <w:tcBorders>
              <w:bottom w:val="single" w:sz="8" w:color="auto"/>
            </w:tcBorders>
            <w:shd w:val="clear" w:color="auto" w:fill="D9D9D9"/>
          </w:tcPr>
          <w:p>
            <w:pPr>
              <w:spacing w:after="0"/>
              <w:rPr>
                <w:sz w:val="9"/>
                <w:szCs w:val="9"/>
                <w:color w:val="auto"/>
              </w:rPr>
            </w:pPr>
          </w:p>
        </w:tc>
        <w:tc>
          <w:tcPr>
            <w:tcW w:w="640" w:type="dxa"/>
            <w:vAlign w:val="bottom"/>
            <w:tcBorders>
              <w:bottom w:val="single" w:sz="8" w:color="auto"/>
            </w:tcBorders>
            <w:shd w:val="clear" w:color="auto" w:fill="D9D9D9"/>
          </w:tcPr>
          <w:p>
            <w:pPr>
              <w:spacing w:after="0"/>
              <w:rPr>
                <w:sz w:val="9"/>
                <w:szCs w:val="9"/>
                <w:color w:val="auto"/>
              </w:rPr>
            </w:pPr>
          </w:p>
        </w:tc>
        <w:tc>
          <w:tcPr>
            <w:tcW w:w="780" w:type="dxa"/>
            <w:vAlign w:val="bottom"/>
            <w:tcBorders>
              <w:bottom w:val="single" w:sz="8" w:color="auto"/>
            </w:tcBorders>
            <w:shd w:val="clear" w:color="auto" w:fill="D9D9D9"/>
          </w:tcPr>
          <w:p>
            <w:pPr>
              <w:spacing w:after="0"/>
              <w:rPr>
                <w:sz w:val="9"/>
                <w:szCs w:val="9"/>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9"/>
                <w:szCs w:val="9"/>
                <w:color w:val="auto"/>
              </w:rPr>
              <w:t>1,750,000</w:t>
            </w:r>
          </w:p>
        </w:tc>
        <w:tc>
          <w:tcPr>
            <w:tcW w:w="18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9"/>
                <w:szCs w:val="9"/>
                <w:color w:val="auto"/>
              </w:rPr>
              <w:t>7,000,000</w:t>
            </w:r>
          </w:p>
        </w:tc>
        <w:tc>
          <w:tcPr>
            <w:tcW w:w="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auto"/>
            </w:tcBorders>
            <w:shd w:val="clear" w:color="auto" w:fill="D9D9D9"/>
          </w:tcPr>
          <w:p>
            <w:pPr>
              <w:jc w:val="right"/>
              <w:ind w:right="75"/>
              <w:spacing w:after="0"/>
              <w:rPr>
                <w:sz w:val="20"/>
                <w:szCs w:val="20"/>
                <w:color w:val="auto"/>
              </w:rPr>
            </w:pPr>
            <w:r>
              <w:rPr>
                <w:rFonts w:ascii="Arial" w:cs="Arial" w:eastAsia="Arial" w:hAnsi="Arial"/>
                <w:sz w:val="9"/>
                <w:szCs w:val="9"/>
                <w:color w:val="auto"/>
              </w:rPr>
              <w:t>14,000,000</w:t>
            </w:r>
          </w:p>
        </w:tc>
        <w:tc>
          <w:tcPr>
            <w:tcW w:w="720" w:type="dxa"/>
            <w:vAlign w:val="bottom"/>
            <w:tcBorders>
              <w:bottom w:val="single" w:sz="8" w:color="auto"/>
            </w:tcBorders>
            <w:shd w:val="clear" w:color="auto" w:fill="D9D9D9"/>
          </w:tcPr>
          <w:p>
            <w:pPr>
              <w:spacing w:after="0"/>
              <w:rPr>
                <w:sz w:val="9"/>
                <w:szCs w:val="9"/>
                <w:color w:val="auto"/>
              </w:rPr>
            </w:pPr>
          </w:p>
        </w:tc>
        <w:tc>
          <w:tcPr>
            <w:tcW w:w="600" w:type="dxa"/>
            <w:vAlign w:val="bottom"/>
            <w:tcBorders>
              <w:bottom w:val="single" w:sz="8" w:color="auto"/>
            </w:tcBorders>
            <w:shd w:val="clear" w:color="auto" w:fill="D9D9D9"/>
          </w:tcPr>
          <w:p>
            <w:pPr>
              <w:spacing w:after="0"/>
              <w:rPr>
                <w:sz w:val="9"/>
                <w:szCs w:val="9"/>
                <w:color w:val="auto"/>
              </w:rPr>
            </w:pPr>
          </w:p>
        </w:tc>
        <w:tc>
          <w:tcPr>
            <w:tcW w:w="580" w:type="dxa"/>
            <w:vAlign w:val="bottom"/>
            <w:tcBorders>
              <w:bottom w:val="single" w:sz="8" w:color="auto"/>
            </w:tcBorders>
            <w:shd w:val="clear" w:color="auto" w:fill="D9D9D9"/>
          </w:tcPr>
          <w:p>
            <w:pPr>
              <w:spacing w:after="0"/>
              <w:rPr>
                <w:sz w:val="9"/>
                <w:szCs w:val="9"/>
                <w:color w:val="auto"/>
              </w:rPr>
            </w:pPr>
          </w:p>
        </w:tc>
        <w:tc>
          <w:tcPr>
            <w:tcW w:w="660" w:type="dxa"/>
            <w:vAlign w:val="bottom"/>
            <w:tcBorders>
              <w:bottom w:val="single" w:sz="8" w:color="auto"/>
            </w:tcBorders>
            <w:shd w:val="clear" w:color="auto" w:fill="D9D9D9"/>
          </w:tcPr>
          <w:p>
            <w:pPr>
              <w:spacing w:after="0"/>
              <w:rPr>
                <w:sz w:val="9"/>
                <w:szCs w:val="9"/>
                <w:color w:val="auto"/>
              </w:rPr>
            </w:pPr>
          </w:p>
        </w:tc>
        <w:tc>
          <w:tcPr>
            <w:tcW w:w="760" w:type="dxa"/>
            <w:vAlign w:val="bottom"/>
            <w:tcBorders>
              <w:bottom w:val="single" w:sz="8" w:color="auto"/>
            </w:tcBorders>
            <w:shd w:val="clear" w:color="auto" w:fill="D9D9D9"/>
          </w:tcPr>
          <w:p>
            <w:pPr>
              <w:spacing w:after="0"/>
              <w:rPr>
                <w:sz w:val="9"/>
                <w:szCs w:val="9"/>
                <w:color w:val="auto"/>
              </w:rPr>
            </w:pPr>
          </w:p>
        </w:tc>
        <w:tc>
          <w:tcPr>
            <w:tcW w:w="720" w:type="dxa"/>
            <w:vAlign w:val="bottom"/>
            <w:tcBorders>
              <w:bottom w:val="single" w:sz="8" w:color="auto"/>
            </w:tcBorders>
            <w:shd w:val="clear" w:color="auto" w:fill="D9D9D9"/>
          </w:tcPr>
          <w:p>
            <w:pPr>
              <w:spacing w:after="0"/>
              <w:rPr>
                <w:sz w:val="9"/>
                <w:szCs w:val="9"/>
                <w:color w:val="auto"/>
              </w:rPr>
            </w:pPr>
          </w:p>
        </w:tc>
        <w:tc>
          <w:tcPr>
            <w:tcW w:w="160" w:type="dxa"/>
            <w:vAlign w:val="bottom"/>
            <w:tcBorders>
              <w:bottom w:val="single" w:sz="8" w:color="auto"/>
            </w:tcBorders>
            <w:shd w:val="clear" w:color="auto" w:fill="D9D9D9"/>
          </w:tcPr>
          <w:p>
            <w:pPr>
              <w:spacing w:after="0"/>
              <w:rPr>
                <w:sz w:val="9"/>
                <w:szCs w:val="9"/>
                <w:color w:val="auto"/>
              </w:rPr>
            </w:pPr>
          </w:p>
        </w:tc>
        <w:tc>
          <w:tcPr>
            <w:tcW w:w="620" w:type="dxa"/>
            <w:vAlign w:val="bottom"/>
            <w:tcBorders>
              <w:bottom w:val="single" w:sz="8" w:color="auto"/>
            </w:tcBorders>
            <w:shd w:val="clear" w:color="auto" w:fill="D9D9D9"/>
          </w:tcPr>
          <w:p>
            <w:pPr>
              <w:spacing w:after="0"/>
              <w:rPr>
                <w:sz w:val="9"/>
                <w:szCs w:val="9"/>
                <w:color w:val="auto"/>
              </w:rPr>
            </w:pPr>
          </w:p>
        </w:tc>
        <w:tc>
          <w:tcPr>
            <w:tcW w:w="140" w:type="dxa"/>
            <w:vAlign w:val="bottom"/>
            <w:tcBorders>
              <w:bottom w:val="single" w:sz="8" w:color="auto"/>
            </w:tcBorders>
            <w:shd w:val="clear" w:color="auto" w:fill="D9D9D9"/>
          </w:tcPr>
          <w:p>
            <w:pPr>
              <w:spacing w:after="0"/>
              <w:rPr>
                <w:sz w:val="9"/>
                <w:szCs w:val="9"/>
                <w:color w:val="auto"/>
              </w:rPr>
            </w:pPr>
          </w:p>
        </w:tc>
        <w:tc>
          <w:tcPr>
            <w:tcW w:w="640" w:type="dxa"/>
            <w:vAlign w:val="bottom"/>
            <w:tcBorders>
              <w:bottom w:val="single" w:sz="8" w:color="auto"/>
            </w:tcBorders>
            <w:shd w:val="clear" w:color="auto" w:fill="D9D9D9"/>
          </w:tcPr>
          <w:p>
            <w:pPr>
              <w:spacing w:after="0"/>
              <w:rPr>
                <w:sz w:val="9"/>
                <w:szCs w:val="9"/>
                <w:color w:val="auto"/>
              </w:rPr>
            </w:pPr>
          </w:p>
        </w:tc>
        <w:tc>
          <w:tcPr>
            <w:tcW w:w="160" w:type="dxa"/>
            <w:vAlign w:val="bottom"/>
            <w:tcBorders>
              <w:bottom w:val="single" w:sz="8" w:color="auto"/>
            </w:tcBorders>
            <w:shd w:val="clear" w:color="auto" w:fill="D9D9D9"/>
          </w:tcPr>
          <w:p>
            <w:pPr>
              <w:spacing w:after="0"/>
              <w:rPr>
                <w:sz w:val="9"/>
                <w:szCs w:val="9"/>
                <w:color w:val="auto"/>
              </w:rPr>
            </w:pPr>
          </w:p>
        </w:tc>
        <w:tc>
          <w:tcPr>
            <w:tcW w:w="840" w:type="dxa"/>
            <w:vAlign w:val="bottom"/>
            <w:tcBorders>
              <w:bottom w:val="single" w:sz="8" w:color="auto"/>
            </w:tcBorders>
            <w:shd w:val="clear" w:color="auto" w:fill="D9D9D9"/>
          </w:tcPr>
          <w:p>
            <w:pPr>
              <w:spacing w:after="0"/>
              <w:rPr>
                <w:sz w:val="9"/>
                <w:szCs w:val="9"/>
                <w:color w:val="auto"/>
              </w:rPr>
            </w:pPr>
          </w:p>
        </w:tc>
      </w:tr>
      <w:tr>
        <w:trPr>
          <w:trHeight w:val="114"/>
        </w:trPr>
        <w:tc>
          <w:tcPr>
            <w:tcW w:w="1080" w:type="dxa"/>
            <w:vAlign w:val="bottom"/>
          </w:tcPr>
          <w:p>
            <w:pPr>
              <w:spacing w:after="0"/>
              <w:rPr>
                <w:sz w:val="20"/>
                <w:szCs w:val="20"/>
                <w:color w:val="auto"/>
              </w:rPr>
            </w:pPr>
            <w:r>
              <w:rPr>
                <w:rFonts w:ascii="Arial" w:cs="Arial" w:eastAsia="Arial" w:hAnsi="Arial"/>
                <w:sz w:val="9"/>
                <w:szCs w:val="9"/>
                <w:color w:val="auto"/>
              </w:rPr>
              <w:t>Wade C. Davis</w:t>
            </w:r>
          </w:p>
        </w:tc>
        <w:tc>
          <w:tcPr>
            <w:tcW w:w="640" w:type="dxa"/>
            <w:vAlign w:val="bottom"/>
          </w:tcPr>
          <w:p>
            <w:pPr>
              <w:jc w:val="center"/>
              <w:spacing w:after="0"/>
              <w:rPr>
                <w:sz w:val="20"/>
                <w:szCs w:val="20"/>
                <w:color w:val="auto"/>
              </w:rPr>
            </w:pPr>
            <w:r>
              <w:rPr>
                <w:rFonts w:ascii="Arial" w:cs="Arial" w:eastAsia="Arial" w:hAnsi="Arial"/>
                <w:sz w:val="9"/>
                <w:szCs w:val="9"/>
                <w:color w:val="auto"/>
              </w:rPr>
              <w:t>11/20/17</w:t>
            </w:r>
          </w:p>
        </w:tc>
        <w:tc>
          <w:tcPr>
            <w:tcW w:w="780" w:type="dxa"/>
            <w:vAlign w:val="bottom"/>
          </w:tcPr>
          <w:p>
            <w:pPr>
              <w:jc w:val="center"/>
              <w:spacing w:after="0"/>
              <w:rPr>
                <w:sz w:val="20"/>
                <w:szCs w:val="20"/>
                <w:color w:val="auto"/>
              </w:rPr>
            </w:pPr>
            <w:r>
              <w:rPr>
                <w:rFonts w:ascii="Arial" w:cs="Arial" w:eastAsia="Arial" w:hAnsi="Arial"/>
                <w:sz w:val="9"/>
                <w:szCs w:val="9"/>
                <w:color w:val="auto"/>
                <w:w w:val="99"/>
              </w:rPr>
              <w:t>11/9/17</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PSU (EPS)</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3,761</w:t>
            </w:r>
          </w:p>
        </w:tc>
        <w:tc>
          <w:tcPr>
            <w:tcW w:w="580" w:type="dxa"/>
            <w:vAlign w:val="bottom"/>
          </w:tcPr>
          <w:p>
            <w:pPr>
              <w:jc w:val="right"/>
              <w:ind w:right="35"/>
              <w:spacing w:after="0"/>
              <w:rPr>
                <w:sz w:val="20"/>
                <w:szCs w:val="20"/>
                <w:color w:val="auto"/>
              </w:rPr>
            </w:pPr>
            <w:r>
              <w:rPr>
                <w:rFonts w:ascii="Arial" w:cs="Arial" w:eastAsia="Arial" w:hAnsi="Arial"/>
                <w:sz w:val="9"/>
                <w:szCs w:val="9"/>
                <w:color w:val="auto"/>
              </w:rPr>
              <w:t>7,522</w:t>
            </w:r>
          </w:p>
        </w:tc>
        <w:tc>
          <w:tcPr>
            <w:tcW w:w="660" w:type="dxa"/>
            <w:vAlign w:val="bottom"/>
          </w:tcPr>
          <w:p>
            <w:pPr>
              <w:jc w:val="right"/>
              <w:ind w:right="75"/>
              <w:spacing w:after="0"/>
              <w:rPr>
                <w:sz w:val="20"/>
                <w:szCs w:val="20"/>
                <w:color w:val="auto"/>
              </w:rPr>
            </w:pPr>
            <w:r>
              <w:rPr>
                <w:rFonts w:ascii="Arial" w:cs="Arial" w:eastAsia="Arial" w:hAnsi="Arial"/>
                <w:sz w:val="9"/>
                <w:szCs w:val="9"/>
                <w:color w:val="auto"/>
              </w:rPr>
              <w:t>15,044</w:t>
            </w: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196,851</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840" w:type="dxa"/>
            <w:vAlign w:val="bottom"/>
          </w:tcPr>
          <w:p>
            <w:pPr>
              <w:jc w:val="right"/>
              <w:ind w:right="215"/>
              <w:spacing w:after="0"/>
              <w:rPr>
                <w:sz w:val="20"/>
                <w:szCs w:val="20"/>
                <w:color w:val="auto"/>
              </w:rPr>
            </w:pPr>
            <w:r>
              <w:rPr>
                <w:rFonts w:ascii="Arial" w:cs="Arial" w:eastAsia="Arial" w:hAnsi="Arial"/>
                <w:sz w:val="9"/>
                <w:szCs w:val="9"/>
                <w:color w:val="auto"/>
              </w:rPr>
              <w:t>253,943</w:t>
            </w:r>
          </w:p>
        </w:tc>
      </w:tr>
      <w:tr>
        <w:trPr>
          <w:trHeight w:val="108"/>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PSU (TSR)</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1,778</w:t>
            </w:r>
          </w:p>
        </w:tc>
        <w:tc>
          <w:tcPr>
            <w:tcW w:w="580" w:type="dxa"/>
            <w:vAlign w:val="bottom"/>
          </w:tcPr>
          <w:p>
            <w:pPr>
              <w:jc w:val="right"/>
              <w:ind w:right="35"/>
              <w:spacing w:after="0"/>
              <w:rPr>
                <w:sz w:val="20"/>
                <w:szCs w:val="20"/>
                <w:color w:val="auto"/>
              </w:rPr>
            </w:pPr>
            <w:r>
              <w:rPr>
                <w:rFonts w:ascii="Arial" w:cs="Arial" w:eastAsia="Arial" w:hAnsi="Arial"/>
                <w:sz w:val="9"/>
                <w:szCs w:val="9"/>
                <w:color w:val="auto"/>
              </w:rPr>
              <w:t>7,113</w:t>
            </w:r>
          </w:p>
        </w:tc>
        <w:tc>
          <w:tcPr>
            <w:tcW w:w="660" w:type="dxa"/>
            <w:vAlign w:val="bottom"/>
          </w:tcPr>
          <w:p>
            <w:pPr>
              <w:jc w:val="right"/>
              <w:ind w:right="75"/>
              <w:spacing w:after="0"/>
              <w:rPr>
                <w:sz w:val="20"/>
                <w:szCs w:val="20"/>
                <w:color w:val="auto"/>
              </w:rPr>
            </w:pPr>
            <w:r>
              <w:rPr>
                <w:rFonts w:ascii="Arial" w:cs="Arial" w:eastAsia="Arial" w:hAnsi="Arial"/>
                <w:sz w:val="9"/>
                <w:szCs w:val="9"/>
                <w:color w:val="auto"/>
              </w:rPr>
              <w:t>14,226</w:t>
            </w: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196,888</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840" w:type="dxa"/>
            <w:vAlign w:val="bottom"/>
          </w:tcPr>
          <w:p>
            <w:pPr>
              <w:jc w:val="right"/>
              <w:ind w:right="215"/>
              <w:spacing w:after="0"/>
              <w:rPr>
                <w:sz w:val="20"/>
                <w:szCs w:val="20"/>
                <w:color w:val="auto"/>
              </w:rPr>
            </w:pPr>
            <w:r>
              <w:rPr>
                <w:rFonts w:ascii="Arial" w:cs="Arial" w:eastAsia="Arial" w:hAnsi="Arial"/>
                <w:sz w:val="9"/>
                <w:szCs w:val="9"/>
                <w:color w:val="auto"/>
              </w:rPr>
              <w:t>240,135</w:t>
            </w:r>
          </w:p>
        </w:tc>
      </w:tr>
      <w:tr>
        <w:trPr>
          <w:trHeight w:val="108"/>
        </w:trPr>
        <w:tc>
          <w:tcPr>
            <w:tcW w:w="108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9"/>
              </w:rPr>
              <w:t>1/31/18</w:t>
            </w:r>
          </w:p>
        </w:tc>
        <w:tc>
          <w:tcPr>
            <w:tcW w:w="780" w:type="dxa"/>
            <w:vAlign w:val="bottom"/>
          </w:tcPr>
          <w:p>
            <w:pPr>
              <w:jc w:val="center"/>
              <w:spacing w:after="0"/>
              <w:rPr>
                <w:sz w:val="20"/>
                <w:szCs w:val="20"/>
                <w:color w:val="auto"/>
              </w:rPr>
            </w:pPr>
            <w:r>
              <w:rPr>
                <w:rFonts w:ascii="Arial" w:cs="Arial" w:eastAsia="Arial" w:hAnsi="Arial"/>
                <w:sz w:val="9"/>
                <w:szCs w:val="9"/>
                <w:color w:val="auto"/>
                <w:w w:val="99"/>
              </w:rPr>
              <w:t>1/17/18</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RSU;</w:t>
            </w: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08"/>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SO</w:t>
            </w: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23,564</w:t>
            </w:r>
          </w:p>
        </w:tc>
        <w:tc>
          <w:tcPr>
            <w:tcW w:w="720" w:type="dxa"/>
            <w:vAlign w:val="bottom"/>
          </w:tcPr>
          <w:p>
            <w:pPr>
              <w:jc w:val="right"/>
              <w:ind w:right="15"/>
              <w:spacing w:after="0"/>
              <w:rPr>
                <w:sz w:val="20"/>
                <w:szCs w:val="20"/>
                <w:color w:val="auto"/>
              </w:rPr>
            </w:pPr>
            <w:r>
              <w:rPr>
                <w:rFonts w:ascii="Arial" w:cs="Arial" w:eastAsia="Arial" w:hAnsi="Arial"/>
                <w:sz w:val="9"/>
                <w:szCs w:val="9"/>
                <w:color w:val="auto"/>
              </w:rPr>
              <w:t>68,528</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33.42</w:t>
            </w: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1,462,510</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840" w:type="dxa"/>
            <w:vAlign w:val="bottom"/>
          </w:tcPr>
          <w:p>
            <w:pPr>
              <w:jc w:val="right"/>
              <w:ind w:right="215"/>
              <w:spacing w:after="0"/>
              <w:rPr>
                <w:sz w:val="20"/>
                <w:szCs w:val="20"/>
                <w:color w:val="auto"/>
              </w:rPr>
            </w:pPr>
            <w:r>
              <w:rPr>
                <w:rFonts w:ascii="Arial" w:cs="Arial" w:eastAsia="Arial" w:hAnsi="Arial"/>
                <w:sz w:val="9"/>
                <w:szCs w:val="9"/>
                <w:color w:val="auto"/>
              </w:rPr>
              <w:t>818,821</w:t>
            </w:r>
          </w:p>
        </w:tc>
      </w:tr>
      <w:tr>
        <w:trPr>
          <w:trHeight w:val="96"/>
        </w:trPr>
        <w:tc>
          <w:tcPr>
            <w:tcW w:w="10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jc w:val="right"/>
              <w:spacing w:after="0" w:line="96" w:lineRule="exact"/>
              <w:rPr>
                <w:sz w:val="20"/>
                <w:szCs w:val="20"/>
                <w:color w:val="auto"/>
              </w:rPr>
            </w:pPr>
            <w:r>
              <w:rPr>
                <w:rFonts w:ascii="Arial" w:cs="Arial" w:eastAsia="Arial" w:hAnsi="Arial"/>
                <w:sz w:val="9"/>
                <w:szCs w:val="9"/>
                <w:color w:val="auto"/>
              </w:rPr>
              <w:t>$</w:t>
            </w:r>
          </w:p>
        </w:tc>
        <w:tc>
          <w:tcPr>
            <w:tcW w:w="640" w:type="dxa"/>
            <w:vAlign w:val="bottom"/>
            <w:tcBorders>
              <w:bottom w:val="single" w:sz="8" w:color="auto"/>
            </w:tcBorders>
          </w:tcPr>
          <w:p>
            <w:pPr>
              <w:jc w:val="right"/>
              <w:ind w:right="15"/>
              <w:spacing w:after="0" w:line="96" w:lineRule="exact"/>
              <w:rPr>
                <w:sz w:val="20"/>
                <w:szCs w:val="20"/>
                <w:color w:val="auto"/>
              </w:rPr>
            </w:pPr>
            <w:r>
              <w:rPr>
                <w:rFonts w:ascii="Arial" w:cs="Arial" w:eastAsia="Arial" w:hAnsi="Arial"/>
                <w:sz w:val="9"/>
                <w:szCs w:val="9"/>
                <w:color w:val="auto"/>
              </w:rPr>
              <w:t>625,000</w:t>
            </w:r>
          </w:p>
        </w:tc>
        <w:tc>
          <w:tcPr>
            <w:tcW w:w="180" w:type="dxa"/>
            <w:vAlign w:val="bottom"/>
            <w:tcBorders>
              <w:bottom w:val="single" w:sz="8" w:color="auto"/>
            </w:tcBorders>
          </w:tcPr>
          <w:p>
            <w:pPr>
              <w:jc w:val="right"/>
              <w:ind w:right="35"/>
              <w:spacing w:after="0" w:line="96"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ind w:right="15"/>
              <w:spacing w:after="0" w:line="96" w:lineRule="exact"/>
              <w:rPr>
                <w:sz w:val="20"/>
                <w:szCs w:val="20"/>
                <w:color w:val="auto"/>
              </w:rPr>
            </w:pPr>
            <w:r>
              <w:rPr>
                <w:rFonts w:ascii="Arial" w:cs="Arial" w:eastAsia="Arial" w:hAnsi="Arial"/>
                <w:sz w:val="9"/>
                <w:szCs w:val="9"/>
                <w:color w:val="auto"/>
              </w:rPr>
              <w:t>2,500,000</w:t>
            </w:r>
          </w:p>
        </w:tc>
        <w:tc>
          <w:tcPr>
            <w:tcW w:w="1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w:t>
            </w:r>
          </w:p>
        </w:tc>
        <w:tc>
          <w:tcPr>
            <w:tcW w:w="700" w:type="dxa"/>
            <w:vAlign w:val="bottom"/>
            <w:tcBorders>
              <w:bottom w:val="single" w:sz="8" w:color="auto"/>
            </w:tcBorders>
          </w:tcPr>
          <w:p>
            <w:pPr>
              <w:jc w:val="right"/>
              <w:ind w:right="75"/>
              <w:spacing w:after="0" w:line="96" w:lineRule="exact"/>
              <w:rPr>
                <w:sz w:val="20"/>
                <w:szCs w:val="20"/>
                <w:color w:val="auto"/>
              </w:rPr>
            </w:pPr>
            <w:r>
              <w:rPr>
                <w:rFonts w:ascii="Arial" w:cs="Arial" w:eastAsia="Arial" w:hAnsi="Arial"/>
                <w:sz w:val="9"/>
                <w:szCs w:val="9"/>
                <w:color w:val="auto"/>
              </w:rPr>
              <w:t>5,000,000</w:t>
            </w:r>
          </w:p>
        </w:tc>
        <w:tc>
          <w:tcPr>
            <w:tcW w:w="7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102"/>
        </w:trPr>
        <w:tc>
          <w:tcPr>
            <w:tcW w:w="1080" w:type="dxa"/>
            <w:vAlign w:val="bottom"/>
            <w:shd w:val="clear" w:color="auto" w:fill="D9D9D9"/>
          </w:tcPr>
          <w:p>
            <w:pPr>
              <w:spacing w:after="0" w:line="102" w:lineRule="exact"/>
              <w:rPr>
                <w:sz w:val="20"/>
                <w:szCs w:val="20"/>
                <w:color w:val="auto"/>
              </w:rPr>
            </w:pPr>
            <w:r>
              <w:rPr>
                <w:rFonts w:ascii="Arial" w:cs="Arial" w:eastAsia="Arial" w:hAnsi="Arial"/>
                <w:sz w:val="9"/>
                <w:szCs w:val="9"/>
                <w:color w:val="auto"/>
              </w:rPr>
              <w:t>Christa A. D'Alimonte</w:t>
            </w:r>
          </w:p>
        </w:tc>
        <w:tc>
          <w:tcPr>
            <w:tcW w:w="640" w:type="dxa"/>
            <w:vAlign w:val="bottom"/>
            <w:shd w:val="clear" w:color="auto" w:fill="D9D9D9"/>
          </w:tcPr>
          <w:p>
            <w:pPr>
              <w:jc w:val="center"/>
              <w:spacing w:after="0" w:line="102" w:lineRule="exact"/>
              <w:rPr>
                <w:sz w:val="20"/>
                <w:szCs w:val="20"/>
                <w:color w:val="auto"/>
              </w:rPr>
            </w:pPr>
            <w:r>
              <w:rPr>
                <w:rFonts w:ascii="Arial" w:cs="Arial" w:eastAsia="Arial" w:hAnsi="Arial"/>
                <w:sz w:val="9"/>
                <w:szCs w:val="9"/>
                <w:color w:val="auto"/>
              </w:rPr>
              <w:t>11/20/17</w:t>
            </w:r>
          </w:p>
        </w:tc>
        <w:tc>
          <w:tcPr>
            <w:tcW w:w="780" w:type="dxa"/>
            <w:vAlign w:val="bottom"/>
            <w:shd w:val="clear" w:color="auto" w:fill="D9D9D9"/>
          </w:tcPr>
          <w:p>
            <w:pPr>
              <w:jc w:val="center"/>
              <w:spacing w:after="0" w:line="102" w:lineRule="exact"/>
              <w:rPr>
                <w:sz w:val="20"/>
                <w:szCs w:val="20"/>
                <w:color w:val="auto"/>
              </w:rPr>
            </w:pPr>
            <w:r>
              <w:rPr>
                <w:rFonts w:ascii="Arial" w:cs="Arial" w:eastAsia="Arial" w:hAnsi="Arial"/>
                <w:sz w:val="9"/>
                <w:szCs w:val="9"/>
                <w:color w:val="auto"/>
                <w:w w:val="99"/>
              </w:rPr>
              <w:t>11/9/17</w:t>
            </w:r>
          </w:p>
        </w:tc>
        <w:tc>
          <w:tcPr>
            <w:tcW w:w="80" w:type="dxa"/>
            <w:vAlign w:val="bottom"/>
            <w:shd w:val="clear" w:color="auto" w:fill="D9D9D9"/>
          </w:tcPr>
          <w:p>
            <w:pPr>
              <w:spacing w:after="0"/>
              <w:rPr>
                <w:sz w:val="8"/>
                <w:szCs w:val="8"/>
                <w:color w:val="auto"/>
              </w:rPr>
            </w:pPr>
          </w:p>
        </w:tc>
        <w:tc>
          <w:tcPr>
            <w:tcW w:w="64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140" w:type="dxa"/>
            <w:vAlign w:val="bottom"/>
            <w:shd w:val="clear" w:color="auto" w:fill="D9D9D9"/>
          </w:tcPr>
          <w:p>
            <w:pPr>
              <w:spacing w:after="0"/>
              <w:rPr>
                <w:sz w:val="8"/>
                <w:szCs w:val="8"/>
                <w:color w:val="auto"/>
              </w:rPr>
            </w:pPr>
          </w:p>
        </w:tc>
        <w:tc>
          <w:tcPr>
            <w:tcW w:w="700" w:type="dxa"/>
            <w:vAlign w:val="bottom"/>
            <w:shd w:val="clear" w:color="auto" w:fill="D9D9D9"/>
          </w:tcPr>
          <w:p>
            <w:pPr>
              <w:spacing w:after="0"/>
              <w:rPr>
                <w:sz w:val="8"/>
                <w:szCs w:val="8"/>
                <w:color w:val="auto"/>
              </w:rPr>
            </w:pPr>
          </w:p>
        </w:tc>
        <w:tc>
          <w:tcPr>
            <w:tcW w:w="720" w:type="dxa"/>
            <w:vAlign w:val="bottom"/>
            <w:shd w:val="clear" w:color="auto" w:fill="D9D9D9"/>
          </w:tcPr>
          <w:p>
            <w:pPr>
              <w:jc w:val="right"/>
              <w:ind w:right="55"/>
              <w:spacing w:after="0" w:line="102" w:lineRule="exact"/>
              <w:rPr>
                <w:sz w:val="20"/>
                <w:szCs w:val="20"/>
                <w:color w:val="auto"/>
              </w:rPr>
            </w:pPr>
            <w:r>
              <w:rPr>
                <w:rFonts w:ascii="Arial" w:cs="Arial" w:eastAsia="Arial" w:hAnsi="Arial"/>
                <w:sz w:val="9"/>
                <w:szCs w:val="9"/>
                <w:color w:val="auto"/>
              </w:rPr>
              <w:t>PSU (EPS)</w:t>
            </w:r>
          </w:p>
        </w:tc>
        <w:tc>
          <w:tcPr>
            <w:tcW w:w="600" w:type="dxa"/>
            <w:vAlign w:val="bottom"/>
            <w:shd w:val="clear" w:color="auto" w:fill="D9D9D9"/>
          </w:tcPr>
          <w:p>
            <w:pPr>
              <w:jc w:val="right"/>
              <w:ind w:right="75"/>
              <w:spacing w:after="0" w:line="102" w:lineRule="exact"/>
              <w:rPr>
                <w:sz w:val="20"/>
                <w:szCs w:val="20"/>
                <w:color w:val="auto"/>
              </w:rPr>
            </w:pPr>
            <w:r>
              <w:rPr>
                <w:rFonts w:ascii="Arial" w:cs="Arial" w:eastAsia="Arial" w:hAnsi="Arial"/>
                <w:sz w:val="9"/>
                <w:szCs w:val="9"/>
                <w:color w:val="auto"/>
              </w:rPr>
              <w:t>1,338</w:t>
            </w:r>
          </w:p>
        </w:tc>
        <w:tc>
          <w:tcPr>
            <w:tcW w:w="580" w:type="dxa"/>
            <w:vAlign w:val="bottom"/>
            <w:shd w:val="clear" w:color="auto" w:fill="D9D9D9"/>
          </w:tcPr>
          <w:p>
            <w:pPr>
              <w:jc w:val="right"/>
              <w:ind w:right="35"/>
              <w:spacing w:after="0" w:line="102" w:lineRule="exact"/>
              <w:rPr>
                <w:sz w:val="20"/>
                <w:szCs w:val="20"/>
                <w:color w:val="auto"/>
              </w:rPr>
            </w:pPr>
            <w:r>
              <w:rPr>
                <w:rFonts w:ascii="Arial" w:cs="Arial" w:eastAsia="Arial" w:hAnsi="Arial"/>
                <w:sz w:val="9"/>
                <w:szCs w:val="9"/>
                <w:color w:val="auto"/>
              </w:rPr>
              <w:t>2,675</w:t>
            </w:r>
          </w:p>
        </w:tc>
        <w:tc>
          <w:tcPr>
            <w:tcW w:w="660" w:type="dxa"/>
            <w:vAlign w:val="bottom"/>
            <w:shd w:val="clear" w:color="auto" w:fill="D9D9D9"/>
          </w:tcPr>
          <w:p>
            <w:pPr>
              <w:jc w:val="right"/>
              <w:ind w:right="75"/>
              <w:spacing w:after="0" w:line="102" w:lineRule="exact"/>
              <w:rPr>
                <w:sz w:val="20"/>
                <w:szCs w:val="20"/>
                <w:color w:val="auto"/>
              </w:rPr>
            </w:pPr>
            <w:r>
              <w:rPr>
                <w:rFonts w:ascii="Arial" w:cs="Arial" w:eastAsia="Arial" w:hAnsi="Arial"/>
                <w:sz w:val="9"/>
                <w:szCs w:val="9"/>
                <w:color w:val="auto"/>
              </w:rPr>
              <w:t>5,350</w:t>
            </w:r>
          </w:p>
        </w:tc>
        <w:tc>
          <w:tcPr>
            <w:tcW w:w="760" w:type="dxa"/>
            <w:vAlign w:val="bottom"/>
            <w:shd w:val="clear" w:color="auto" w:fill="D9D9D9"/>
          </w:tcPr>
          <w:p>
            <w:pPr>
              <w:spacing w:after="0"/>
              <w:rPr>
                <w:sz w:val="8"/>
                <w:szCs w:val="8"/>
                <w:color w:val="auto"/>
              </w:rPr>
            </w:pPr>
          </w:p>
        </w:tc>
        <w:tc>
          <w:tcPr>
            <w:tcW w:w="72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620" w:type="dxa"/>
            <w:vAlign w:val="bottom"/>
            <w:shd w:val="clear" w:color="auto" w:fill="D9D9D9"/>
          </w:tcPr>
          <w:p>
            <w:pPr>
              <w:spacing w:after="0"/>
              <w:rPr>
                <w:sz w:val="8"/>
                <w:szCs w:val="8"/>
                <w:color w:val="auto"/>
              </w:rPr>
            </w:pPr>
          </w:p>
        </w:tc>
        <w:tc>
          <w:tcPr>
            <w:tcW w:w="140" w:type="dxa"/>
            <w:vAlign w:val="bottom"/>
            <w:shd w:val="clear" w:color="auto" w:fill="D9D9D9"/>
          </w:tcPr>
          <w:p>
            <w:pPr>
              <w:jc w:val="right"/>
              <w:spacing w:after="0" w:line="102" w:lineRule="exact"/>
              <w:rPr>
                <w:sz w:val="20"/>
                <w:szCs w:val="20"/>
                <w:color w:val="auto"/>
              </w:rPr>
            </w:pPr>
            <w:r>
              <w:rPr>
                <w:rFonts w:ascii="Arial" w:cs="Arial" w:eastAsia="Arial" w:hAnsi="Arial"/>
                <w:sz w:val="9"/>
                <w:szCs w:val="9"/>
                <w:color w:val="auto"/>
              </w:rPr>
              <w:t>$</w:t>
            </w:r>
          </w:p>
        </w:tc>
        <w:tc>
          <w:tcPr>
            <w:tcW w:w="640" w:type="dxa"/>
            <w:vAlign w:val="bottom"/>
            <w:shd w:val="clear" w:color="auto" w:fill="D9D9D9"/>
          </w:tcPr>
          <w:p>
            <w:pPr>
              <w:jc w:val="right"/>
              <w:ind w:right="15"/>
              <w:spacing w:after="0" w:line="102" w:lineRule="exact"/>
              <w:rPr>
                <w:sz w:val="20"/>
                <w:szCs w:val="20"/>
                <w:color w:val="auto"/>
              </w:rPr>
            </w:pPr>
            <w:r>
              <w:rPr>
                <w:rFonts w:ascii="Arial" w:cs="Arial" w:eastAsia="Arial" w:hAnsi="Arial"/>
                <w:sz w:val="9"/>
                <w:szCs w:val="9"/>
                <w:color w:val="auto"/>
              </w:rPr>
              <w:t>70,005</w:t>
            </w:r>
          </w:p>
        </w:tc>
        <w:tc>
          <w:tcPr>
            <w:tcW w:w="160" w:type="dxa"/>
            <w:vAlign w:val="bottom"/>
            <w:shd w:val="clear" w:color="auto" w:fill="D9D9D9"/>
          </w:tcPr>
          <w:p>
            <w:pPr>
              <w:jc w:val="right"/>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D9D9D9"/>
          </w:tcPr>
          <w:p>
            <w:pPr>
              <w:jc w:val="right"/>
              <w:ind w:right="215"/>
              <w:spacing w:after="0" w:line="102" w:lineRule="exact"/>
              <w:rPr>
                <w:sz w:val="20"/>
                <w:szCs w:val="20"/>
                <w:color w:val="auto"/>
              </w:rPr>
            </w:pPr>
            <w:r>
              <w:rPr>
                <w:rFonts w:ascii="Arial" w:cs="Arial" w:eastAsia="Arial" w:hAnsi="Arial"/>
                <w:sz w:val="9"/>
                <w:szCs w:val="9"/>
                <w:color w:val="auto"/>
              </w:rPr>
              <w:t>90,308</w:t>
            </w:r>
          </w:p>
        </w:tc>
      </w:tr>
      <w:tr>
        <w:trPr>
          <w:trHeight w:val="108"/>
        </w:trPr>
        <w:tc>
          <w:tcPr>
            <w:tcW w:w="10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78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72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PSU (TSR)</w:t>
            </w:r>
          </w:p>
        </w:tc>
        <w:tc>
          <w:tcPr>
            <w:tcW w:w="600" w:type="dxa"/>
            <w:vAlign w:val="bottom"/>
            <w:shd w:val="clear" w:color="auto" w:fill="D9D9D9"/>
          </w:tcPr>
          <w:p>
            <w:pPr>
              <w:jc w:val="right"/>
              <w:ind w:right="75"/>
              <w:spacing w:after="0"/>
              <w:rPr>
                <w:sz w:val="20"/>
                <w:szCs w:val="20"/>
                <w:color w:val="auto"/>
              </w:rPr>
            </w:pPr>
            <w:r>
              <w:rPr>
                <w:rFonts w:ascii="Arial" w:cs="Arial" w:eastAsia="Arial" w:hAnsi="Arial"/>
                <w:sz w:val="9"/>
                <w:szCs w:val="9"/>
                <w:color w:val="auto"/>
              </w:rPr>
              <w:t>632</w:t>
            </w:r>
          </w:p>
        </w:tc>
        <w:tc>
          <w:tcPr>
            <w:tcW w:w="580" w:type="dxa"/>
            <w:vAlign w:val="bottom"/>
            <w:shd w:val="clear" w:color="auto" w:fill="D9D9D9"/>
          </w:tcPr>
          <w:p>
            <w:pPr>
              <w:jc w:val="right"/>
              <w:ind w:right="35"/>
              <w:spacing w:after="0"/>
              <w:rPr>
                <w:sz w:val="20"/>
                <w:szCs w:val="20"/>
                <w:color w:val="auto"/>
              </w:rPr>
            </w:pPr>
            <w:r>
              <w:rPr>
                <w:rFonts w:ascii="Arial" w:cs="Arial" w:eastAsia="Arial" w:hAnsi="Arial"/>
                <w:sz w:val="9"/>
                <w:szCs w:val="9"/>
                <w:color w:val="auto"/>
              </w:rPr>
              <w:t>2,529</w:t>
            </w:r>
          </w:p>
        </w:tc>
        <w:tc>
          <w:tcPr>
            <w:tcW w:w="660" w:type="dxa"/>
            <w:vAlign w:val="bottom"/>
            <w:shd w:val="clear" w:color="auto" w:fill="D9D9D9"/>
          </w:tcPr>
          <w:p>
            <w:pPr>
              <w:jc w:val="right"/>
              <w:ind w:right="75"/>
              <w:spacing w:after="0"/>
              <w:rPr>
                <w:sz w:val="20"/>
                <w:szCs w:val="20"/>
                <w:color w:val="auto"/>
              </w:rPr>
            </w:pPr>
            <w:r>
              <w:rPr>
                <w:rFonts w:ascii="Arial" w:cs="Arial" w:eastAsia="Arial" w:hAnsi="Arial"/>
                <w:sz w:val="9"/>
                <w:szCs w:val="9"/>
                <w:color w:val="auto"/>
              </w:rPr>
              <w:t>5,058</w:t>
            </w:r>
          </w:p>
        </w:tc>
        <w:tc>
          <w:tcPr>
            <w:tcW w:w="76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64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70,003</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840" w:type="dxa"/>
            <w:vAlign w:val="bottom"/>
            <w:shd w:val="clear" w:color="auto" w:fill="D9D9D9"/>
          </w:tcPr>
          <w:p>
            <w:pPr>
              <w:jc w:val="right"/>
              <w:ind w:right="215"/>
              <w:spacing w:after="0"/>
              <w:rPr>
                <w:sz w:val="20"/>
                <w:szCs w:val="20"/>
                <w:color w:val="auto"/>
              </w:rPr>
            </w:pPr>
            <w:r>
              <w:rPr>
                <w:rFonts w:ascii="Arial" w:cs="Arial" w:eastAsia="Arial" w:hAnsi="Arial"/>
                <w:sz w:val="9"/>
                <w:szCs w:val="9"/>
                <w:color w:val="auto"/>
              </w:rPr>
              <w:t>85,379</w:t>
            </w:r>
          </w:p>
        </w:tc>
      </w:tr>
      <w:tr>
        <w:trPr>
          <w:trHeight w:val="108"/>
        </w:trPr>
        <w:tc>
          <w:tcPr>
            <w:tcW w:w="1080" w:type="dxa"/>
            <w:vAlign w:val="bottom"/>
            <w:shd w:val="clear" w:color="auto" w:fill="D9D9D9"/>
          </w:tcPr>
          <w:p>
            <w:pPr>
              <w:spacing w:after="0"/>
              <w:rPr>
                <w:sz w:val="9"/>
                <w:szCs w:val="9"/>
                <w:color w:val="auto"/>
              </w:rPr>
            </w:pPr>
          </w:p>
        </w:tc>
        <w:tc>
          <w:tcPr>
            <w:tcW w:w="640" w:type="dxa"/>
            <w:vAlign w:val="bottom"/>
            <w:shd w:val="clear" w:color="auto" w:fill="D9D9D9"/>
          </w:tcPr>
          <w:p>
            <w:pPr>
              <w:jc w:val="center"/>
              <w:spacing w:after="0"/>
              <w:rPr>
                <w:sz w:val="20"/>
                <w:szCs w:val="20"/>
                <w:color w:val="auto"/>
              </w:rPr>
            </w:pPr>
            <w:r>
              <w:rPr>
                <w:rFonts w:ascii="Arial" w:cs="Arial" w:eastAsia="Arial" w:hAnsi="Arial"/>
                <w:sz w:val="9"/>
                <w:szCs w:val="9"/>
                <w:color w:val="auto"/>
                <w:w w:val="99"/>
              </w:rPr>
              <w:t>1/31/18</w:t>
            </w:r>
          </w:p>
        </w:tc>
        <w:tc>
          <w:tcPr>
            <w:tcW w:w="780" w:type="dxa"/>
            <w:vAlign w:val="bottom"/>
            <w:shd w:val="clear" w:color="auto" w:fill="D9D9D9"/>
          </w:tcPr>
          <w:p>
            <w:pPr>
              <w:jc w:val="center"/>
              <w:spacing w:after="0"/>
              <w:rPr>
                <w:sz w:val="20"/>
                <w:szCs w:val="20"/>
                <w:color w:val="auto"/>
              </w:rPr>
            </w:pPr>
            <w:r>
              <w:rPr>
                <w:rFonts w:ascii="Arial" w:cs="Arial" w:eastAsia="Arial" w:hAnsi="Arial"/>
                <w:sz w:val="9"/>
                <w:szCs w:val="9"/>
                <w:color w:val="auto"/>
                <w:w w:val="99"/>
              </w:rPr>
              <w:t>1/17/18</w:t>
            </w:r>
          </w:p>
        </w:tc>
        <w:tc>
          <w:tcPr>
            <w:tcW w:w="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72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RSU;</w:t>
            </w:r>
          </w:p>
        </w:tc>
        <w:tc>
          <w:tcPr>
            <w:tcW w:w="60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660" w:type="dxa"/>
            <w:vAlign w:val="bottom"/>
            <w:shd w:val="clear" w:color="auto" w:fill="D9D9D9"/>
          </w:tcPr>
          <w:p>
            <w:pPr>
              <w:spacing w:after="0"/>
              <w:rPr>
                <w:sz w:val="9"/>
                <w:szCs w:val="9"/>
                <w:color w:val="auto"/>
              </w:rPr>
            </w:pPr>
          </w:p>
        </w:tc>
        <w:tc>
          <w:tcPr>
            <w:tcW w:w="76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840" w:type="dxa"/>
            <w:vAlign w:val="bottom"/>
            <w:shd w:val="clear" w:color="auto" w:fill="D9D9D9"/>
          </w:tcPr>
          <w:p>
            <w:pPr>
              <w:spacing w:after="0"/>
              <w:rPr>
                <w:sz w:val="9"/>
                <w:szCs w:val="9"/>
                <w:color w:val="auto"/>
              </w:rPr>
            </w:pPr>
          </w:p>
        </w:tc>
      </w:tr>
      <w:tr>
        <w:trPr>
          <w:trHeight w:val="108"/>
        </w:trPr>
        <w:tc>
          <w:tcPr>
            <w:tcW w:w="10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78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72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SO</w:t>
            </w:r>
          </w:p>
        </w:tc>
        <w:tc>
          <w:tcPr>
            <w:tcW w:w="60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660" w:type="dxa"/>
            <w:vAlign w:val="bottom"/>
            <w:shd w:val="clear" w:color="auto" w:fill="D9D9D9"/>
          </w:tcPr>
          <w:p>
            <w:pPr>
              <w:spacing w:after="0"/>
              <w:rPr>
                <w:sz w:val="9"/>
                <w:szCs w:val="9"/>
                <w:color w:val="auto"/>
              </w:rPr>
            </w:pPr>
          </w:p>
        </w:tc>
        <w:tc>
          <w:tcPr>
            <w:tcW w:w="76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13,212</w:t>
            </w:r>
          </w:p>
        </w:tc>
        <w:tc>
          <w:tcPr>
            <w:tcW w:w="72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38,423</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62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33.42</w:t>
            </w: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64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820,012</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840" w:type="dxa"/>
            <w:vAlign w:val="bottom"/>
            <w:shd w:val="clear" w:color="auto" w:fill="D9D9D9"/>
          </w:tcPr>
          <w:p>
            <w:pPr>
              <w:jc w:val="right"/>
              <w:ind w:right="215"/>
              <w:spacing w:after="0"/>
              <w:rPr>
                <w:sz w:val="20"/>
                <w:szCs w:val="20"/>
                <w:color w:val="auto"/>
              </w:rPr>
            </w:pPr>
            <w:r>
              <w:rPr>
                <w:rFonts w:ascii="Arial" w:cs="Arial" w:eastAsia="Arial" w:hAnsi="Arial"/>
                <w:sz w:val="9"/>
                <w:szCs w:val="9"/>
                <w:color w:val="auto"/>
              </w:rPr>
              <w:t>459,101</w:t>
            </w:r>
          </w:p>
        </w:tc>
      </w:tr>
      <w:tr>
        <w:trPr>
          <w:trHeight w:val="108"/>
        </w:trPr>
        <w:tc>
          <w:tcPr>
            <w:tcW w:w="1080" w:type="dxa"/>
            <w:vAlign w:val="bottom"/>
            <w:tcBorders>
              <w:bottom w:val="single" w:sz="8" w:color="auto"/>
            </w:tcBorders>
            <w:shd w:val="clear" w:color="auto" w:fill="D9D9D9"/>
          </w:tcPr>
          <w:p>
            <w:pPr>
              <w:spacing w:after="0"/>
              <w:rPr>
                <w:sz w:val="9"/>
                <w:szCs w:val="9"/>
                <w:color w:val="auto"/>
              </w:rPr>
            </w:pPr>
          </w:p>
        </w:tc>
        <w:tc>
          <w:tcPr>
            <w:tcW w:w="640" w:type="dxa"/>
            <w:vAlign w:val="bottom"/>
            <w:tcBorders>
              <w:bottom w:val="single" w:sz="8" w:color="auto"/>
            </w:tcBorders>
            <w:shd w:val="clear" w:color="auto" w:fill="D9D9D9"/>
          </w:tcPr>
          <w:p>
            <w:pPr>
              <w:spacing w:after="0"/>
              <w:rPr>
                <w:sz w:val="9"/>
                <w:szCs w:val="9"/>
                <w:color w:val="auto"/>
              </w:rPr>
            </w:pPr>
          </w:p>
        </w:tc>
        <w:tc>
          <w:tcPr>
            <w:tcW w:w="780" w:type="dxa"/>
            <w:vAlign w:val="bottom"/>
            <w:tcBorders>
              <w:bottom w:val="single" w:sz="8" w:color="auto"/>
            </w:tcBorders>
            <w:shd w:val="clear" w:color="auto" w:fill="D9D9D9"/>
          </w:tcPr>
          <w:p>
            <w:pPr>
              <w:spacing w:after="0"/>
              <w:rPr>
                <w:sz w:val="9"/>
                <w:szCs w:val="9"/>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9"/>
                <w:szCs w:val="9"/>
                <w:color w:val="auto"/>
              </w:rPr>
              <w:t>265,000</w:t>
            </w:r>
          </w:p>
        </w:tc>
        <w:tc>
          <w:tcPr>
            <w:tcW w:w="18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9"/>
                <w:szCs w:val="9"/>
                <w:color w:val="auto"/>
              </w:rPr>
              <w:t>1,060,000</w:t>
            </w:r>
          </w:p>
        </w:tc>
        <w:tc>
          <w:tcPr>
            <w:tcW w:w="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auto"/>
            </w:tcBorders>
            <w:shd w:val="clear" w:color="auto" w:fill="D9D9D9"/>
          </w:tcPr>
          <w:p>
            <w:pPr>
              <w:jc w:val="right"/>
              <w:ind w:right="75"/>
              <w:spacing w:after="0"/>
              <w:rPr>
                <w:sz w:val="20"/>
                <w:szCs w:val="20"/>
                <w:color w:val="auto"/>
              </w:rPr>
            </w:pPr>
            <w:r>
              <w:rPr>
                <w:rFonts w:ascii="Arial" w:cs="Arial" w:eastAsia="Arial" w:hAnsi="Arial"/>
                <w:sz w:val="9"/>
                <w:szCs w:val="9"/>
                <w:color w:val="auto"/>
              </w:rPr>
              <w:t>2,120,000</w:t>
            </w:r>
          </w:p>
        </w:tc>
        <w:tc>
          <w:tcPr>
            <w:tcW w:w="720" w:type="dxa"/>
            <w:vAlign w:val="bottom"/>
            <w:tcBorders>
              <w:bottom w:val="single" w:sz="8" w:color="auto"/>
            </w:tcBorders>
            <w:shd w:val="clear" w:color="auto" w:fill="D9D9D9"/>
          </w:tcPr>
          <w:p>
            <w:pPr>
              <w:spacing w:after="0"/>
              <w:rPr>
                <w:sz w:val="9"/>
                <w:szCs w:val="9"/>
                <w:color w:val="auto"/>
              </w:rPr>
            </w:pPr>
          </w:p>
        </w:tc>
        <w:tc>
          <w:tcPr>
            <w:tcW w:w="600" w:type="dxa"/>
            <w:vAlign w:val="bottom"/>
            <w:tcBorders>
              <w:bottom w:val="single" w:sz="8" w:color="auto"/>
            </w:tcBorders>
            <w:shd w:val="clear" w:color="auto" w:fill="D9D9D9"/>
          </w:tcPr>
          <w:p>
            <w:pPr>
              <w:spacing w:after="0"/>
              <w:rPr>
                <w:sz w:val="9"/>
                <w:szCs w:val="9"/>
                <w:color w:val="auto"/>
              </w:rPr>
            </w:pPr>
          </w:p>
        </w:tc>
        <w:tc>
          <w:tcPr>
            <w:tcW w:w="580" w:type="dxa"/>
            <w:vAlign w:val="bottom"/>
            <w:tcBorders>
              <w:bottom w:val="single" w:sz="8" w:color="auto"/>
            </w:tcBorders>
            <w:shd w:val="clear" w:color="auto" w:fill="D9D9D9"/>
          </w:tcPr>
          <w:p>
            <w:pPr>
              <w:spacing w:after="0"/>
              <w:rPr>
                <w:sz w:val="9"/>
                <w:szCs w:val="9"/>
                <w:color w:val="auto"/>
              </w:rPr>
            </w:pPr>
          </w:p>
        </w:tc>
        <w:tc>
          <w:tcPr>
            <w:tcW w:w="660" w:type="dxa"/>
            <w:vAlign w:val="bottom"/>
            <w:tcBorders>
              <w:bottom w:val="single" w:sz="8" w:color="auto"/>
            </w:tcBorders>
            <w:shd w:val="clear" w:color="auto" w:fill="D9D9D9"/>
          </w:tcPr>
          <w:p>
            <w:pPr>
              <w:spacing w:after="0"/>
              <w:rPr>
                <w:sz w:val="9"/>
                <w:szCs w:val="9"/>
                <w:color w:val="auto"/>
              </w:rPr>
            </w:pPr>
          </w:p>
        </w:tc>
        <w:tc>
          <w:tcPr>
            <w:tcW w:w="760" w:type="dxa"/>
            <w:vAlign w:val="bottom"/>
            <w:tcBorders>
              <w:bottom w:val="single" w:sz="8" w:color="auto"/>
            </w:tcBorders>
            <w:shd w:val="clear" w:color="auto" w:fill="D9D9D9"/>
          </w:tcPr>
          <w:p>
            <w:pPr>
              <w:spacing w:after="0"/>
              <w:rPr>
                <w:sz w:val="9"/>
                <w:szCs w:val="9"/>
                <w:color w:val="auto"/>
              </w:rPr>
            </w:pPr>
          </w:p>
        </w:tc>
        <w:tc>
          <w:tcPr>
            <w:tcW w:w="720" w:type="dxa"/>
            <w:vAlign w:val="bottom"/>
            <w:tcBorders>
              <w:bottom w:val="single" w:sz="8" w:color="auto"/>
            </w:tcBorders>
            <w:shd w:val="clear" w:color="auto" w:fill="D9D9D9"/>
          </w:tcPr>
          <w:p>
            <w:pPr>
              <w:spacing w:after="0"/>
              <w:rPr>
                <w:sz w:val="9"/>
                <w:szCs w:val="9"/>
                <w:color w:val="auto"/>
              </w:rPr>
            </w:pPr>
          </w:p>
        </w:tc>
        <w:tc>
          <w:tcPr>
            <w:tcW w:w="160" w:type="dxa"/>
            <w:vAlign w:val="bottom"/>
            <w:tcBorders>
              <w:bottom w:val="single" w:sz="8" w:color="auto"/>
            </w:tcBorders>
            <w:shd w:val="clear" w:color="auto" w:fill="D9D9D9"/>
          </w:tcPr>
          <w:p>
            <w:pPr>
              <w:spacing w:after="0"/>
              <w:rPr>
                <w:sz w:val="9"/>
                <w:szCs w:val="9"/>
                <w:color w:val="auto"/>
              </w:rPr>
            </w:pPr>
          </w:p>
        </w:tc>
        <w:tc>
          <w:tcPr>
            <w:tcW w:w="620" w:type="dxa"/>
            <w:vAlign w:val="bottom"/>
            <w:tcBorders>
              <w:bottom w:val="single" w:sz="8" w:color="auto"/>
            </w:tcBorders>
            <w:shd w:val="clear" w:color="auto" w:fill="D9D9D9"/>
          </w:tcPr>
          <w:p>
            <w:pPr>
              <w:spacing w:after="0"/>
              <w:rPr>
                <w:sz w:val="9"/>
                <w:szCs w:val="9"/>
                <w:color w:val="auto"/>
              </w:rPr>
            </w:pPr>
          </w:p>
        </w:tc>
        <w:tc>
          <w:tcPr>
            <w:tcW w:w="140" w:type="dxa"/>
            <w:vAlign w:val="bottom"/>
            <w:tcBorders>
              <w:bottom w:val="single" w:sz="8" w:color="auto"/>
            </w:tcBorders>
            <w:shd w:val="clear" w:color="auto" w:fill="D9D9D9"/>
          </w:tcPr>
          <w:p>
            <w:pPr>
              <w:spacing w:after="0"/>
              <w:rPr>
                <w:sz w:val="9"/>
                <w:szCs w:val="9"/>
                <w:color w:val="auto"/>
              </w:rPr>
            </w:pPr>
          </w:p>
        </w:tc>
        <w:tc>
          <w:tcPr>
            <w:tcW w:w="640" w:type="dxa"/>
            <w:vAlign w:val="bottom"/>
            <w:tcBorders>
              <w:bottom w:val="single" w:sz="8" w:color="auto"/>
            </w:tcBorders>
            <w:shd w:val="clear" w:color="auto" w:fill="D9D9D9"/>
          </w:tcPr>
          <w:p>
            <w:pPr>
              <w:spacing w:after="0"/>
              <w:rPr>
                <w:sz w:val="9"/>
                <w:szCs w:val="9"/>
                <w:color w:val="auto"/>
              </w:rPr>
            </w:pPr>
          </w:p>
        </w:tc>
        <w:tc>
          <w:tcPr>
            <w:tcW w:w="160" w:type="dxa"/>
            <w:vAlign w:val="bottom"/>
            <w:tcBorders>
              <w:bottom w:val="single" w:sz="8" w:color="auto"/>
            </w:tcBorders>
            <w:shd w:val="clear" w:color="auto" w:fill="D9D9D9"/>
          </w:tcPr>
          <w:p>
            <w:pPr>
              <w:spacing w:after="0"/>
              <w:rPr>
                <w:sz w:val="9"/>
                <w:szCs w:val="9"/>
                <w:color w:val="auto"/>
              </w:rPr>
            </w:pPr>
          </w:p>
        </w:tc>
        <w:tc>
          <w:tcPr>
            <w:tcW w:w="840" w:type="dxa"/>
            <w:vAlign w:val="bottom"/>
            <w:tcBorders>
              <w:bottom w:val="single" w:sz="8" w:color="auto"/>
            </w:tcBorders>
            <w:shd w:val="clear" w:color="auto" w:fill="D9D9D9"/>
          </w:tcPr>
          <w:p>
            <w:pPr>
              <w:spacing w:after="0"/>
              <w:rPr>
                <w:sz w:val="9"/>
                <w:szCs w:val="9"/>
                <w:color w:val="auto"/>
              </w:rPr>
            </w:pPr>
          </w:p>
        </w:tc>
      </w:tr>
      <w:tr>
        <w:trPr>
          <w:trHeight w:val="114"/>
        </w:trPr>
        <w:tc>
          <w:tcPr>
            <w:tcW w:w="1080" w:type="dxa"/>
            <w:vAlign w:val="bottom"/>
          </w:tcPr>
          <w:p>
            <w:pPr>
              <w:spacing w:after="0"/>
              <w:rPr>
                <w:sz w:val="20"/>
                <w:szCs w:val="20"/>
                <w:color w:val="auto"/>
              </w:rPr>
            </w:pPr>
            <w:r>
              <w:rPr>
                <w:rFonts w:ascii="Arial" w:cs="Arial" w:eastAsia="Arial" w:hAnsi="Arial"/>
                <w:sz w:val="9"/>
                <w:szCs w:val="9"/>
                <w:color w:val="auto"/>
              </w:rPr>
              <w:t>Doretha (DeDe) F. Lea</w:t>
            </w:r>
          </w:p>
        </w:tc>
        <w:tc>
          <w:tcPr>
            <w:tcW w:w="640" w:type="dxa"/>
            <w:vAlign w:val="bottom"/>
          </w:tcPr>
          <w:p>
            <w:pPr>
              <w:jc w:val="center"/>
              <w:spacing w:after="0"/>
              <w:rPr>
                <w:sz w:val="20"/>
                <w:szCs w:val="20"/>
                <w:color w:val="auto"/>
              </w:rPr>
            </w:pPr>
            <w:r>
              <w:rPr>
                <w:rFonts w:ascii="Arial" w:cs="Arial" w:eastAsia="Arial" w:hAnsi="Arial"/>
                <w:sz w:val="9"/>
                <w:szCs w:val="9"/>
                <w:color w:val="auto"/>
              </w:rPr>
              <w:t>11/20/17</w:t>
            </w:r>
          </w:p>
        </w:tc>
        <w:tc>
          <w:tcPr>
            <w:tcW w:w="780" w:type="dxa"/>
            <w:vAlign w:val="bottom"/>
          </w:tcPr>
          <w:p>
            <w:pPr>
              <w:jc w:val="center"/>
              <w:spacing w:after="0"/>
              <w:rPr>
                <w:sz w:val="20"/>
                <w:szCs w:val="20"/>
                <w:color w:val="auto"/>
              </w:rPr>
            </w:pPr>
            <w:r>
              <w:rPr>
                <w:rFonts w:ascii="Arial" w:cs="Arial" w:eastAsia="Arial" w:hAnsi="Arial"/>
                <w:sz w:val="9"/>
                <w:szCs w:val="9"/>
                <w:color w:val="auto"/>
                <w:w w:val="99"/>
              </w:rPr>
              <w:t>11/9/17</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PSU (EPS)</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1,170</w:t>
            </w:r>
          </w:p>
        </w:tc>
        <w:tc>
          <w:tcPr>
            <w:tcW w:w="580" w:type="dxa"/>
            <w:vAlign w:val="bottom"/>
          </w:tcPr>
          <w:p>
            <w:pPr>
              <w:jc w:val="right"/>
              <w:ind w:right="35"/>
              <w:spacing w:after="0"/>
              <w:rPr>
                <w:sz w:val="20"/>
                <w:szCs w:val="20"/>
                <w:color w:val="auto"/>
              </w:rPr>
            </w:pPr>
            <w:r>
              <w:rPr>
                <w:rFonts w:ascii="Arial" w:cs="Arial" w:eastAsia="Arial" w:hAnsi="Arial"/>
                <w:sz w:val="9"/>
                <w:szCs w:val="9"/>
                <w:color w:val="auto"/>
              </w:rPr>
              <w:t>2,340</w:t>
            </w:r>
          </w:p>
        </w:tc>
        <w:tc>
          <w:tcPr>
            <w:tcW w:w="660" w:type="dxa"/>
            <w:vAlign w:val="bottom"/>
          </w:tcPr>
          <w:p>
            <w:pPr>
              <w:jc w:val="right"/>
              <w:ind w:right="75"/>
              <w:spacing w:after="0"/>
              <w:rPr>
                <w:sz w:val="20"/>
                <w:szCs w:val="20"/>
                <w:color w:val="auto"/>
              </w:rPr>
            </w:pPr>
            <w:r>
              <w:rPr>
                <w:rFonts w:ascii="Arial" w:cs="Arial" w:eastAsia="Arial" w:hAnsi="Arial"/>
                <w:sz w:val="9"/>
                <w:szCs w:val="9"/>
                <w:color w:val="auto"/>
              </w:rPr>
              <w:t>4,680</w:t>
            </w: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61,238</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840" w:type="dxa"/>
            <w:vAlign w:val="bottom"/>
          </w:tcPr>
          <w:p>
            <w:pPr>
              <w:jc w:val="right"/>
              <w:ind w:right="215"/>
              <w:spacing w:after="0"/>
              <w:rPr>
                <w:sz w:val="20"/>
                <w:szCs w:val="20"/>
                <w:color w:val="auto"/>
              </w:rPr>
            </w:pPr>
            <w:r>
              <w:rPr>
                <w:rFonts w:ascii="Arial" w:cs="Arial" w:eastAsia="Arial" w:hAnsi="Arial"/>
                <w:sz w:val="9"/>
                <w:szCs w:val="9"/>
                <w:color w:val="auto"/>
              </w:rPr>
              <w:t>78,998</w:t>
            </w:r>
          </w:p>
        </w:tc>
      </w:tr>
      <w:tr>
        <w:trPr>
          <w:trHeight w:val="108"/>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PSU (TSR)</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553</w:t>
            </w:r>
          </w:p>
        </w:tc>
        <w:tc>
          <w:tcPr>
            <w:tcW w:w="580" w:type="dxa"/>
            <w:vAlign w:val="bottom"/>
          </w:tcPr>
          <w:p>
            <w:pPr>
              <w:jc w:val="right"/>
              <w:ind w:right="35"/>
              <w:spacing w:after="0"/>
              <w:rPr>
                <w:sz w:val="20"/>
                <w:szCs w:val="20"/>
                <w:color w:val="auto"/>
              </w:rPr>
            </w:pPr>
            <w:r>
              <w:rPr>
                <w:rFonts w:ascii="Arial" w:cs="Arial" w:eastAsia="Arial" w:hAnsi="Arial"/>
                <w:sz w:val="9"/>
                <w:szCs w:val="9"/>
                <w:color w:val="auto"/>
              </w:rPr>
              <w:t>2,213</w:t>
            </w:r>
          </w:p>
        </w:tc>
        <w:tc>
          <w:tcPr>
            <w:tcW w:w="660" w:type="dxa"/>
            <w:vAlign w:val="bottom"/>
          </w:tcPr>
          <w:p>
            <w:pPr>
              <w:jc w:val="right"/>
              <w:ind w:right="75"/>
              <w:spacing w:after="0"/>
              <w:rPr>
                <w:sz w:val="20"/>
                <w:szCs w:val="20"/>
                <w:color w:val="auto"/>
              </w:rPr>
            </w:pPr>
            <w:r>
              <w:rPr>
                <w:rFonts w:ascii="Arial" w:cs="Arial" w:eastAsia="Arial" w:hAnsi="Arial"/>
                <w:sz w:val="9"/>
                <w:szCs w:val="9"/>
                <w:color w:val="auto"/>
              </w:rPr>
              <w:t>4,426</w:t>
            </w: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61,256</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840" w:type="dxa"/>
            <w:vAlign w:val="bottom"/>
          </w:tcPr>
          <w:p>
            <w:pPr>
              <w:jc w:val="right"/>
              <w:ind w:right="215"/>
              <w:spacing w:after="0"/>
              <w:rPr>
                <w:sz w:val="20"/>
                <w:szCs w:val="20"/>
                <w:color w:val="auto"/>
              </w:rPr>
            </w:pPr>
            <w:r>
              <w:rPr>
                <w:rFonts w:ascii="Arial" w:cs="Arial" w:eastAsia="Arial" w:hAnsi="Arial"/>
                <w:sz w:val="9"/>
                <w:szCs w:val="9"/>
                <w:color w:val="auto"/>
              </w:rPr>
              <w:t>74,711</w:t>
            </w:r>
          </w:p>
        </w:tc>
      </w:tr>
      <w:tr>
        <w:trPr>
          <w:trHeight w:val="108"/>
        </w:trPr>
        <w:tc>
          <w:tcPr>
            <w:tcW w:w="108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9"/>
              </w:rPr>
              <w:t>1/31/18</w:t>
            </w:r>
          </w:p>
        </w:tc>
        <w:tc>
          <w:tcPr>
            <w:tcW w:w="780" w:type="dxa"/>
            <w:vAlign w:val="bottom"/>
          </w:tcPr>
          <w:p>
            <w:pPr>
              <w:jc w:val="center"/>
              <w:spacing w:after="0"/>
              <w:rPr>
                <w:sz w:val="20"/>
                <w:szCs w:val="20"/>
                <w:color w:val="auto"/>
              </w:rPr>
            </w:pPr>
            <w:r>
              <w:rPr>
                <w:rFonts w:ascii="Arial" w:cs="Arial" w:eastAsia="Arial" w:hAnsi="Arial"/>
                <w:sz w:val="9"/>
                <w:szCs w:val="9"/>
                <w:color w:val="auto"/>
                <w:w w:val="99"/>
              </w:rPr>
              <w:t>1/17/18</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RSU;</w:t>
            </w: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08"/>
        </w:trPr>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jc w:val="right"/>
              <w:ind w:right="55"/>
              <w:spacing w:after="0"/>
              <w:rPr>
                <w:sz w:val="20"/>
                <w:szCs w:val="20"/>
                <w:color w:val="auto"/>
              </w:rPr>
            </w:pPr>
            <w:r>
              <w:rPr>
                <w:rFonts w:ascii="Arial" w:cs="Arial" w:eastAsia="Arial" w:hAnsi="Arial"/>
                <w:sz w:val="9"/>
                <w:szCs w:val="9"/>
                <w:color w:val="auto"/>
              </w:rPr>
              <w:t>SO</w:t>
            </w: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7,331</w:t>
            </w:r>
          </w:p>
        </w:tc>
        <w:tc>
          <w:tcPr>
            <w:tcW w:w="720" w:type="dxa"/>
            <w:vAlign w:val="bottom"/>
          </w:tcPr>
          <w:p>
            <w:pPr>
              <w:jc w:val="right"/>
              <w:ind w:right="15"/>
              <w:spacing w:after="0"/>
              <w:rPr>
                <w:sz w:val="20"/>
                <w:szCs w:val="20"/>
                <w:color w:val="auto"/>
              </w:rPr>
            </w:pPr>
            <w:r>
              <w:rPr>
                <w:rFonts w:ascii="Arial" w:cs="Arial" w:eastAsia="Arial" w:hAnsi="Arial"/>
                <w:sz w:val="9"/>
                <w:szCs w:val="9"/>
                <w:color w:val="auto"/>
              </w:rPr>
              <w:t>21,320</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33.42</w:t>
            </w:r>
          </w:p>
        </w:tc>
        <w:tc>
          <w:tcPr>
            <w:tcW w:w="14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455,004</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840" w:type="dxa"/>
            <w:vAlign w:val="bottom"/>
          </w:tcPr>
          <w:p>
            <w:pPr>
              <w:jc w:val="right"/>
              <w:ind w:right="215"/>
              <w:spacing w:after="0"/>
              <w:rPr>
                <w:sz w:val="20"/>
                <w:szCs w:val="20"/>
                <w:color w:val="auto"/>
              </w:rPr>
            </w:pPr>
            <w:r>
              <w:rPr>
                <w:rFonts w:ascii="Arial" w:cs="Arial" w:eastAsia="Arial" w:hAnsi="Arial"/>
                <w:sz w:val="9"/>
                <w:szCs w:val="9"/>
                <w:color w:val="auto"/>
              </w:rPr>
              <w:t>254,744</w:t>
            </w:r>
          </w:p>
        </w:tc>
      </w:tr>
      <w:tr>
        <w:trPr>
          <w:trHeight w:val="96"/>
        </w:trPr>
        <w:tc>
          <w:tcPr>
            <w:tcW w:w="10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jc w:val="right"/>
              <w:spacing w:after="0" w:line="96" w:lineRule="exact"/>
              <w:rPr>
                <w:sz w:val="20"/>
                <w:szCs w:val="20"/>
                <w:color w:val="auto"/>
              </w:rPr>
            </w:pPr>
            <w:r>
              <w:rPr>
                <w:rFonts w:ascii="Arial" w:cs="Arial" w:eastAsia="Arial" w:hAnsi="Arial"/>
                <w:sz w:val="9"/>
                <w:szCs w:val="9"/>
                <w:color w:val="auto"/>
              </w:rPr>
              <w:t>$</w:t>
            </w:r>
          </w:p>
        </w:tc>
        <w:tc>
          <w:tcPr>
            <w:tcW w:w="640" w:type="dxa"/>
            <w:vAlign w:val="bottom"/>
            <w:tcBorders>
              <w:bottom w:val="single" w:sz="8" w:color="auto"/>
            </w:tcBorders>
          </w:tcPr>
          <w:p>
            <w:pPr>
              <w:jc w:val="right"/>
              <w:ind w:right="15"/>
              <w:spacing w:after="0" w:line="96" w:lineRule="exact"/>
              <w:rPr>
                <w:sz w:val="20"/>
                <w:szCs w:val="20"/>
                <w:color w:val="auto"/>
              </w:rPr>
            </w:pPr>
            <w:r>
              <w:rPr>
                <w:rFonts w:ascii="Arial" w:cs="Arial" w:eastAsia="Arial" w:hAnsi="Arial"/>
                <w:sz w:val="9"/>
                <w:szCs w:val="9"/>
                <w:color w:val="auto"/>
              </w:rPr>
              <w:t>182,310</w:t>
            </w:r>
          </w:p>
        </w:tc>
        <w:tc>
          <w:tcPr>
            <w:tcW w:w="180" w:type="dxa"/>
            <w:vAlign w:val="bottom"/>
            <w:tcBorders>
              <w:bottom w:val="single" w:sz="8" w:color="auto"/>
            </w:tcBorders>
          </w:tcPr>
          <w:p>
            <w:pPr>
              <w:jc w:val="right"/>
              <w:ind w:right="35"/>
              <w:spacing w:after="0" w:line="96"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ind w:right="15"/>
              <w:spacing w:after="0" w:line="96" w:lineRule="exact"/>
              <w:rPr>
                <w:sz w:val="20"/>
                <w:szCs w:val="20"/>
                <w:color w:val="auto"/>
              </w:rPr>
            </w:pPr>
            <w:r>
              <w:rPr>
                <w:rFonts w:ascii="Arial" w:cs="Arial" w:eastAsia="Arial" w:hAnsi="Arial"/>
                <w:sz w:val="9"/>
                <w:szCs w:val="9"/>
                <w:color w:val="auto"/>
              </w:rPr>
              <w:t>729,240</w:t>
            </w:r>
          </w:p>
        </w:tc>
        <w:tc>
          <w:tcPr>
            <w:tcW w:w="1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w:t>
            </w:r>
          </w:p>
        </w:tc>
        <w:tc>
          <w:tcPr>
            <w:tcW w:w="700" w:type="dxa"/>
            <w:vAlign w:val="bottom"/>
            <w:tcBorders>
              <w:bottom w:val="single" w:sz="8" w:color="auto"/>
            </w:tcBorders>
          </w:tcPr>
          <w:p>
            <w:pPr>
              <w:jc w:val="right"/>
              <w:ind w:right="75"/>
              <w:spacing w:after="0" w:line="96" w:lineRule="exact"/>
              <w:rPr>
                <w:sz w:val="20"/>
                <w:szCs w:val="20"/>
                <w:color w:val="auto"/>
              </w:rPr>
            </w:pPr>
            <w:r>
              <w:rPr>
                <w:rFonts w:ascii="Arial" w:cs="Arial" w:eastAsia="Arial" w:hAnsi="Arial"/>
                <w:sz w:val="9"/>
                <w:szCs w:val="9"/>
                <w:color w:val="auto"/>
              </w:rPr>
              <w:t>1,458,480</w:t>
            </w:r>
          </w:p>
        </w:tc>
        <w:tc>
          <w:tcPr>
            <w:tcW w:w="7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102"/>
        </w:trPr>
        <w:tc>
          <w:tcPr>
            <w:tcW w:w="1080" w:type="dxa"/>
            <w:vAlign w:val="bottom"/>
            <w:shd w:val="clear" w:color="auto" w:fill="D9D9D9"/>
          </w:tcPr>
          <w:p>
            <w:pPr>
              <w:spacing w:after="0" w:line="102" w:lineRule="exact"/>
              <w:rPr>
                <w:sz w:val="20"/>
                <w:szCs w:val="20"/>
                <w:color w:val="auto"/>
              </w:rPr>
            </w:pPr>
            <w:r>
              <w:rPr>
                <w:rFonts w:ascii="Arial" w:cs="Arial" w:eastAsia="Arial" w:hAnsi="Arial"/>
                <w:sz w:val="9"/>
                <w:szCs w:val="9"/>
                <w:color w:val="auto"/>
              </w:rPr>
              <w:t>Scott M. Mills</w:t>
            </w:r>
          </w:p>
        </w:tc>
        <w:tc>
          <w:tcPr>
            <w:tcW w:w="640" w:type="dxa"/>
            <w:vAlign w:val="bottom"/>
            <w:shd w:val="clear" w:color="auto" w:fill="D9D9D9"/>
          </w:tcPr>
          <w:p>
            <w:pPr>
              <w:jc w:val="center"/>
              <w:spacing w:after="0" w:line="102" w:lineRule="exact"/>
              <w:rPr>
                <w:sz w:val="20"/>
                <w:szCs w:val="20"/>
                <w:color w:val="auto"/>
              </w:rPr>
            </w:pPr>
            <w:r>
              <w:rPr>
                <w:rFonts w:ascii="Arial" w:cs="Arial" w:eastAsia="Arial" w:hAnsi="Arial"/>
                <w:sz w:val="9"/>
                <w:szCs w:val="9"/>
                <w:color w:val="auto"/>
              </w:rPr>
              <w:t>11/20/17</w:t>
            </w:r>
          </w:p>
        </w:tc>
        <w:tc>
          <w:tcPr>
            <w:tcW w:w="780" w:type="dxa"/>
            <w:vAlign w:val="bottom"/>
            <w:shd w:val="clear" w:color="auto" w:fill="D9D9D9"/>
          </w:tcPr>
          <w:p>
            <w:pPr>
              <w:jc w:val="center"/>
              <w:spacing w:after="0" w:line="102" w:lineRule="exact"/>
              <w:rPr>
                <w:sz w:val="20"/>
                <w:szCs w:val="20"/>
                <w:color w:val="auto"/>
              </w:rPr>
            </w:pPr>
            <w:r>
              <w:rPr>
                <w:rFonts w:ascii="Arial" w:cs="Arial" w:eastAsia="Arial" w:hAnsi="Arial"/>
                <w:sz w:val="9"/>
                <w:szCs w:val="9"/>
                <w:color w:val="auto"/>
                <w:w w:val="99"/>
              </w:rPr>
              <w:t>11/9/17</w:t>
            </w:r>
          </w:p>
        </w:tc>
        <w:tc>
          <w:tcPr>
            <w:tcW w:w="80" w:type="dxa"/>
            <w:vAlign w:val="bottom"/>
            <w:shd w:val="clear" w:color="auto" w:fill="D9D9D9"/>
          </w:tcPr>
          <w:p>
            <w:pPr>
              <w:spacing w:after="0"/>
              <w:rPr>
                <w:sz w:val="8"/>
                <w:szCs w:val="8"/>
                <w:color w:val="auto"/>
              </w:rPr>
            </w:pPr>
          </w:p>
        </w:tc>
        <w:tc>
          <w:tcPr>
            <w:tcW w:w="64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140" w:type="dxa"/>
            <w:vAlign w:val="bottom"/>
            <w:shd w:val="clear" w:color="auto" w:fill="D9D9D9"/>
          </w:tcPr>
          <w:p>
            <w:pPr>
              <w:spacing w:after="0"/>
              <w:rPr>
                <w:sz w:val="8"/>
                <w:szCs w:val="8"/>
                <w:color w:val="auto"/>
              </w:rPr>
            </w:pPr>
          </w:p>
        </w:tc>
        <w:tc>
          <w:tcPr>
            <w:tcW w:w="700" w:type="dxa"/>
            <w:vAlign w:val="bottom"/>
            <w:shd w:val="clear" w:color="auto" w:fill="D9D9D9"/>
          </w:tcPr>
          <w:p>
            <w:pPr>
              <w:spacing w:after="0"/>
              <w:rPr>
                <w:sz w:val="8"/>
                <w:szCs w:val="8"/>
                <w:color w:val="auto"/>
              </w:rPr>
            </w:pPr>
          </w:p>
        </w:tc>
        <w:tc>
          <w:tcPr>
            <w:tcW w:w="720" w:type="dxa"/>
            <w:vAlign w:val="bottom"/>
            <w:shd w:val="clear" w:color="auto" w:fill="D9D9D9"/>
          </w:tcPr>
          <w:p>
            <w:pPr>
              <w:jc w:val="right"/>
              <w:ind w:right="55"/>
              <w:spacing w:after="0" w:line="102" w:lineRule="exact"/>
              <w:rPr>
                <w:sz w:val="20"/>
                <w:szCs w:val="20"/>
                <w:color w:val="auto"/>
              </w:rPr>
            </w:pPr>
            <w:r>
              <w:rPr>
                <w:rFonts w:ascii="Arial" w:cs="Arial" w:eastAsia="Arial" w:hAnsi="Arial"/>
                <w:sz w:val="9"/>
                <w:szCs w:val="9"/>
                <w:color w:val="auto"/>
              </w:rPr>
              <w:t>PSU (EPS)</w:t>
            </w:r>
          </w:p>
        </w:tc>
        <w:tc>
          <w:tcPr>
            <w:tcW w:w="600" w:type="dxa"/>
            <w:vAlign w:val="bottom"/>
            <w:shd w:val="clear" w:color="auto" w:fill="D9D9D9"/>
          </w:tcPr>
          <w:p>
            <w:pPr>
              <w:jc w:val="right"/>
              <w:ind w:right="75"/>
              <w:spacing w:after="0" w:line="102" w:lineRule="exact"/>
              <w:rPr>
                <w:sz w:val="20"/>
                <w:szCs w:val="20"/>
                <w:color w:val="auto"/>
              </w:rPr>
            </w:pPr>
            <w:r>
              <w:rPr>
                <w:rFonts w:ascii="Arial" w:cs="Arial" w:eastAsia="Arial" w:hAnsi="Arial"/>
                <w:sz w:val="9"/>
                <w:szCs w:val="9"/>
                <w:color w:val="auto"/>
              </w:rPr>
              <w:t>3,761</w:t>
            </w:r>
          </w:p>
        </w:tc>
        <w:tc>
          <w:tcPr>
            <w:tcW w:w="580" w:type="dxa"/>
            <w:vAlign w:val="bottom"/>
            <w:shd w:val="clear" w:color="auto" w:fill="D9D9D9"/>
          </w:tcPr>
          <w:p>
            <w:pPr>
              <w:jc w:val="right"/>
              <w:ind w:right="35"/>
              <w:spacing w:after="0" w:line="102" w:lineRule="exact"/>
              <w:rPr>
                <w:sz w:val="20"/>
                <w:szCs w:val="20"/>
                <w:color w:val="auto"/>
              </w:rPr>
            </w:pPr>
            <w:r>
              <w:rPr>
                <w:rFonts w:ascii="Arial" w:cs="Arial" w:eastAsia="Arial" w:hAnsi="Arial"/>
                <w:sz w:val="9"/>
                <w:szCs w:val="9"/>
                <w:color w:val="auto"/>
              </w:rPr>
              <w:t>7,522</w:t>
            </w:r>
          </w:p>
        </w:tc>
        <w:tc>
          <w:tcPr>
            <w:tcW w:w="660" w:type="dxa"/>
            <w:vAlign w:val="bottom"/>
            <w:shd w:val="clear" w:color="auto" w:fill="D9D9D9"/>
          </w:tcPr>
          <w:p>
            <w:pPr>
              <w:jc w:val="right"/>
              <w:ind w:right="75"/>
              <w:spacing w:after="0" w:line="102" w:lineRule="exact"/>
              <w:rPr>
                <w:sz w:val="20"/>
                <w:szCs w:val="20"/>
                <w:color w:val="auto"/>
              </w:rPr>
            </w:pPr>
            <w:r>
              <w:rPr>
                <w:rFonts w:ascii="Arial" w:cs="Arial" w:eastAsia="Arial" w:hAnsi="Arial"/>
                <w:sz w:val="9"/>
                <w:szCs w:val="9"/>
                <w:color w:val="auto"/>
              </w:rPr>
              <w:t>15,044</w:t>
            </w:r>
          </w:p>
        </w:tc>
        <w:tc>
          <w:tcPr>
            <w:tcW w:w="760" w:type="dxa"/>
            <w:vAlign w:val="bottom"/>
            <w:shd w:val="clear" w:color="auto" w:fill="D9D9D9"/>
          </w:tcPr>
          <w:p>
            <w:pPr>
              <w:spacing w:after="0"/>
              <w:rPr>
                <w:sz w:val="8"/>
                <w:szCs w:val="8"/>
                <w:color w:val="auto"/>
              </w:rPr>
            </w:pPr>
          </w:p>
        </w:tc>
        <w:tc>
          <w:tcPr>
            <w:tcW w:w="72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620" w:type="dxa"/>
            <w:vAlign w:val="bottom"/>
            <w:shd w:val="clear" w:color="auto" w:fill="D9D9D9"/>
          </w:tcPr>
          <w:p>
            <w:pPr>
              <w:spacing w:after="0"/>
              <w:rPr>
                <w:sz w:val="8"/>
                <w:szCs w:val="8"/>
                <w:color w:val="auto"/>
              </w:rPr>
            </w:pPr>
          </w:p>
        </w:tc>
        <w:tc>
          <w:tcPr>
            <w:tcW w:w="140" w:type="dxa"/>
            <w:vAlign w:val="bottom"/>
            <w:shd w:val="clear" w:color="auto" w:fill="D9D9D9"/>
          </w:tcPr>
          <w:p>
            <w:pPr>
              <w:jc w:val="right"/>
              <w:spacing w:after="0" w:line="102" w:lineRule="exact"/>
              <w:rPr>
                <w:sz w:val="20"/>
                <w:szCs w:val="20"/>
                <w:color w:val="auto"/>
              </w:rPr>
            </w:pPr>
            <w:r>
              <w:rPr>
                <w:rFonts w:ascii="Arial" w:cs="Arial" w:eastAsia="Arial" w:hAnsi="Arial"/>
                <w:sz w:val="9"/>
                <w:szCs w:val="9"/>
                <w:color w:val="auto"/>
              </w:rPr>
              <w:t>$</w:t>
            </w:r>
          </w:p>
        </w:tc>
        <w:tc>
          <w:tcPr>
            <w:tcW w:w="640" w:type="dxa"/>
            <w:vAlign w:val="bottom"/>
            <w:shd w:val="clear" w:color="auto" w:fill="D9D9D9"/>
          </w:tcPr>
          <w:p>
            <w:pPr>
              <w:jc w:val="right"/>
              <w:ind w:right="15"/>
              <w:spacing w:after="0" w:line="102" w:lineRule="exact"/>
              <w:rPr>
                <w:sz w:val="20"/>
                <w:szCs w:val="20"/>
                <w:color w:val="auto"/>
              </w:rPr>
            </w:pPr>
            <w:r>
              <w:rPr>
                <w:rFonts w:ascii="Arial" w:cs="Arial" w:eastAsia="Arial" w:hAnsi="Arial"/>
                <w:sz w:val="9"/>
                <w:szCs w:val="9"/>
                <w:color w:val="auto"/>
              </w:rPr>
              <w:t>196,851</w:t>
            </w:r>
          </w:p>
        </w:tc>
        <w:tc>
          <w:tcPr>
            <w:tcW w:w="160" w:type="dxa"/>
            <w:vAlign w:val="bottom"/>
            <w:shd w:val="clear" w:color="auto" w:fill="D9D9D9"/>
          </w:tcPr>
          <w:p>
            <w:pPr>
              <w:jc w:val="right"/>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D9D9D9"/>
          </w:tcPr>
          <w:p>
            <w:pPr>
              <w:jc w:val="right"/>
              <w:ind w:right="215"/>
              <w:spacing w:after="0" w:line="102" w:lineRule="exact"/>
              <w:rPr>
                <w:sz w:val="20"/>
                <w:szCs w:val="20"/>
                <w:color w:val="auto"/>
              </w:rPr>
            </w:pPr>
            <w:r>
              <w:rPr>
                <w:rFonts w:ascii="Arial" w:cs="Arial" w:eastAsia="Arial" w:hAnsi="Arial"/>
                <w:sz w:val="9"/>
                <w:szCs w:val="9"/>
                <w:color w:val="auto"/>
              </w:rPr>
              <w:t>253,943</w:t>
            </w:r>
          </w:p>
        </w:tc>
      </w:tr>
      <w:tr>
        <w:trPr>
          <w:trHeight w:val="108"/>
        </w:trPr>
        <w:tc>
          <w:tcPr>
            <w:tcW w:w="10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78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72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PSU (TSR)</w:t>
            </w:r>
          </w:p>
        </w:tc>
        <w:tc>
          <w:tcPr>
            <w:tcW w:w="600" w:type="dxa"/>
            <w:vAlign w:val="bottom"/>
            <w:shd w:val="clear" w:color="auto" w:fill="D9D9D9"/>
          </w:tcPr>
          <w:p>
            <w:pPr>
              <w:jc w:val="right"/>
              <w:ind w:right="75"/>
              <w:spacing w:after="0"/>
              <w:rPr>
                <w:sz w:val="20"/>
                <w:szCs w:val="20"/>
                <w:color w:val="auto"/>
              </w:rPr>
            </w:pPr>
            <w:r>
              <w:rPr>
                <w:rFonts w:ascii="Arial" w:cs="Arial" w:eastAsia="Arial" w:hAnsi="Arial"/>
                <w:sz w:val="9"/>
                <w:szCs w:val="9"/>
                <w:color w:val="auto"/>
              </w:rPr>
              <w:t>1,778</w:t>
            </w:r>
          </w:p>
        </w:tc>
        <w:tc>
          <w:tcPr>
            <w:tcW w:w="580" w:type="dxa"/>
            <w:vAlign w:val="bottom"/>
            <w:shd w:val="clear" w:color="auto" w:fill="D9D9D9"/>
          </w:tcPr>
          <w:p>
            <w:pPr>
              <w:jc w:val="right"/>
              <w:ind w:right="35"/>
              <w:spacing w:after="0"/>
              <w:rPr>
                <w:sz w:val="20"/>
                <w:szCs w:val="20"/>
                <w:color w:val="auto"/>
              </w:rPr>
            </w:pPr>
            <w:r>
              <w:rPr>
                <w:rFonts w:ascii="Arial" w:cs="Arial" w:eastAsia="Arial" w:hAnsi="Arial"/>
                <w:sz w:val="9"/>
                <w:szCs w:val="9"/>
                <w:color w:val="auto"/>
              </w:rPr>
              <w:t>7,113</w:t>
            </w:r>
          </w:p>
        </w:tc>
        <w:tc>
          <w:tcPr>
            <w:tcW w:w="660" w:type="dxa"/>
            <w:vAlign w:val="bottom"/>
            <w:shd w:val="clear" w:color="auto" w:fill="D9D9D9"/>
          </w:tcPr>
          <w:p>
            <w:pPr>
              <w:jc w:val="right"/>
              <w:ind w:right="75"/>
              <w:spacing w:after="0"/>
              <w:rPr>
                <w:sz w:val="20"/>
                <w:szCs w:val="20"/>
                <w:color w:val="auto"/>
              </w:rPr>
            </w:pPr>
            <w:r>
              <w:rPr>
                <w:rFonts w:ascii="Arial" w:cs="Arial" w:eastAsia="Arial" w:hAnsi="Arial"/>
                <w:sz w:val="9"/>
                <w:szCs w:val="9"/>
                <w:color w:val="auto"/>
              </w:rPr>
              <w:t>14,226</w:t>
            </w:r>
          </w:p>
        </w:tc>
        <w:tc>
          <w:tcPr>
            <w:tcW w:w="76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64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196,888</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840" w:type="dxa"/>
            <w:vAlign w:val="bottom"/>
            <w:shd w:val="clear" w:color="auto" w:fill="D9D9D9"/>
          </w:tcPr>
          <w:p>
            <w:pPr>
              <w:jc w:val="right"/>
              <w:ind w:right="215"/>
              <w:spacing w:after="0"/>
              <w:rPr>
                <w:sz w:val="20"/>
                <w:szCs w:val="20"/>
                <w:color w:val="auto"/>
              </w:rPr>
            </w:pPr>
            <w:r>
              <w:rPr>
                <w:rFonts w:ascii="Arial" w:cs="Arial" w:eastAsia="Arial" w:hAnsi="Arial"/>
                <w:sz w:val="9"/>
                <w:szCs w:val="9"/>
                <w:color w:val="auto"/>
              </w:rPr>
              <w:t>240,135</w:t>
            </w:r>
          </w:p>
        </w:tc>
      </w:tr>
      <w:tr>
        <w:trPr>
          <w:trHeight w:val="108"/>
        </w:trPr>
        <w:tc>
          <w:tcPr>
            <w:tcW w:w="1080" w:type="dxa"/>
            <w:vAlign w:val="bottom"/>
            <w:shd w:val="clear" w:color="auto" w:fill="D9D9D9"/>
          </w:tcPr>
          <w:p>
            <w:pPr>
              <w:spacing w:after="0"/>
              <w:rPr>
                <w:sz w:val="9"/>
                <w:szCs w:val="9"/>
                <w:color w:val="auto"/>
              </w:rPr>
            </w:pPr>
          </w:p>
        </w:tc>
        <w:tc>
          <w:tcPr>
            <w:tcW w:w="640" w:type="dxa"/>
            <w:vAlign w:val="bottom"/>
            <w:shd w:val="clear" w:color="auto" w:fill="D9D9D9"/>
          </w:tcPr>
          <w:p>
            <w:pPr>
              <w:jc w:val="center"/>
              <w:spacing w:after="0"/>
              <w:rPr>
                <w:sz w:val="20"/>
                <w:szCs w:val="20"/>
                <w:color w:val="auto"/>
              </w:rPr>
            </w:pPr>
            <w:r>
              <w:rPr>
                <w:rFonts w:ascii="Arial" w:cs="Arial" w:eastAsia="Arial" w:hAnsi="Arial"/>
                <w:sz w:val="9"/>
                <w:szCs w:val="9"/>
                <w:color w:val="auto"/>
                <w:w w:val="99"/>
              </w:rPr>
              <w:t>1/31/18</w:t>
            </w:r>
          </w:p>
        </w:tc>
        <w:tc>
          <w:tcPr>
            <w:tcW w:w="780" w:type="dxa"/>
            <w:vAlign w:val="bottom"/>
            <w:shd w:val="clear" w:color="auto" w:fill="D9D9D9"/>
          </w:tcPr>
          <w:p>
            <w:pPr>
              <w:jc w:val="center"/>
              <w:spacing w:after="0"/>
              <w:rPr>
                <w:sz w:val="20"/>
                <w:szCs w:val="20"/>
                <w:color w:val="auto"/>
              </w:rPr>
            </w:pPr>
            <w:r>
              <w:rPr>
                <w:rFonts w:ascii="Arial" w:cs="Arial" w:eastAsia="Arial" w:hAnsi="Arial"/>
                <w:sz w:val="9"/>
                <w:szCs w:val="9"/>
                <w:color w:val="auto"/>
                <w:w w:val="99"/>
              </w:rPr>
              <w:t>1/17/18</w:t>
            </w:r>
          </w:p>
        </w:tc>
        <w:tc>
          <w:tcPr>
            <w:tcW w:w="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72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RSU;</w:t>
            </w:r>
          </w:p>
        </w:tc>
        <w:tc>
          <w:tcPr>
            <w:tcW w:w="60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660" w:type="dxa"/>
            <w:vAlign w:val="bottom"/>
            <w:shd w:val="clear" w:color="auto" w:fill="D9D9D9"/>
          </w:tcPr>
          <w:p>
            <w:pPr>
              <w:spacing w:after="0"/>
              <w:rPr>
                <w:sz w:val="9"/>
                <w:szCs w:val="9"/>
                <w:color w:val="auto"/>
              </w:rPr>
            </w:pPr>
          </w:p>
        </w:tc>
        <w:tc>
          <w:tcPr>
            <w:tcW w:w="760" w:type="dxa"/>
            <w:vAlign w:val="bottom"/>
            <w:shd w:val="clear" w:color="auto" w:fill="D9D9D9"/>
          </w:tcPr>
          <w:p>
            <w:pPr>
              <w:spacing w:after="0"/>
              <w:rPr>
                <w:sz w:val="9"/>
                <w:szCs w:val="9"/>
                <w:color w:val="auto"/>
              </w:rPr>
            </w:pPr>
          </w:p>
        </w:tc>
        <w:tc>
          <w:tcPr>
            <w:tcW w:w="72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840" w:type="dxa"/>
            <w:vAlign w:val="bottom"/>
            <w:shd w:val="clear" w:color="auto" w:fill="D9D9D9"/>
          </w:tcPr>
          <w:p>
            <w:pPr>
              <w:spacing w:after="0"/>
              <w:rPr>
                <w:sz w:val="9"/>
                <w:szCs w:val="9"/>
                <w:color w:val="auto"/>
              </w:rPr>
            </w:pPr>
          </w:p>
        </w:tc>
      </w:tr>
      <w:tr>
        <w:trPr>
          <w:trHeight w:val="108"/>
        </w:trPr>
        <w:tc>
          <w:tcPr>
            <w:tcW w:w="10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78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8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14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72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SO</w:t>
            </w:r>
          </w:p>
        </w:tc>
        <w:tc>
          <w:tcPr>
            <w:tcW w:w="600" w:type="dxa"/>
            <w:vAlign w:val="bottom"/>
            <w:shd w:val="clear" w:color="auto" w:fill="D9D9D9"/>
          </w:tcPr>
          <w:p>
            <w:pPr>
              <w:spacing w:after="0"/>
              <w:rPr>
                <w:sz w:val="9"/>
                <w:szCs w:val="9"/>
                <w:color w:val="auto"/>
              </w:rPr>
            </w:pPr>
          </w:p>
        </w:tc>
        <w:tc>
          <w:tcPr>
            <w:tcW w:w="580" w:type="dxa"/>
            <w:vAlign w:val="bottom"/>
            <w:shd w:val="clear" w:color="auto" w:fill="D9D9D9"/>
          </w:tcPr>
          <w:p>
            <w:pPr>
              <w:spacing w:after="0"/>
              <w:rPr>
                <w:sz w:val="9"/>
                <w:szCs w:val="9"/>
                <w:color w:val="auto"/>
              </w:rPr>
            </w:pPr>
          </w:p>
        </w:tc>
        <w:tc>
          <w:tcPr>
            <w:tcW w:w="660" w:type="dxa"/>
            <w:vAlign w:val="bottom"/>
            <w:shd w:val="clear" w:color="auto" w:fill="D9D9D9"/>
          </w:tcPr>
          <w:p>
            <w:pPr>
              <w:spacing w:after="0"/>
              <w:rPr>
                <w:sz w:val="9"/>
                <w:szCs w:val="9"/>
                <w:color w:val="auto"/>
              </w:rPr>
            </w:pPr>
          </w:p>
        </w:tc>
        <w:tc>
          <w:tcPr>
            <w:tcW w:w="760" w:type="dxa"/>
            <w:vAlign w:val="bottom"/>
            <w:shd w:val="clear" w:color="auto" w:fill="D9D9D9"/>
          </w:tcPr>
          <w:p>
            <w:pPr>
              <w:jc w:val="right"/>
              <w:ind w:right="55"/>
              <w:spacing w:after="0"/>
              <w:rPr>
                <w:sz w:val="20"/>
                <w:szCs w:val="20"/>
                <w:color w:val="auto"/>
              </w:rPr>
            </w:pPr>
            <w:r>
              <w:rPr>
                <w:rFonts w:ascii="Arial" w:cs="Arial" w:eastAsia="Arial" w:hAnsi="Arial"/>
                <w:sz w:val="9"/>
                <w:szCs w:val="9"/>
                <w:color w:val="auto"/>
              </w:rPr>
              <w:t>23,564</w:t>
            </w:r>
          </w:p>
        </w:tc>
        <w:tc>
          <w:tcPr>
            <w:tcW w:w="72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68,528</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62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33.42</w:t>
            </w:r>
          </w:p>
        </w:tc>
        <w:tc>
          <w:tcPr>
            <w:tcW w:w="14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640" w:type="dxa"/>
            <w:vAlign w:val="bottom"/>
            <w:shd w:val="clear" w:color="auto" w:fill="D9D9D9"/>
          </w:tcPr>
          <w:p>
            <w:pPr>
              <w:jc w:val="right"/>
              <w:ind w:right="15"/>
              <w:spacing w:after="0"/>
              <w:rPr>
                <w:sz w:val="20"/>
                <w:szCs w:val="20"/>
                <w:color w:val="auto"/>
              </w:rPr>
            </w:pPr>
            <w:r>
              <w:rPr>
                <w:rFonts w:ascii="Arial" w:cs="Arial" w:eastAsia="Arial" w:hAnsi="Arial"/>
                <w:sz w:val="9"/>
                <w:szCs w:val="9"/>
                <w:color w:val="auto"/>
              </w:rPr>
              <w:t>1,462,510</w:t>
            </w:r>
          </w:p>
        </w:tc>
        <w:tc>
          <w:tcPr>
            <w:tcW w:w="160" w:type="dxa"/>
            <w:vAlign w:val="bottom"/>
            <w:shd w:val="clear" w:color="auto" w:fill="D9D9D9"/>
          </w:tcPr>
          <w:p>
            <w:pPr>
              <w:jc w:val="right"/>
              <w:spacing w:after="0"/>
              <w:rPr>
                <w:sz w:val="20"/>
                <w:szCs w:val="20"/>
                <w:color w:val="auto"/>
              </w:rPr>
            </w:pPr>
            <w:r>
              <w:rPr>
                <w:rFonts w:ascii="Arial" w:cs="Arial" w:eastAsia="Arial" w:hAnsi="Arial"/>
                <w:sz w:val="9"/>
                <w:szCs w:val="9"/>
                <w:color w:val="auto"/>
              </w:rPr>
              <w:t>$</w:t>
            </w:r>
          </w:p>
        </w:tc>
        <w:tc>
          <w:tcPr>
            <w:tcW w:w="840" w:type="dxa"/>
            <w:vAlign w:val="bottom"/>
            <w:shd w:val="clear" w:color="auto" w:fill="D9D9D9"/>
          </w:tcPr>
          <w:p>
            <w:pPr>
              <w:jc w:val="right"/>
              <w:ind w:right="215"/>
              <w:spacing w:after="0"/>
              <w:rPr>
                <w:sz w:val="20"/>
                <w:szCs w:val="20"/>
                <w:color w:val="auto"/>
              </w:rPr>
            </w:pPr>
            <w:r>
              <w:rPr>
                <w:rFonts w:ascii="Arial" w:cs="Arial" w:eastAsia="Arial" w:hAnsi="Arial"/>
                <w:sz w:val="9"/>
                <w:szCs w:val="9"/>
                <w:color w:val="auto"/>
              </w:rPr>
              <w:t>818,821</w:t>
            </w:r>
          </w:p>
        </w:tc>
      </w:tr>
      <w:tr>
        <w:trPr>
          <w:trHeight w:val="108"/>
        </w:trPr>
        <w:tc>
          <w:tcPr>
            <w:tcW w:w="1080" w:type="dxa"/>
            <w:vAlign w:val="bottom"/>
            <w:tcBorders>
              <w:bottom w:val="single" w:sz="8" w:color="auto"/>
            </w:tcBorders>
            <w:shd w:val="clear" w:color="auto" w:fill="D9D9D9"/>
          </w:tcPr>
          <w:p>
            <w:pPr>
              <w:spacing w:after="0"/>
              <w:rPr>
                <w:sz w:val="9"/>
                <w:szCs w:val="9"/>
                <w:color w:val="auto"/>
              </w:rPr>
            </w:pPr>
          </w:p>
        </w:tc>
        <w:tc>
          <w:tcPr>
            <w:tcW w:w="640" w:type="dxa"/>
            <w:vAlign w:val="bottom"/>
            <w:tcBorders>
              <w:bottom w:val="single" w:sz="8" w:color="auto"/>
            </w:tcBorders>
            <w:shd w:val="clear" w:color="auto" w:fill="D9D9D9"/>
          </w:tcPr>
          <w:p>
            <w:pPr>
              <w:spacing w:after="0"/>
              <w:rPr>
                <w:sz w:val="9"/>
                <w:szCs w:val="9"/>
                <w:color w:val="auto"/>
              </w:rPr>
            </w:pPr>
          </w:p>
        </w:tc>
        <w:tc>
          <w:tcPr>
            <w:tcW w:w="780" w:type="dxa"/>
            <w:vAlign w:val="bottom"/>
            <w:tcBorders>
              <w:bottom w:val="single" w:sz="8" w:color="auto"/>
            </w:tcBorders>
            <w:shd w:val="clear" w:color="auto" w:fill="D9D9D9"/>
          </w:tcPr>
          <w:p>
            <w:pPr>
              <w:spacing w:after="0"/>
              <w:rPr>
                <w:sz w:val="9"/>
                <w:szCs w:val="9"/>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9"/>
                <w:szCs w:val="9"/>
                <w:color w:val="auto"/>
              </w:rPr>
              <w:t>625,000</w:t>
            </w:r>
          </w:p>
        </w:tc>
        <w:tc>
          <w:tcPr>
            <w:tcW w:w="18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9"/>
                <w:szCs w:val="9"/>
                <w:color w:val="auto"/>
              </w:rPr>
              <w:t>2,500,000</w:t>
            </w:r>
          </w:p>
        </w:tc>
        <w:tc>
          <w:tcPr>
            <w:tcW w:w="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auto"/>
            </w:tcBorders>
            <w:shd w:val="clear" w:color="auto" w:fill="D9D9D9"/>
          </w:tcPr>
          <w:p>
            <w:pPr>
              <w:jc w:val="right"/>
              <w:ind w:right="75"/>
              <w:spacing w:after="0"/>
              <w:rPr>
                <w:sz w:val="20"/>
                <w:szCs w:val="20"/>
                <w:color w:val="auto"/>
              </w:rPr>
            </w:pPr>
            <w:r>
              <w:rPr>
                <w:rFonts w:ascii="Arial" w:cs="Arial" w:eastAsia="Arial" w:hAnsi="Arial"/>
                <w:sz w:val="9"/>
                <w:szCs w:val="9"/>
                <w:color w:val="auto"/>
              </w:rPr>
              <w:t>5,000,000</w:t>
            </w:r>
          </w:p>
        </w:tc>
        <w:tc>
          <w:tcPr>
            <w:tcW w:w="720" w:type="dxa"/>
            <w:vAlign w:val="bottom"/>
            <w:tcBorders>
              <w:bottom w:val="single" w:sz="8" w:color="auto"/>
            </w:tcBorders>
            <w:shd w:val="clear" w:color="auto" w:fill="D9D9D9"/>
          </w:tcPr>
          <w:p>
            <w:pPr>
              <w:spacing w:after="0"/>
              <w:rPr>
                <w:sz w:val="9"/>
                <w:szCs w:val="9"/>
                <w:color w:val="auto"/>
              </w:rPr>
            </w:pPr>
          </w:p>
        </w:tc>
        <w:tc>
          <w:tcPr>
            <w:tcW w:w="600" w:type="dxa"/>
            <w:vAlign w:val="bottom"/>
            <w:tcBorders>
              <w:bottom w:val="single" w:sz="8" w:color="auto"/>
            </w:tcBorders>
            <w:shd w:val="clear" w:color="auto" w:fill="D9D9D9"/>
          </w:tcPr>
          <w:p>
            <w:pPr>
              <w:spacing w:after="0"/>
              <w:rPr>
                <w:sz w:val="9"/>
                <w:szCs w:val="9"/>
                <w:color w:val="auto"/>
              </w:rPr>
            </w:pPr>
          </w:p>
        </w:tc>
        <w:tc>
          <w:tcPr>
            <w:tcW w:w="580" w:type="dxa"/>
            <w:vAlign w:val="bottom"/>
            <w:tcBorders>
              <w:bottom w:val="single" w:sz="8" w:color="auto"/>
            </w:tcBorders>
            <w:shd w:val="clear" w:color="auto" w:fill="D9D9D9"/>
          </w:tcPr>
          <w:p>
            <w:pPr>
              <w:spacing w:after="0"/>
              <w:rPr>
                <w:sz w:val="9"/>
                <w:szCs w:val="9"/>
                <w:color w:val="auto"/>
              </w:rPr>
            </w:pPr>
          </w:p>
        </w:tc>
        <w:tc>
          <w:tcPr>
            <w:tcW w:w="660" w:type="dxa"/>
            <w:vAlign w:val="bottom"/>
            <w:tcBorders>
              <w:bottom w:val="single" w:sz="8" w:color="auto"/>
            </w:tcBorders>
            <w:shd w:val="clear" w:color="auto" w:fill="D9D9D9"/>
          </w:tcPr>
          <w:p>
            <w:pPr>
              <w:spacing w:after="0"/>
              <w:rPr>
                <w:sz w:val="9"/>
                <w:szCs w:val="9"/>
                <w:color w:val="auto"/>
              </w:rPr>
            </w:pPr>
          </w:p>
        </w:tc>
        <w:tc>
          <w:tcPr>
            <w:tcW w:w="760" w:type="dxa"/>
            <w:vAlign w:val="bottom"/>
            <w:tcBorders>
              <w:bottom w:val="single" w:sz="8" w:color="auto"/>
            </w:tcBorders>
            <w:shd w:val="clear" w:color="auto" w:fill="D9D9D9"/>
          </w:tcPr>
          <w:p>
            <w:pPr>
              <w:spacing w:after="0"/>
              <w:rPr>
                <w:sz w:val="9"/>
                <w:szCs w:val="9"/>
                <w:color w:val="auto"/>
              </w:rPr>
            </w:pPr>
          </w:p>
        </w:tc>
        <w:tc>
          <w:tcPr>
            <w:tcW w:w="720" w:type="dxa"/>
            <w:vAlign w:val="bottom"/>
            <w:tcBorders>
              <w:bottom w:val="single" w:sz="8" w:color="auto"/>
            </w:tcBorders>
            <w:shd w:val="clear" w:color="auto" w:fill="D9D9D9"/>
          </w:tcPr>
          <w:p>
            <w:pPr>
              <w:spacing w:after="0"/>
              <w:rPr>
                <w:sz w:val="9"/>
                <w:szCs w:val="9"/>
                <w:color w:val="auto"/>
              </w:rPr>
            </w:pPr>
          </w:p>
        </w:tc>
        <w:tc>
          <w:tcPr>
            <w:tcW w:w="160" w:type="dxa"/>
            <w:vAlign w:val="bottom"/>
            <w:tcBorders>
              <w:bottom w:val="single" w:sz="8" w:color="auto"/>
            </w:tcBorders>
            <w:shd w:val="clear" w:color="auto" w:fill="D9D9D9"/>
          </w:tcPr>
          <w:p>
            <w:pPr>
              <w:spacing w:after="0"/>
              <w:rPr>
                <w:sz w:val="9"/>
                <w:szCs w:val="9"/>
                <w:color w:val="auto"/>
              </w:rPr>
            </w:pPr>
          </w:p>
        </w:tc>
        <w:tc>
          <w:tcPr>
            <w:tcW w:w="620" w:type="dxa"/>
            <w:vAlign w:val="bottom"/>
            <w:tcBorders>
              <w:bottom w:val="single" w:sz="8" w:color="auto"/>
            </w:tcBorders>
            <w:shd w:val="clear" w:color="auto" w:fill="D9D9D9"/>
          </w:tcPr>
          <w:p>
            <w:pPr>
              <w:spacing w:after="0"/>
              <w:rPr>
                <w:sz w:val="9"/>
                <w:szCs w:val="9"/>
                <w:color w:val="auto"/>
              </w:rPr>
            </w:pPr>
          </w:p>
        </w:tc>
        <w:tc>
          <w:tcPr>
            <w:tcW w:w="140" w:type="dxa"/>
            <w:vAlign w:val="bottom"/>
            <w:tcBorders>
              <w:bottom w:val="single" w:sz="8" w:color="auto"/>
            </w:tcBorders>
            <w:shd w:val="clear" w:color="auto" w:fill="D9D9D9"/>
          </w:tcPr>
          <w:p>
            <w:pPr>
              <w:spacing w:after="0"/>
              <w:rPr>
                <w:sz w:val="9"/>
                <w:szCs w:val="9"/>
                <w:color w:val="auto"/>
              </w:rPr>
            </w:pPr>
          </w:p>
        </w:tc>
        <w:tc>
          <w:tcPr>
            <w:tcW w:w="640" w:type="dxa"/>
            <w:vAlign w:val="bottom"/>
            <w:tcBorders>
              <w:bottom w:val="single" w:sz="8" w:color="auto"/>
            </w:tcBorders>
            <w:shd w:val="clear" w:color="auto" w:fill="D9D9D9"/>
          </w:tcPr>
          <w:p>
            <w:pPr>
              <w:spacing w:after="0"/>
              <w:rPr>
                <w:sz w:val="9"/>
                <w:szCs w:val="9"/>
                <w:color w:val="auto"/>
              </w:rPr>
            </w:pPr>
          </w:p>
        </w:tc>
        <w:tc>
          <w:tcPr>
            <w:tcW w:w="160" w:type="dxa"/>
            <w:vAlign w:val="bottom"/>
            <w:tcBorders>
              <w:bottom w:val="single" w:sz="8" w:color="auto"/>
            </w:tcBorders>
            <w:shd w:val="clear" w:color="auto" w:fill="D9D9D9"/>
          </w:tcPr>
          <w:p>
            <w:pPr>
              <w:spacing w:after="0"/>
              <w:rPr>
                <w:sz w:val="9"/>
                <w:szCs w:val="9"/>
                <w:color w:val="auto"/>
              </w:rPr>
            </w:pPr>
          </w:p>
        </w:tc>
        <w:tc>
          <w:tcPr>
            <w:tcW w:w="840" w:type="dxa"/>
            <w:vAlign w:val="bottom"/>
            <w:tcBorders>
              <w:bottom w:val="single" w:sz="8" w:color="auto"/>
            </w:tcBorders>
            <w:shd w:val="clear" w:color="auto" w:fill="D9D9D9"/>
          </w:tcPr>
          <w:p>
            <w:pPr>
              <w:spacing w:after="0"/>
              <w:rPr>
                <w:sz w:val="9"/>
                <w:szCs w:val="9"/>
                <w:color w:val="auto"/>
              </w:rPr>
            </w:pPr>
          </w:p>
        </w:tc>
      </w:tr>
    </w:tbl>
    <w:p>
      <w:pPr>
        <w:spacing w:after="0" w:line="147" w:lineRule="exact"/>
        <w:rPr>
          <w:sz w:val="20"/>
          <w:szCs w:val="20"/>
          <w:color w:val="auto"/>
        </w:rPr>
      </w:pPr>
    </w:p>
    <w:p>
      <w:pPr>
        <w:ind w:left="440" w:hanging="432"/>
        <w:spacing w:after="0"/>
        <w:tabs>
          <w:tab w:leader="none" w:pos="440" w:val="left"/>
        </w:tabs>
        <w:numPr>
          <w:ilvl w:val="0"/>
          <w:numId w:val="78"/>
        </w:numPr>
        <w:rPr>
          <w:rFonts w:ascii="Arial" w:cs="Arial" w:eastAsia="Arial" w:hAnsi="Arial"/>
          <w:sz w:val="11"/>
          <w:szCs w:val="11"/>
          <w:i w:val="1"/>
          <w:iCs w:val="1"/>
          <w:color w:val="auto"/>
        </w:rPr>
      </w:pPr>
      <w:r>
        <w:rPr>
          <w:rFonts w:ascii="Arial" w:cs="Arial" w:eastAsia="Arial" w:hAnsi="Arial"/>
          <w:sz w:val="14"/>
          <w:szCs w:val="14"/>
          <w:i w:val="1"/>
          <w:iCs w:val="1"/>
          <w:color w:val="auto"/>
        </w:rPr>
        <w:t>Date of Compensation Committee approval of awards.</w:t>
      </w:r>
    </w:p>
    <w:p>
      <w:pPr>
        <w:spacing w:after="0" w:line="1" w:lineRule="exact"/>
        <w:rPr>
          <w:rFonts w:ascii="Arial" w:cs="Arial" w:eastAsia="Arial" w:hAnsi="Arial"/>
          <w:sz w:val="11"/>
          <w:szCs w:val="11"/>
          <w:i w:val="1"/>
          <w:iCs w:val="1"/>
          <w:color w:val="auto"/>
        </w:rPr>
      </w:pPr>
    </w:p>
    <w:p>
      <w:pPr>
        <w:ind w:left="440" w:right="40" w:hanging="432"/>
        <w:spacing w:after="0" w:line="221" w:lineRule="auto"/>
        <w:tabs>
          <w:tab w:leader="none" w:pos="440" w:val="left"/>
        </w:tabs>
        <w:numPr>
          <w:ilvl w:val="0"/>
          <w:numId w:val="78"/>
        </w:numPr>
        <w:rPr>
          <w:rFonts w:ascii="Arial" w:cs="Arial" w:eastAsia="Arial" w:hAnsi="Arial"/>
          <w:sz w:val="11"/>
          <w:szCs w:val="11"/>
          <w:i w:val="1"/>
          <w:iCs w:val="1"/>
          <w:color w:val="auto"/>
        </w:rPr>
      </w:pPr>
      <w:r>
        <w:rPr>
          <w:rFonts w:ascii="Arial" w:cs="Arial" w:eastAsia="Arial" w:hAnsi="Arial"/>
          <w:sz w:val="14"/>
          <w:szCs w:val="14"/>
          <w:i w:val="1"/>
          <w:iCs w:val="1"/>
          <w:color w:val="auto"/>
        </w:rPr>
        <w:t>Threshold amount is equal to 25% of the target award, which is the minimum amount that could be paid if any bonus amount were earned. Performance below the 25% threshold earns a bonus amount of $0.</w:t>
      </w:r>
    </w:p>
    <w:p>
      <w:pPr>
        <w:jc w:val="both"/>
        <w:ind w:left="440" w:right="20" w:hanging="432"/>
        <w:spacing w:after="0" w:line="221" w:lineRule="auto"/>
        <w:tabs>
          <w:tab w:leader="none" w:pos="440" w:val="left"/>
        </w:tabs>
        <w:numPr>
          <w:ilvl w:val="0"/>
          <w:numId w:val="78"/>
        </w:numPr>
        <w:rPr>
          <w:rFonts w:ascii="Arial" w:cs="Arial" w:eastAsia="Arial" w:hAnsi="Arial"/>
          <w:sz w:val="11"/>
          <w:szCs w:val="11"/>
          <w:i w:val="1"/>
          <w:iCs w:val="1"/>
          <w:color w:val="auto"/>
        </w:rPr>
      </w:pPr>
      <w:r>
        <w:rPr>
          <w:rFonts w:ascii="Arial" w:cs="Arial" w:eastAsia="Arial" w:hAnsi="Arial"/>
          <w:sz w:val="14"/>
          <w:szCs w:val="14"/>
          <w:i w:val="1"/>
          <w:iCs w:val="1"/>
          <w:color w:val="auto"/>
        </w:rPr>
        <w:t>For PSUs, the threshold amount is equal to 25% of the target award, which is the minimum amount that will be paid if the market condition for the PSU awards is met, and the maximum award is 200% of the target award. The target number of PSUs was determined by dividing the target value of the award by, for the TSR shares, the grant date fair value on November 20, 2017 (the date of grant) and, for the EPS shares, the fair market value (the closing price of the Class B common stock) on the date of grant.</w:t>
      </w:r>
    </w:p>
    <w:p>
      <w:pPr>
        <w:ind w:left="440" w:right="20" w:hanging="432"/>
        <w:spacing w:after="0" w:line="221" w:lineRule="auto"/>
        <w:tabs>
          <w:tab w:leader="none" w:pos="440" w:val="left"/>
        </w:tabs>
        <w:numPr>
          <w:ilvl w:val="0"/>
          <w:numId w:val="78"/>
        </w:numPr>
        <w:rPr>
          <w:rFonts w:ascii="Arial" w:cs="Arial" w:eastAsia="Arial" w:hAnsi="Arial"/>
          <w:sz w:val="11"/>
          <w:szCs w:val="11"/>
          <w:i w:val="1"/>
          <w:iCs w:val="1"/>
          <w:color w:val="auto"/>
        </w:rPr>
      </w:pPr>
      <w:r>
        <w:rPr>
          <w:rFonts w:ascii="Arial" w:cs="Arial" w:eastAsia="Arial" w:hAnsi="Arial"/>
          <w:sz w:val="14"/>
          <w:szCs w:val="14"/>
          <w:i w:val="1"/>
          <w:iCs w:val="1"/>
          <w:color w:val="auto"/>
        </w:rPr>
        <w:t>The number of RSUs granted is determined by dividing the target value of the award by the closing market price of our Class B common stock on the date of grant. The number of stock options granted is determined using the Black-Scholes valuation method on the date of grant.</w:t>
      </w:r>
    </w:p>
    <w:p>
      <w:pPr>
        <w:jc w:val="both"/>
        <w:ind w:left="440" w:right="20" w:hanging="432"/>
        <w:spacing w:after="0" w:line="221" w:lineRule="auto"/>
        <w:tabs>
          <w:tab w:leader="none" w:pos="440" w:val="left"/>
        </w:tabs>
        <w:numPr>
          <w:ilvl w:val="0"/>
          <w:numId w:val="78"/>
        </w:numPr>
        <w:rPr>
          <w:rFonts w:ascii="Arial" w:cs="Arial" w:eastAsia="Arial" w:hAnsi="Arial"/>
          <w:sz w:val="11"/>
          <w:szCs w:val="11"/>
          <w:i w:val="1"/>
          <w:iCs w:val="1"/>
          <w:color w:val="auto"/>
        </w:rPr>
      </w:pPr>
      <w:r>
        <w:rPr>
          <w:rFonts w:ascii="Arial" w:cs="Arial" w:eastAsia="Arial" w:hAnsi="Arial"/>
          <w:sz w:val="14"/>
          <w:szCs w:val="14"/>
          <w:i w:val="1"/>
          <w:iCs w:val="1"/>
          <w:color w:val="auto"/>
        </w:rPr>
        <w:t>Grant date fair value assumptions are consistent with those disclosed in the Equity-Based Compensation Note to our Consolidated Financial Statements in our Annual Report on Form 10-K for fiscal year 2018. For PSUs, the grant date fair value takes into consideration the performance and/or market conditions applicable to the grant, and makes certain assumptions about the performance of our stock and that of the companies in the reference group for PSUs over the measurement period. Factors such as market volatility and/or possibility of a payout above target can cause dramatic changes in the accounting expense for PSUs. Accordingly, the expense shown in this column may be significantly higher than the value of the awards determined in accordance with the respective NEO employment agreements.</w:t>
      </w:r>
    </w:p>
    <w:p>
      <w:pPr>
        <w:spacing w:after="0" w:line="1" w:lineRule="exact"/>
        <w:rPr>
          <w:rFonts w:ascii="Arial" w:cs="Arial" w:eastAsia="Arial" w:hAnsi="Arial"/>
          <w:sz w:val="11"/>
          <w:szCs w:val="11"/>
          <w:i w:val="1"/>
          <w:iCs w:val="1"/>
          <w:color w:val="auto"/>
        </w:rPr>
      </w:pPr>
    </w:p>
    <w:p>
      <w:pPr>
        <w:jc w:val="both"/>
        <w:ind w:left="440" w:right="20" w:hanging="432"/>
        <w:spacing w:after="0" w:line="221" w:lineRule="auto"/>
        <w:tabs>
          <w:tab w:leader="none" w:pos="440" w:val="left"/>
        </w:tabs>
        <w:numPr>
          <w:ilvl w:val="0"/>
          <w:numId w:val="78"/>
        </w:numPr>
        <w:rPr>
          <w:rFonts w:ascii="Arial" w:cs="Arial" w:eastAsia="Arial" w:hAnsi="Arial"/>
          <w:sz w:val="11"/>
          <w:szCs w:val="11"/>
          <w:i w:val="1"/>
          <w:iCs w:val="1"/>
          <w:color w:val="auto"/>
        </w:rPr>
      </w:pPr>
      <w:r>
        <w:rPr>
          <w:rFonts w:ascii="Arial" w:cs="Arial" w:eastAsia="Arial" w:hAnsi="Arial"/>
          <w:sz w:val="14"/>
          <w:szCs w:val="14"/>
          <w:i w:val="1"/>
          <w:iCs w:val="1"/>
          <w:color w:val="auto"/>
        </w:rPr>
        <w:t>We believe it is relevant for investors’ understanding of our NEOs’ compensation to present the current value of the awards compared to the grant date fair value, which is the total accounting expense for the fiscal year 2018 awards that we will recognize over a period of years. This information is for illustrative purposes to demonstrate the compensation the executive might realize from the awards if they were vested and settled or, for stock options, vested and exercised, using our Class B common stock price of $33.76 as of September 30, 2018. The actual market value of the awards fluctuates daily with the price of our stock. In addition, our stock options and RSUs vest over a period of four years and our PSUs have measurement periods of three years; therefore, it is impossible to predict what their actual value will be upon vest.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39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53</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following table presents information on the outstanding equity awards, including which portions were vested or unvested, held by our NEOs as of September 30, 2018. Market value amounts are based on the closing price of our Class B common stock of $33.76 on September 30, 2018.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ind w:left="860"/>
              <w:spacing w:after="0"/>
              <w:rPr>
                <w:sz w:val="20"/>
                <w:szCs w:val="20"/>
                <w:color w:val="auto"/>
              </w:rPr>
            </w:pPr>
            <w:r>
              <w:rPr>
                <w:rFonts w:ascii="Arial" w:cs="Arial" w:eastAsia="Arial" w:hAnsi="Arial"/>
                <w:sz w:val="11"/>
                <w:szCs w:val="11"/>
                <w:b w:val="1"/>
                <w:bCs w:val="1"/>
                <w:color w:val="auto"/>
                <w:w w:val="99"/>
              </w:rPr>
              <w:t>Option Awards</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3"/>
          </w:tcPr>
          <w:p>
            <w:pPr>
              <w:jc w:val="right"/>
              <w:ind w:right="766"/>
              <w:spacing w:after="0"/>
              <w:rPr>
                <w:sz w:val="20"/>
                <w:szCs w:val="20"/>
                <w:color w:val="auto"/>
              </w:rPr>
            </w:pPr>
            <w:r>
              <w:rPr>
                <w:rFonts w:ascii="Arial" w:cs="Arial" w:eastAsia="Arial" w:hAnsi="Arial"/>
                <w:sz w:val="11"/>
                <w:szCs w:val="11"/>
                <w:b w:val="1"/>
                <w:bCs w:val="1"/>
                <w:color w:val="auto"/>
              </w:rPr>
              <w:t>Stock Awards</w:t>
            </w: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3"/>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center"/>
              <w:ind w:right="86"/>
              <w:spacing w:after="0" w:line="114" w:lineRule="exact"/>
              <w:rPr>
                <w:sz w:val="20"/>
                <w:szCs w:val="20"/>
                <w:color w:val="auto"/>
              </w:rPr>
            </w:pPr>
            <w:r>
              <w:rPr>
                <w:rFonts w:ascii="Arial" w:cs="Arial" w:eastAsia="Arial" w:hAnsi="Arial"/>
                <w:sz w:val="11"/>
                <w:szCs w:val="11"/>
                <w:b w:val="1"/>
                <w:bCs w:val="1"/>
                <w:color w:val="auto"/>
              </w:rPr>
              <w:t>Equity</w:t>
            </w:r>
          </w:p>
        </w:tc>
        <w:tc>
          <w:tcPr>
            <w:tcW w:w="20" w:type="dxa"/>
            <w:vAlign w:val="bottom"/>
          </w:tcPr>
          <w:p>
            <w:pPr>
              <w:spacing w:after="0"/>
              <w:rPr>
                <w:sz w:val="9"/>
                <w:szCs w:val="9"/>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Equity</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6"/>
              </w:rPr>
              <w:t>Incentive</w:t>
            </w:r>
          </w:p>
        </w:tc>
        <w:tc>
          <w:tcPr>
            <w:tcW w:w="20" w:type="dxa"/>
            <w:vAlign w:val="bottom"/>
          </w:tcPr>
          <w:p>
            <w:pPr>
              <w:spacing w:after="0"/>
              <w:rPr>
                <w:sz w:val="10"/>
                <w:szCs w:val="10"/>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6"/>
              </w:rPr>
              <w:t>Incentive</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center"/>
              <w:ind w:right="6"/>
              <w:spacing w:after="0" w:line="122" w:lineRule="exact"/>
              <w:rPr>
                <w:sz w:val="20"/>
                <w:szCs w:val="20"/>
                <w:color w:val="auto"/>
              </w:rPr>
            </w:pPr>
            <w:r>
              <w:rPr>
                <w:rFonts w:ascii="Arial" w:cs="Arial" w:eastAsia="Arial" w:hAnsi="Arial"/>
                <w:sz w:val="11"/>
                <w:szCs w:val="11"/>
                <w:b w:val="1"/>
                <w:bCs w:val="1"/>
                <w:color w:val="auto"/>
                <w:w w:val="97"/>
              </w:rPr>
              <w:t>Plan Awards:</w:t>
            </w:r>
          </w:p>
        </w:tc>
        <w:tc>
          <w:tcPr>
            <w:tcW w:w="20" w:type="dxa"/>
            <w:vAlign w:val="bottom"/>
          </w:tcPr>
          <w:p>
            <w:pPr>
              <w:spacing w:after="0"/>
              <w:rPr>
                <w:sz w:val="10"/>
                <w:szCs w:val="10"/>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Plan Awards:</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6"/>
              </w:rPr>
              <w:t>Market or</w:t>
            </w:r>
          </w:p>
        </w:tc>
        <w:tc>
          <w:tcPr>
            <w:tcW w:w="20" w:type="dxa"/>
            <w:vAlign w:val="bottom"/>
          </w:tcPr>
          <w:p>
            <w:pPr>
              <w:spacing w:after="0"/>
              <w:rPr>
                <w:sz w:val="10"/>
                <w:szCs w:val="10"/>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5"/>
              </w:rPr>
              <w:t>Market</w:t>
            </w:r>
          </w:p>
        </w:tc>
        <w:tc>
          <w:tcPr>
            <w:tcW w:w="12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Number of</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Payout Value</w:t>
            </w:r>
          </w:p>
        </w:tc>
        <w:tc>
          <w:tcPr>
            <w:tcW w:w="20" w:type="dxa"/>
            <w:vAlign w:val="bottom"/>
          </w:tcPr>
          <w:p>
            <w:pPr>
              <w:spacing w:after="0"/>
              <w:rPr>
                <w:sz w:val="10"/>
                <w:szCs w:val="10"/>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9"/>
              </w:rPr>
              <w:t>of Shares</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8"/>
              </w:rPr>
              <w:t>Value of</w:t>
            </w:r>
          </w:p>
        </w:tc>
        <w:tc>
          <w:tcPr>
            <w:tcW w:w="12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Unearned</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6"/>
              </w:rPr>
              <w:t>of Unearned</w:t>
            </w:r>
          </w:p>
        </w:tc>
        <w:tc>
          <w:tcPr>
            <w:tcW w:w="20" w:type="dxa"/>
            <w:vAlign w:val="bottom"/>
          </w:tcPr>
          <w:p>
            <w:pPr>
              <w:spacing w:after="0"/>
              <w:rPr>
                <w:sz w:val="10"/>
                <w:szCs w:val="10"/>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or Units</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8"/>
              </w:rPr>
              <w:t>Shares or</w:t>
            </w:r>
          </w:p>
        </w:tc>
        <w:tc>
          <w:tcPr>
            <w:tcW w:w="12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5"/>
              </w:rPr>
              <w:t>Shares,</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5"/>
              </w:rPr>
              <w:t>Shares,</w:t>
            </w:r>
          </w:p>
        </w:tc>
        <w:tc>
          <w:tcPr>
            <w:tcW w:w="20" w:type="dxa"/>
            <w:vAlign w:val="bottom"/>
          </w:tcPr>
          <w:p>
            <w:pPr>
              <w:spacing w:after="0"/>
              <w:rPr>
                <w:sz w:val="10"/>
                <w:szCs w:val="10"/>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6"/>
              </w:rPr>
              <w:t>of Stock</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7"/>
              </w:rPr>
              <w:t>Units of</w:t>
            </w:r>
          </w:p>
        </w:tc>
        <w:tc>
          <w:tcPr>
            <w:tcW w:w="12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Units or</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6"/>
              </w:rPr>
              <w:t>Units or</w:t>
            </w:r>
          </w:p>
        </w:tc>
        <w:tc>
          <w:tcPr>
            <w:tcW w:w="20" w:type="dxa"/>
            <w:vAlign w:val="bottom"/>
          </w:tcPr>
          <w:p>
            <w:pPr>
              <w:spacing w:after="0"/>
              <w:rPr>
                <w:sz w:val="10"/>
                <w:szCs w:val="10"/>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rPr>
              <w:t>Option</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rPr>
              <w:t>Option</w:t>
            </w: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4"/>
              </w:rPr>
              <w:t>That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5"/>
              </w:rPr>
              <w:t>Stock That</w:t>
            </w:r>
          </w:p>
        </w:tc>
        <w:tc>
          <w:tcPr>
            <w:tcW w:w="12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Other Rights</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center"/>
              <w:ind w:right="26"/>
              <w:spacing w:after="0" w:line="122" w:lineRule="exact"/>
              <w:rPr>
                <w:sz w:val="20"/>
                <w:szCs w:val="20"/>
                <w:color w:val="auto"/>
              </w:rPr>
            </w:pPr>
            <w:r>
              <w:rPr>
                <w:rFonts w:ascii="Arial" w:cs="Arial" w:eastAsia="Arial" w:hAnsi="Arial"/>
                <w:sz w:val="11"/>
                <w:szCs w:val="11"/>
                <w:b w:val="1"/>
                <w:bCs w:val="1"/>
                <w:color w:val="auto"/>
                <w:w w:val="98"/>
              </w:rPr>
              <w:t>Other Rights</w:t>
            </w:r>
          </w:p>
        </w:tc>
        <w:tc>
          <w:tcPr>
            <w:tcW w:w="20" w:type="dxa"/>
            <w:vAlign w:val="bottom"/>
          </w:tcPr>
          <w:p>
            <w:pPr>
              <w:spacing w:after="0"/>
              <w:rPr>
                <w:sz w:val="10"/>
                <w:szCs w:val="10"/>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Award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8"/>
              </w:rPr>
              <w:t>Number of Securities Underlying</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7"/>
              </w:rPr>
              <w:t>Exercise</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6"/>
              </w:rPr>
              <w:t>Expiration</w:t>
            </w: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6"/>
              </w:rPr>
              <w:t>Have Not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6"/>
              </w:rPr>
              <w:t>Have Not</w:t>
            </w:r>
          </w:p>
        </w:tc>
        <w:tc>
          <w:tcPr>
            <w:tcW w:w="12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5"/>
              </w:rPr>
              <w:t>That Have</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8"/>
              </w:rPr>
              <w:t>That Have</w:t>
            </w:r>
          </w:p>
        </w:tc>
        <w:tc>
          <w:tcPr>
            <w:tcW w:w="20" w:type="dxa"/>
            <w:vAlign w:val="bottom"/>
          </w:tcPr>
          <w:p>
            <w:pPr>
              <w:spacing w:after="0"/>
              <w:rPr>
                <w:sz w:val="10"/>
                <w:szCs w:val="10"/>
                <w:color w:val="auto"/>
              </w:rPr>
            </w:pPr>
          </w:p>
        </w:tc>
      </w:tr>
      <w:tr>
        <w:trPr>
          <w:trHeight w:val="137"/>
        </w:trPr>
        <w:tc>
          <w:tcPr>
            <w:tcW w:w="1500" w:type="dxa"/>
            <w:vAlign w:val="bottom"/>
            <w:gridSpan w:val="2"/>
          </w:tcPr>
          <w:p>
            <w:pPr>
              <w:ind w:left="540"/>
              <w:spacing w:after="0"/>
              <w:rPr>
                <w:sz w:val="20"/>
                <w:szCs w:val="20"/>
                <w:color w:val="auto"/>
              </w:rPr>
            </w:pPr>
            <w:r>
              <w:rPr>
                <w:rFonts w:ascii="Arial" w:cs="Arial" w:eastAsia="Arial" w:hAnsi="Arial"/>
                <w:sz w:val="11"/>
                <w:szCs w:val="11"/>
                <w:b w:val="1"/>
                <w:bCs w:val="1"/>
                <w:color w:val="auto"/>
              </w:rPr>
              <w:t>Name</w:t>
            </w: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Unexercised Options (#)</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Price ($)</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Date</w:t>
            </w:r>
          </w:p>
        </w:tc>
        <w:tc>
          <w:tcPr>
            <w:tcW w:w="880" w:type="dxa"/>
            <w:vAlign w:val="bottom"/>
          </w:tcPr>
          <w:p>
            <w:pPr>
              <w:jc w:val="center"/>
              <w:ind w:right="6"/>
              <w:spacing w:after="0"/>
              <w:rPr>
                <w:sz w:val="20"/>
                <w:szCs w:val="20"/>
                <w:color w:val="auto"/>
              </w:rPr>
            </w:pPr>
            <w:r>
              <w:rPr>
                <w:rFonts w:ascii="Arial" w:cs="Arial" w:eastAsia="Arial" w:hAnsi="Arial"/>
                <w:sz w:val="11"/>
                <w:szCs w:val="11"/>
                <w:b w:val="1"/>
                <w:bCs w:val="1"/>
                <w:color w:val="auto"/>
                <w:w w:val="95"/>
              </w:rPr>
              <w:t>Vested (#)</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Vested ($)</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7"/>
              </w:rPr>
              <w:t>Not Vested (#)</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center"/>
              <w:ind w:right="6"/>
              <w:spacing w:after="0"/>
              <w:rPr>
                <w:sz w:val="20"/>
                <w:szCs w:val="20"/>
                <w:color w:val="auto"/>
              </w:rPr>
            </w:pPr>
            <w:r>
              <w:rPr>
                <w:rFonts w:ascii="Arial" w:cs="Arial" w:eastAsia="Arial" w:hAnsi="Arial"/>
                <w:sz w:val="11"/>
                <w:szCs w:val="11"/>
                <w:b w:val="1"/>
                <w:bCs w:val="1"/>
                <w:color w:val="auto"/>
                <w:w w:val="97"/>
              </w:rPr>
              <w:t>Not Vested ($)</w:t>
            </w:r>
          </w:p>
        </w:tc>
        <w:tc>
          <w:tcPr>
            <w:tcW w:w="20" w:type="dxa"/>
            <w:vAlign w:val="bottom"/>
          </w:tcPr>
          <w:p>
            <w:pPr>
              <w:spacing w:after="0"/>
              <w:rPr>
                <w:sz w:val="11"/>
                <w:szCs w:val="11"/>
                <w:color w:val="auto"/>
              </w:rPr>
            </w:pPr>
          </w:p>
        </w:tc>
      </w:tr>
      <w:tr>
        <w:trPr>
          <w:trHeight w:val="174"/>
        </w:trPr>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Excercisable</w:t>
            </w:r>
          </w:p>
        </w:tc>
        <w:tc>
          <w:tcPr>
            <w:tcW w:w="126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Unexercisable</w:t>
            </w: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6"/>
        </w:trPr>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29"/>
        </w:trPr>
        <w:tc>
          <w:tcPr>
            <w:tcW w:w="1380" w:type="dxa"/>
            <w:vAlign w:val="bottom"/>
            <w:shd w:val="clear" w:color="auto" w:fill="D9D9D9"/>
          </w:tcPr>
          <w:p>
            <w:pPr>
              <w:spacing w:after="0"/>
              <w:rPr>
                <w:sz w:val="20"/>
                <w:szCs w:val="20"/>
                <w:color w:val="auto"/>
              </w:rPr>
            </w:pPr>
            <w:r>
              <w:rPr>
                <w:rFonts w:ascii="Arial" w:cs="Arial" w:eastAsia="Arial" w:hAnsi="Arial"/>
                <w:sz w:val="11"/>
                <w:szCs w:val="11"/>
                <w:color w:val="auto"/>
              </w:rPr>
              <w:t>Robert M. Bakish</w:t>
            </w: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spacing w:after="0"/>
              <w:rPr>
                <w:sz w:val="11"/>
                <w:szCs w:val="11"/>
                <w:color w:val="auto"/>
              </w:rPr>
            </w:pP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05/25/11</w:t>
            </w:r>
          </w:p>
        </w:tc>
        <w:tc>
          <w:tcPr>
            <w:tcW w:w="104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69,930</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49.9500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05/25/19</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05/23/12</w:t>
            </w:r>
          </w:p>
        </w:tc>
        <w:tc>
          <w:tcPr>
            <w:tcW w:w="104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79,051</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47.2100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05/23/20</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05/22/13</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61,444</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69.5600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05/22/21</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05/21/14</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48,309</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84.4600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05/21/22</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05/20/15</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54,894</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18,299</w:t>
            </w:r>
          </w:p>
        </w:tc>
        <w:tc>
          <w:tcPr>
            <w:tcW w:w="400" w:type="dxa"/>
            <w:vAlign w:val="bottom"/>
            <w:shd w:val="clear" w:color="auto" w:fill="D9D9D9"/>
          </w:tcPr>
          <w:p>
            <w:pPr>
              <w:ind w:left="180"/>
              <w:spacing w:after="0"/>
              <w:rPr>
                <w:sz w:val="20"/>
                <w:szCs w:val="20"/>
                <w:color w:val="auto"/>
              </w:rPr>
            </w:pPr>
            <w:r>
              <w:rPr>
                <w:rFonts w:ascii="Arial" w:cs="Arial" w:eastAsia="Arial" w:hAnsi="Arial"/>
                <w:sz w:val="9"/>
                <w:szCs w:val="9"/>
                <w:color w:val="auto"/>
              </w:rPr>
              <w:t>(1)</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65.9200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05/20/23</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05/18/16</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52,023</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52,023</w:t>
            </w:r>
          </w:p>
        </w:tc>
        <w:tc>
          <w:tcPr>
            <w:tcW w:w="400" w:type="dxa"/>
            <w:vAlign w:val="bottom"/>
            <w:shd w:val="clear" w:color="auto" w:fill="D9D9D9"/>
          </w:tcPr>
          <w:p>
            <w:pPr>
              <w:ind w:left="180"/>
              <w:spacing w:after="0"/>
              <w:rPr>
                <w:sz w:val="20"/>
                <w:szCs w:val="20"/>
                <w:color w:val="auto"/>
              </w:rPr>
            </w:pPr>
            <w:r>
              <w:rPr>
                <w:rFonts w:ascii="Arial" w:cs="Arial" w:eastAsia="Arial" w:hAnsi="Arial"/>
                <w:sz w:val="9"/>
                <w:szCs w:val="9"/>
                <w:color w:val="auto"/>
              </w:rPr>
              <w:t>(2)</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38.8600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05/18/24</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11/10/16</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32,083</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96,249</w:t>
            </w:r>
          </w:p>
        </w:tc>
        <w:tc>
          <w:tcPr>
            <w:tcW w:w="400" w:type="dxa"/>
            <w:vAlign w:val="bottom"/>
            <w:shd w:val="clear" w:color="auto" w:fill="D9D9D9"/>
          </w:tcPr>
          <w:p>
            <w:pPr>
              <w:ind w:left="180"/>
              <w:spacing w:after="0"/>
              <w:rPr>
                <w:sz w:val="20"/>
                <w:szCs w:val="20"/>
                <w:color w:val="auto"/>
              </w:rPr>
            </w:pPr>
            <w:r>
              <w:rPr>
                <w:rFonts w:ascii="Arial" w:cs="Arial" w:eastAsia="Arial" w:hAnsi="Arial"/>
                <w:sz w:val="9"/>
                <w:szCs w:val="9"/>
                <w:color w:val="auto"/>
              </w:rPr>
              <w:t>(3)</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38.0100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11/10/24</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01/09/17</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84,375</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253,125</w:t>
            </w:r>
          </w:p>
        </w:tc>
        <w:tc>
          <w:tcPr>
            <w:tcW w:w="400" w:type="dxa"/>
            <w:vAlign w:val="bottom"/>
            <w:shd w:val="clear" w:color="auto" w:fill="D9D9D9"/>
          </w:tcPr>
          <w:p>
            <w:pPr>
              <w:ind w:left="180"/>
              <w:spacing w:after="0"/>
              <w:rPr>
                <w:sz w:val="20"/>
                <w:szCs w:val="20"/>
                <w:color w:val="auto"/>
              </w:rPr>
            </w:pPr>
            <w:r>
              <w:rPr>
                <w:rFonts w:ascii="Arial" w:cs="Arial" w:eastAsia="Arial" w:hAnsi="Arial"/>
                <w:sz w:val="9"/>
                <w:szCs w:val="9"/>
                <w:color w:val="auto"/>
              </w:rPr>
              <w:t>(4)</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38.3400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01/09/25</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11/20/17</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734,214</w:t>
            </w:r>
          </w:p>
        </w:tc>
        <w:tc>
          <w:tcPr>
            <w:tcW w:w="400" w:type="dxa"/>
            <w:vAlign w:val="bottom"/>
            <w:shd w:val="clear" w:color="auto" w:fill="D9D9D9"/>
          </w:tcPr>
          <w:p>
            <w:pPr>
              <w:ind w:left="180"/>
              <w:spacing w:after="0"/>
              <w:rPr>
                <w:sz w:val="20"/>
                <w:szCs w:val="20"/>
                <w:color w:val="auto"/>
              </w:rPr>
            </w:pPr>
            <w:r>
              <w:rPr>
                <w:rFonts w:ascii="Arial" w:cs="Arial" w:eastAsia="Arial" w:hAnsi="Arial"/>
                <w:sz w:val="9"/>
                <w:szCs w:val="9"/>
                <w:color w:val="auto"/>
              </w:rPr>
              <w:t>(5)</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26.1700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11/20/25</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05/20/15</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4,551</w:t>
            </w:r>
          </w:p>
        </w:tc>
        <w:tc>
          <w:tcPr>
            <w:tcW w:w="360" w:type="dxa"/>
            <w:vAlign w:val="bottom"/>
            <w:gridSpan w:val="2"/>
            <w:shd w:val="clear" w:color="auto" w:fill="D9D9D9"/>
          </w:tcPr>
          <w:p>
            <w:pPr>
              <w:ind w:left="60"/>
              <w:spacing w:after="0"/>
              <w:rPr>
                <w:sz w:val="20"/>
                <w:szCs w:val="20"/>
                <w:color w:val="auto"/>
              </w:rPr>
            </w:pPr>
            <w:r>
              <w:rPr>
                <w:rFonts w:ascii="Arial" w:cs="Arial" w:eastAsia="Arial" w:hAnsi="Arial"/>
                <w:sz w:val="9"/>
                <w:szCs w:val="9"/>
                <w:color w:val="auto"/>
              </w:rPr>
              <w:t>(6)</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153,642</w:t>
            </w: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05/18/16</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17,370</w:t>
            </w:r>
          </w:p>
        </w:tc>
        <w:tc>
          <w:tcPr>
            <w:tcW w:w="360" w:type="dxa"/>
            <w:vAlign w:val="bottom"/>
            <w:gridSpan w:val="2"/>
            <w:shd w:val="clear" w:color="auto" w:fill="D9D9D9"/>
          </w:tcPr>
          <w:p>
            <w:pPr>
              <w:ind w:left="60"/>
              <w:spacing w:after="0"/>
              <w:rPr>
                <w:sz w:val="20"/>
                <w:szCs w:val="20"/>
                <w:color w:val="auto"/>
              </w:rPr>
            </w:pPr>
            <w:r>
              <w:rPr>
                <w:rFonts w:ascii="Arial" w:cs="Arial" w:eastAsia="Arial" w:hAnsi="Arial"/>
                <w:sz w:val="9"/>
                <w:szCs w:val="9"/>
                <w:color w:val="auto"/>
              </w:rPr>
              <w:t>(7)</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586,411</w:t>
            </w: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11/10/16</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38,477</w:t>
            </w:r>
          </w:p>
        </w:tc>
        <w:tc>
          <w:tcPr>
            <w:tcW w:w="360" w:type="dxa"/>
            <w:vAlign w:val="bottom"/>
            <w:gridSpan w:val="2"/>
            <w:shd w:val="clear" w:color="auto" w:fill="D9D9D9"/>
          </w:tcPr>
          <w:p>
            <w:pPr>
              <w:ind w:left="60"/>
              <w:spacing w:after="0"/>
              <w:rPr>
                <w:sz w:val="20"/>
                <w:szCs w:val="20"/>
                <w:color w:val="auto"/>
              </w:rPr>
            </w:pPr>
            <w:r>
              <w:rPr>
                <w:rFonts w:ascii="Arial" w:cs="Arial" w:eastAsia="Arial" w:hAnsi="Arial"/>
                <w:sz w:val="9"/>
                <w:szCs w:val="9"/>
                <w:color w:val="auto"/>
              </w:rPr>
              <w:t>(8)</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1,298,984</w:t>
            </w: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01/09/17</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20,660</w:t>
            </w:r>
          </w:p>
        </w:tc>
        <w:tc>
          <w:tcPr>
            <w:tcW w:w="360" w:type="dxa"/>
            <w:vAlign w:val="bottom"/>
            <w:gridSpan w:val="2"/>
            <w:shd w:val="clear" w:color="auto" w:fill="D9D9D9"/>
          </w:tcPr>
          <w:p>
            <w:pPr>
              <w:ind w:left="60"/>
              <w:spacing w:after="0"/>
              <w:rPr>
                <w:sz w:val="20"/>
                <w:szCs w:val="20"/>
                <w:color w:val="auto"/>
              </w:rPr>
            </w:pPr>
            <w:r>
              <w:rPr>
                <w:rFonts w:ascii="Arial" w:cs="Arial" w:eastAsia="Arial" w:hAnsi="Arial"/>
                <w:sz w:val="9"/>
                <w:szCs w:val="9"/>
                <w:color w:val="auto"/>
              </w:rPr>
              <w:t>(9)</w:t>
            </w:r>
          </w:p>
        </w:tc>
        <w:tc>
          <w:tcPr>
            <w:tcW w:w="6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697,482</w:t>
            </w:r>
          </w:p>
        </w:tc>
        <w:tc>
          <w:tcPr>
            <w:tcW w:w="20" w:type="dxa"/>
            <w:vAlign w:val="bottom"/>
          </w:tcPr>
          <w:p>
            <w:pPr>
              <w:spacing w:after="0"/>
              <w:rPr>
                <w:sz w:val="11"/>
                <w:szCs w:val="11"/>
                <w:color w:val="auto"/>
              </w:rPr>
            </w:pPr>
          </w:p>
        </w:tc>
      </w:tr>
      <w:tr>
        <w:trPr>
          <w:trHeight w:val="135"/>
        </w:trPr>
        <w:tc>
          <w:tcPr>
            <w:tcW w:w="1380" w:type="dxa"/>
            <w:vAlign w:val="bottom"/>
            <w:tcBorders>
              <w:bottom w:val="single" w:sz="8" w:color="auto"/>
            </w:tcBorders>
            <w:shd w:val="clear" w:color="auto" w:fill="D9D9D9"/>
          </w:tcPr>
          <w:p>
            <w:pPr>
              <w:spacing w:after="0"/>
              <w:rPr>
                <w:sz w:val="11"/>
                <w:szCs w:val="11"/>
                <w:color w:val="auto"/>
              </w:rPr>
            </w:pPr>
          </w:p>
        </w:tc>
        <w:tc>
          <w:tcPr>
            <w:tcW w:w="120" w:type="dxa"/>
            <w:vAlign w:val="bottom"/>
            <w:tcBorders>
              <w:bottom w:val="single" w:sz="8" w:color="auto"/>
            </w:tcBorders>
            <w:shd w:val="clear" w:color="auto" w:fill="D9D9D9"/>
          </w:tcPr>
          <w:p>
            <w:pPr>
              <w:spacing w:after="0"/>
              <w:rPr>
                <w:sz w:val="11"/>
                <w:szCs w:val="11"/>
                <w:color w:val="auto"/>
              </w:rPr>
            </w:pPr>
          </w:p>
        </w:tc>
        <w:tc>
          <w:tcPr>
            <w:tcW w:w="6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1"/>
                <w:szCs w:val="11"/>
                <w:color w:val="auto"/>
              </w:rPr>
              <w:t>11/20/17</w:t>
            </w:r>
          </w:p>
        </w:tc>
        <w:tc>
          <w:tcPr>
            <w:tcW w:w="60" w:type="dxa"/>
            <w:vAlign w:val="bottom"/>
            <w:tcBorders>
              <w:bottom w:val="single" w:sz="8" w:color="auto"/>
              <w:right w:val="single" w:sz="8" w:color="D9D9D9"/>
            </w:tcBorders>
            <w:shd w:val="clear" w:color="auto" w:fill="D9D9D9"/>
          </w:tcPr>
          <w:p>
            <w:pPr>
              <w:spacing w:after="0"/>
              <w:rPr>
                <w:sz w:val="11"/>
                <w:szCs w:val="11"/>
                <w:color w:val="auto"/>
              </w:rPr>
            </w:pPr>
          </w:p>
        </w:tc>
        <w:tc>
          <w:tcPr>
            <w:tcW w:w="40" w:type="dxa"/>
            <w:vAlign w:val="bottom"/>
            <w:tcBorders>
              <w:bottom w:val="single" w:sz="8" w:color="auto"/>
            </w:tcBorders>
            <w:shd w:val="clear" w:color="auto" w:fill="D9D9D9"/>
          </w:tcPr>
          <w:p>
            <w:pPr>
              <w:spacing w:after="0"/>
              <w:rPr>
                <w:sz w:val="11"/>
                <w:szCs w:val="11"/>
                <w:color w:val="auto"/>
              </w:rPr>
            </w:pPr>
          </w:p>
        </w:tc>
        <w:tc>
          <w:tcPr>
            <w:tcW w:w="940" w:type="dxa"/>
            <w:vAlign w:val="bottom"/>
            <w:tcBorders>
              <w:bottom w:val="single" w:sz="8" w:color="auto"/>
            </w:tcBorders>
            <w:shd w:val="clear" w:color="auto" w:fill="D9D9D9"/>
          </w:tcPr>
          <w:p>
            <w:pPr>
              <w:spacing w:after="0"/>
              <w:rPr>
                <w:sz w:val="11"/>
                <w:szCs w:val="11"/>
                <w:color w:val="auto"/>
              </w:rPr>
            </w:pPr>
          </w:p>
        </w:tc>
        <w:tc>
          <w:tcPr>
            <w:tcW w:w="1260" w:type="dxa"/>
            <w:vAlign w:val="bottom"/>
            <w:tcBorders>
              <w:bottom w:val="single" w:sz="8" w:color="auto"/>
            </w:tcBorders>
            <w:shd w:val="clear" w:color="auto" w:fill="D9D9D9"/>
          </w:tcPr>
          <w:p>
            <w:pPr>
              <w:spacing w:after="0"/>
              <w:rPr>
                <w:sz w:val="11"/>
                <w:szCs w:val="11"/>
                <w:color w:val="auto"/>
              </w:rPr>
            </w:pPr>
          </w:p>
        </w:tc>
        <w:tc>
          <w:tcPr>
            <w:tcW w:w="400" w:type="dxa"/>
            <w:vAlign w:val="bottom"/>
            <w:tcBorders>
              <w:bottom w:val="single" w:sz="8" w:color="auto"/>
            </w:tcBorders>
            <w:shd w:val="clear" w:color="auto" w:fill="D9D9D9"/>
          </w:tcPr>
          <w:p>
            <w:pPr>
              <w:spacing w:after="0"/>
              <w:rPr>
                <w:sz w:val="11"/>
                <w:szCs w:val="11"/>
                <w:color w:val="auto"/>
              </w:rPr>
            </w:pPr>
          </w:p>
        </w:tc>
        <w:tc>
          <w:tcPr>
            <w:tcW w:w="120" w:type="dxa"/>
            <w:vAlign w:val="bottom"/>
            <w:tcBorders>
              <w:bottom w:val="single" w:sz="8" w:color="auto"/>
            </w:tcBorders>
            <w:shd w:val="clear" w:color="auto" w:fill="D9D9D9"/>
          </w:tcPr>
          <w:p>
            <w:pPr>
              <w:spacing w:after="0"/>
              <w:rPr>
                <w:sz w:val="11"/>
                <w:szCs w:val="11"/>
                <w:color w:val="auto"/>
              </w:rPr>
            </w:pPr>
          </w:p>
        </w:tc>
        <w:tc>
          <w:tcPr>
            <w:tcW w:w="680" w:type="dxa"/>
            <w:vAlign w:val="bottom"/>
            <w:tcBorders>
              <w:bottom w:val="single" w:sz="8" w:color="auto"/>
            </w:tcBorders>
            <w:shd w:val="clear" w:color="auto" w:fill="D9D9D9"/>
          </w:tcPr>
          <w:p>
            <w:pPr>
              <w:spacing w:after="0"/>
              <w:rPr>
                <w:sz w:val="11"/>
                <w:szCs w:val="11"/>
                <w:color w:val="auto"/>
              </w:rPr>
            </w:pPr>
          </w:p>
        </w:tc>
        <w:tc>
          <w:tcPr>
            <w:tcW w:w="100" w:type="dxa"/>
            <w:vAlign w:val="bottom"/>
            <w:tcBorders>
              <w:bottom w:val="single" w:sz="8" w:color="auto"/>
            </w:tcBorders>
            <w:shd w:val="clear" w:color="auto" w:fill="D9D9D9"/>
          </w:tcPr>
          <w:p>
            <w:pPr>
              <w:spacing w:after="0"/>
              <w:rPr>
                <w:sz w:val="11"/>
                <w:szCs w:val="11"/>
                <w:color w:val="auto"/>
              </w:rPr>
            </w:pPr>
          </w:p>
        </w:tc>
        <w:tc>
          <w:tcPr>
            <w:tcW w:w="900" w:type="dxa"/>
            <w:vAlign w:val="bottom"/>
            <w:tcBorders>
              <w:bottom w:val="single" w:sz="8" w:color="auto"/>
            </w:tcBorders>
            <w:shd w:val="clear" w:color="auto" w:fill="D9D9D9"/>
          </w:tcPr>
          <w:p>
            <w:pPr>
              <w:spacing w:after="0"/>
              <w:rPr>
                <w:sz w:val="11"/>
                <w:szCs w:val="11"/>
                <w:color w:val="auto"/>
              </w:rPr>
            </w:pPr>
          </w:p>
        </w:tc>
        <w:tc>
          <w:tcPr>
            <w:tcW w:w="100" w:type="dxa"/>
            <w:vAlign w:val="bottom"/>
            <w:tcBorders>
              <w:bottom w:val="single" w:sz="8" w:color="auto"/>
            </w:tcBorders>
            <w:shd w:val="clear" w:color="auto" w:fill="D9D9D9"/>
          </w:tcPr>
          <w:p>
            <w:pPr>
              <w:spacing w:after="0"/>
              <w:rPr>
                <w:sz w:val="11"/>
                <w:szCs w:val="11"/>
                <w:color w:val="auto"/>
              </w:rPr>
            </w:pPr>
          </w:p>
        </w:tc>
        <w:tc>
          <w:tcPr>
            <w:tcW w:w="880" w:type="dxa"/>
            <w:vAlign w:val="bottom"/>
            <w:tcBorders>
              <w:bottom w:val="single" w:sz="8" w:color="auto"/>
            </w:tcBorders>
            <w:shd w:val="clear" w:color="auto" w:fill="D9D9D9"/>
          </w:tcPr>
          <w:p>
            <w:pPr>
              <w:spacing w:after="0"/>
              <w:rPr>
                <w:sz w:val="11"/>
                <w:szCs w:val="11"/>
                <w:color w:val="auto"/>
              </w:rPr>
            </w:pPr>
          </w:p>
        </w:tc>
        <w:tc>
          <w:tcPr>
            <w:tcW w:w="60" w:type="dxa"/>
            <w:vAlign w:val="bottom"/>
            <w:tcBorders>
              <w:bottom w:val="single" w:sz="8" w:color="auto"/>
            </w:tcBorders>
            <w:shd w:val="clear" w:color="auto" w:fill="D9D9D9"/>
          </w:tcPr>
          <w:p>
            <w:pPr>
              <w:spacing w:after="0"/>
              <w:rPr>
                <w:sz w:val="11"/>
                <w:szCs w:val="11"/>
                <w:color w:val="auto"/>
              </w:rPr>
            </w:pPr>
          </w:p>
        </w:tc>
        <w:tc>
          <w:tcPr>
            <w:tcW w:w="300" w:type="dxa"/>
            <w:vAlign w:val="bottom"/>
            <w:tcBorders>
              <w:bottom w:val="single" w:sz="8" w:color="auto"/>
            </w:tcBorders>
            <w:shd w:val="clear" w:color="auto" w:fill="D9D9D9"/>
          </w:tcPr>
          <w:p>
            <w:pPr>
              <w:spacing w:after="0"/>
              <w:rPr>
                <w:sz w:val="11"/>
                <w:szCs w:val="11"/>
                <w:color w:val="auto"/>
              </w:rPr>
            </w:pPr>
          </w:p>
        </w:tc>
        <w:tc>
          <w:tcPr>
            <w:tcW w:w="100" w:type="dxa"/>
            <w:vAlign w:val="bottom"/>
            <w:tcBorders>
              <w:bottom w:val="single" w:sz="8" w:color="auto"/>
            </w:tcBorders>
            <w:shd w:val="clear" w:color="auto" w:fill="D9D9D9"/>
          </w:tcPr>
          <w:p>
            <w:pPr>
              <w:spacing w:after="0"/>
              <w:rPr>
                <w:sz w:val="11"/>
                <w:szCs w:val="11"/>
                <w:color w:val="auto"/>
              </w:rPr>
            </w:pPr>
          </w:p>
        </w:tc>
        <w:tc>
          <w:tcPr>
            <w:tcW w:w="840" w:type="dxa"/>
            <w:vAlign w:val="bottom"/>
            <w:tcBorders>
              <w:bottom w:val="single" w:sz="8" w:color="auto"/>
            </w:tcBorders>
            <w:shd w:val="clear" w:color="auto" w:fill="D9D9D9"/>
          </w:tcPr>
          <w:p>
            <w:pPr>
              <w:spacing w:after="0"/>
              <w:rPr>
                <w:sz w:val="11"/>
                <w:szCs w:val="11"/>
                <w:color w:val="auto"/>
              </w:rPr>
            </w:pPr>
          </w:p>
        </w:tc>
        <w:tc>
          <w:tcPr>
            <w:tcW w:w="100" w:type="dxa"/>
            <w:vAlign w:val="bottom"/>
            <w:tcBorders>
              <w:bottom w:val="single" w:sz="8" w:color="auto"/>
            </w:tcBorders>
            <w:shd w:val="clear" w:color="auto" w:fill="D9D9D9"/>
          </w:tcPr>
          <w:p>
            <w:pPr>
              <w:spacing w:after="0"/>
              <w:rPr>
                <w:sz w:val="11"/>
                <w:szCs w:val="11"/>
                <w:color w:val="auto"/>
              </w:rPr>
            </w:pPr>
          </w:p>
        </w:tc>
        <w:tc>
          <w:tcPr>
            <w:tcW w:w="1200" w:type="dxa"/>
            <w:vAlign w:val="bottom"/>
            <w:tcBorders>
              <w:bottom w:val="single" w:sz="8" w:color="auto"/>
            </w:tcBorders>
            <w:shd w:val="clear" w:color="auto" w:fill="D9D9D9"/>
          </w:tcPr>
          <w:p>
            <w:pPr>
              <w:jc w:val="right"/>
              <w:ind w:right="6"/>
              <w:spacing w:after="0"/>
              <w:rPr>
                <w:sz w:val="20"/>
                <w:szCs w:val="20"/>
                <w:color w:val="auto"/>
              </w:rPr>
            </w:pPr>
            <w:r>
              <w:rPr>
                <w:rFonts w:ascii="Arial" w:cs="Arial" w:eastAsia="Arial" w:hAnsi="Arial"/>
                <w:sz w:val="11"/>
                <w:szCs w:val="11"/>
                <w:color w:val="auto"/>
              </w:rPr>
              <w:t>133,085</w:t>
            </w:r>
          </w:p>
        </w:tc>
        <w:tc>
          <w:tcPr>
            <w:tcW w:w="360" w:type="dxa"/>
            <w:vAlign w:val="bottom"/>
            <w:tcBorders>
              <w:bottom w:val="single" w:sz="8" w:color="auto"/>
            </w:tcBorders>
            <w:gridSpan w:val="2"/>
            <w:shd w:val="clear" w:color="auto" w:fill="D9D9D9"/>
          </w:tcPr>
          <w:p>
            <w:pPr>
              <w:ind w:left="60"/>
              <w:spacing w:after="0"/>
              <w:rPr>
                <w:sz w:val="20"/>
                <w:szCs w:val="20"/>
                <w:color w:val="auto"/>
              </w:rPr>
            </w:pPr>
            <w:r>
              <w:rPr>
                <w:rFonts w:ascii="Arial" w:cs="Arial" w:eastAsia="Arial" w:hAnsi="Arial"/>
                <w:sz w:val="9"/>
                <w:szCs w:val="9"/>
                <w:color w:val="auto"/>
              </w:rPr>
              <w:t>(10)</w:t>
            </w:r>
          </w:p>
        </w:tc>
        <w:tc>
          <w:tcPr>
            <w:tcW w:w="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D9D9D9"/>
          </w:tcPr>
          <w:p>
            <w:pPr>
              <w:jc w:val="right"/>
              <w:ind w:right="66"/>
              <w:spacing w:after="0"/>
              <w:rPr>
                <w:sz w:val="20"/>
                <w:szCs w:val="20"/>
                <w:color w:val="auto"/>
              </w:rPr>
            </w:pPr>
            <w:r>
              <w:rPr>
                <w:rFonts w:ascii="Arial" w:cs="Arial" w:eastAsia="Arial" w:hAnsi="Arial"/>
                <w:sz w:val="11"/>
                <w:szCs w:val="11"/>
                <w:color w:val="auto"/>
              </w:rPr>
              <w:t>4,492,941</w:t>
            </w:r>
          </w:p>
        </w:tc>
        <w:tc>
          <w:tcPr>
            <w:tcW w:w="20" w:type="dxa"/>
            <w:vAlign w:val="bottom"/>
          </w:tcPr>
          <w:p>
            <w:pPr>
              <w:spacing w:after="0"/>
              <w:rPr>
                <w:sz w:val="11"/>
                <w:szCs w:val="11"/>
                <w:color w:val="auto"/>
              </w:rPr>
            </w:pPr>
          </w:p>
        </w:tc>
      </w:tr>
      <w:tr>
        <w:trPr>
          <w:trHeight w:val="134"/>
        </w:trPr>
        <w:tc>
          <w:tcPr>
            <w:tcW w:w="1500" w:type="dxa"/>
            <w:vAlign w:val="bottom"/>
            <w:gridSpan w:val="2"/>
          </w:tcPr>
          <w:p>
            <w:pPr>
              <w:spacing w:after="0"/>
              <w:rPr>
                <w:sz w:val="20"/>
                <w:szCs w:val="20"/>
                <w:color w:val="auto"/>
              </w:rPr>
            </w:pPr>
            <w:r>
              <w:rPr>
                <w:rFonts w:ascii="Arial" w:cs="Arial" w:eastAsia="Arial" w:hAnsi="Arial"/>
                <w:sz w:val="11"/>
                <w:szCs w:val="11"/>
                <w:color w:val="auto"/>
              </w:rPr>
              <w:t>Wade C. Davis</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05/25/11</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12,238</w:t>
            </w:r>
          </w:p>
        </w:tc>
        <w:tc>
          <w:tcPr>
            <w:tcW w:w="126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49.9500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05/25/19</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05/23/12</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16,799</w:t>
            </w:r>
          </w:p>
        </w:tc>
        <w:tc>
          <w:tcPr>
            <w:tcW w:w="126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47.2100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05/23/20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05/22/13</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36,866</w:t>
            </w:r>
          </w:p>
        </w:tc>
        <w:tc>
          <w:tcPr>
            <w:tcW w:w="126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69.5600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05/22/21</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05/21/14</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28,986</w:t>
            </w:r>
          </w:p>
        </w:tc>
        <w:tc>
          <w:tcPr>
            <w:tcW w:w="126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84.4600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05/21/22</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05/20/15</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61,756</w:t>
            </w:r>
          </w:p>
        </w:tc>
        <w:tc>
          <w:tcPr>
            <w:tcW w:w="1260" w:type="dxa"/>
            <w:vAlign w:val="bottom"/>
          </w:tcPr>
          <w:p>
            <w:pPr>
              <w:jc w:val="right"/>
              <w:spacing w:after="0"/>
              <w:rPr>
                <w:sz w:val="20"/>
                <w:szCs w:val="20"/>
                <w:color w:val="auto"/>
              </w:rPr>
            </w:pPr>
            <w:r>
              <w:rPr>
                <w:rFonts w:ascii="Arial" w:cs="Arial" w:eastAsia="Arial" w:hAnsi="Arial"/>
                <w:sz w:val="11"/>
                <w:szCs w:val="11"/>
                <w:color w:val="auto"/>
              </w:rPr>
              <w:t>20,586</w:t>
            </w:r>
          </w:p>
        </w:tc>
        <w:tc>
          <w:tcPr>
            <w:tcW w:w="400" w:type="dxa"/>
            <w:vAlign w:val="bottom"/>
          </w:tcPr>
          <w:p>
            <w:pPr>
              <w:ind w:left="120"/>
              <w:spacing w:after="0"/>
              <w:rPr>
                <w:sz w:val="20"/>
                <w:szCs w:val="20"/>
                <w:color w:val="auto"/>
              </w:rPr>
            </w:pPr>
            <w:r>
              <w:rPr>
                <w:rFonts w:ascii="Arial" w:cs="Arial" w:eastAsia="Arial" w:hAnsi="Arial"/>
                <w:sz w:val="9"/>
                <w:szCs w:val="9"/>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65.9200</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05/20/23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05/18/16</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52,023</w:t>
            </w:r>
          </w:p>
        </w:tc>
        <w:tc>
          <w:tcPr>
            <w:tcW w:w="1260" w:type="dxa"/>
            <w:vAlign w:val="bottom"/>
          </w:tcPr>
          <w:p>
            <w:pPr>
              <w:jc w:val="right"/>
              <w:spacing w:after="0"/>
              <w:rPr>
                <w:sz w:val="20"/>
                <w:szCs w:val="20"/>
                <w:color w:val="auto"/>
              </w:rPr>
            </w:pPr>
            <w:r>
              <w:rPr>
                <w:rFonts w:ascii="Arial" w:cs="Arial" w:eastAsia="Arial" w:hAnsi="Arial"/>
                <w:sz w:val="11"/>
                <w:szCs w:val="11"/>
                <w:color w:val="auto"/>
              </w:rPr>
              <w:t>52,023</w:t>
            </w:r>
          </w:p>
        </w:tc>
        <w:tc>
          <w:tcPr>
            <w:tcW w:w="400" w:type="dxa"/>
            <w:vAlign w:val="bottom"/>
          </w:tcPr>
          <w:p>
            <w:pPr>
              <w:ind w:left="120"/>
              <w:spacing w:after="0"/>
              <w:rPr>
                <w:sz w:val="20"/>
                <w:szCs w:val="20"/>
                <w:color w:val="auto"/>
              </w:rPr>
            </w:pPr>
            <w:r>
              <w:rPr>
                <w:rFonts w:ascii="Arial" w:cs="Arial" w:eastAsia="Arial" w:hAnsi="Arial"/>
                <w:sz w:val="9"/>
                <w:szCs w:val="9"/>
                <w:color w:val="auto"/>
              </w:rPr>
              <w:t>(2)</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38.8600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05/18/24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05/18/17</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32,991</w:t>
            </w:r>
          </w:p>
        </w:tc>
        <w:tc>
          <w:tcPr>
            <w:tcW w:w="1260" w:type="dxa"/>
            <w:vAlign w:val="bottom"/>
          </w:tcPr>
          <w:p>
            <w:pPr>
              <w:jc w:val="right"/>
              <w:spacing w:after="0"/>
              <w:rPr>
                <w:sz w:val="20"/>
                <w:szCs w:val="20"/>
                <w:color w:val="auto"/>
              </w:rPr>
            </w:pPr>
            <w:r>
              <w:rPr>
                <w:rFonts w:ascii="Arial" w:cs="Arial" w:eastAsia="Arial" w:hAnsi="Arial"/>
                <w:sz w:val="11"/>
                <w:szCs w:val="11"/>
                <w:color w:val="auto"/>
              </w:rPr>
              <w:t>98,974</w:t>
            </w:r>
          </w:p>
        </w:tc>
        <w:tc>
          <w:tcPr>
            <w:tcW w:w="400" w:type="dxa"/>
            <w:vAlign w:val="bottom"/>
          </w:tcPr>
          <w:p>
            <w:pPr>
              <w:ind w:left="120"/>
              <w:spacing w:after="0"/>
              <w:rPr>
                <w:sz w:val="20"/>
                <w:szCs w:val="20"/>
                <w:color w:val="auto"/>
              </w:rPr>
            </w:pPr>
            <w:r>
              <w:rPr>
                <w:rFonts w:ascii="Arial" w:cs="Arial" w:eastAsia="Arial" w:hAnsi="Arial"/>
                <w:sz w:val="9"/>
                <w:szCs w:val="9"/>
                <w:color w:val="auto"/>
              </w:rPr>
              <w:t>(11)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33.9900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05/18/25</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01/31/18</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0</w:t>
            </w:r>
          </w:p>
        </w:tc>
        <w:tc>
          <w:tcPr>
            <w:tcW w:w="1260" w:type="dxa"/>
            <w:vAlign w:val="bottom"/>
          </w:tcPr>
          <w:p>
            <w:pPr>
              <w:jc w:val="right"/>
              <w:spacing w:after="0"/>
              <w:rPr>
                <w:sz w:val="20"/>
                <w:szCs w:val="20"/>
                <w:color w:val="auto"/>
              </w:rPr>
            </w:pPr>
            <w:r>
              <w:rPr>
                <w:rFonts w:ascii="Arial" w:cs="Arial" w:eastAsia="Arial" w:hAnsi="Arial"/>
                <w:sz w:val="11"/>
                <w:szCs w:val="11"/>
                <w:color w:val="auto"/>
              </w:rPr>
              <w:t>68,528</w:t>
            </w:r>
          </w:p>
        </w:tc>
        <w:tc>
          <w:tcPr>
            <w:tcW w:w="400" w:type="dxa"/>
            <w:vAlign w:val="bottom"/>
          </w:tcPr>
          <w:p>
            <w:pPr>
              <w:ind w:left="120"/>
              <w:spacing w:after="0"/>
              <w:rPr>
                <w:sz w:val="20"/>
                <w:szCs w:val="20"/>
                <w:color w:val="auto"/>
              </w:rPr>
            </w:pPr>
            <w:r>
              <w:rPr>
                <w:rFonts w:ascii="Arial" w:cs="Arial" w:eastAsia="Arial" w:hAnsi="Arial"/>
                <w:sz w:val="9"/>
                <w:szCs w:val="9"/>
                <w:color w:val="auto"/>
              </w:rPr>
              <w:t>(12)</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33.4200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01/31/26</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05/20/15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5,120</w:t>
            </w:r>
          </w:p>
        </w:tc>
        <w:tc>
          <w:tcPr>
            <w:tcW w:w="360" w:type="dxa"/>
            <w:vAlign w:val="bottom"/>
            <w:gridSpan w:val="2"/>
          </w:tcPr>
          <w:p>
            <w:pPr>
              <w:ind w:left="60"/>
              <w:spacing w:after="0"/>
              <w:rPr>
                <w:sz w:val="20"/>
                <w:szCs w:val="20"/>
                <w:color w:val="auto"/>
              </w:rPr>
            </w:pPr>
            <w:r>
              <w:rPr>
                <w:rFonts w:ascii="Arial" w:cs="Arial" w:eastAsia="Arial" w:hAnsi="Arial"/>
                <w:sz w:val="9"/>
                <w:szCs w:val="9"/>
                <w:color w:val="auto"/>
              </w:rPr>
              <w:t>(6)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172,851</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05/18/16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17,370</w:t>
            </w:r>
          </w:p>
        </w:tc>
        <w:tc>
          <w:tcPr>
            <w:tcW w:w="360" w:type="dxa"/>
            <w:vAlign w:val="bottom"/>
            <w:gridSpan w:val="2"/>
          </w:tcPr>
          <w:p>
            <w:pPr>
              <w:ind w:left="60"/>
              <w:spacing w:after="0"/>
              <w:rPr>
                <w:sz w:val="20"/>
                <w:szCs w:val="20"/>
                <w:color w:val="auto"/>
              </w:rPr>
            </w:pPr>
            <w:r>
              <w:rPr>
                <w:rFonts w:ascii="Arial" w:cs="Arial" w:eastAsia="Arial" w:hAnsi="Arial"/>
                <w:sz w:val="9"/>
                <w:szCs w:val="9"/>
                <w:color w:val="auto"/>
              </w:rPr>
              <w:t>(7)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586,411</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05/18/17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29,789</w:t>
            </w:r>
          </w:p>
        </w:tc>
        <w:tc>
          <w:tcPr>
            <w:tcW w:w="360" w:type="dxa"/>
            <w:vAlign w:val="bottom"/>
            <w:gridSpan w:val="2"/>
          </w:tcPr>
          <w:p>
            <w:pPr>
              <w:ind w:left="60"/>
              <w:spacing w:after="0"/>
              <w:rPr>
                <w:sz w:val="20"/>
                <w:szCs w:val="20"/>
                <w:color w:val="auto"/>
              </w:rPr>
            </w:pPr>
            <w:r>
              <w:rPr>
                <w:rFonts w:ascii="Arial" w:cs="Arial" w:eastAsia="Arial" w:hAnsi="Arial"/>
                <w:sz w:val="9"/>
                <w:szCs w:val="9"/>
                <w:color w:val="auto"/>
              </w:rPr>
              <w:t>(13)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1,005,677</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01/31/18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23,564</w:t>
            </w:r>
          </w:p>
        </w:tc>
        <w:tc>
          <w:tcPr>
            <w:tcW w:w="360" w:type="dxa"/>
            <w:vAlign w:val="bottom"/>
            <w:gridSpan w:val="2"/>
          </w:tcPr>
          <w:p>
            <w:pPr>
              <w:ind w:left="60"/>
              <w:spacing w:after="0"/>
              <w:rPr>
                <w:sz w:val="20"/>
                <w:szCs w:val="20"/>
                <w:color w:val="auto"/>
              </w:rPr>
            </w:pPr>
            <w:r>
              <w:rPr>
                <w:rFonts w:ascii="Arial" w:cs="Arial" w:eastAsia="Arial" w:hAnsi="Arial"/>
                <w:sz w:val="9"/>
                <w:szCs w:val="9"/>
                <w:color w:val="auto"/>
              </w:rPr>
              <w:t>(14)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795,521</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5"/>
        </w:trPr>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11/20/17</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auto"/>
              </w:rPr>
              <w:t>20,961</w:t>
            </w:r>
          </w:p>
        </w:tc>
        <w:tc>
          <w:tcPr>
            <w:tcW w:w="36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color w:val="auto"/>
              </w:rPr>
              <w:t>(10)</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auto"/>
              </w:rPr>
              <w:t>707,638</w:t>
            </w:r>
          </w:p>
        </w:tc>
        <w:tc>
          <w:tcPr>
            <w:tcW w:w="20" w:type="dxa"/>
            <w:vAlign w:val="bottom"/>
          </w:tcPr>
          <w:p>
            <w:pPr>
              <w:spacing w:after="0"/>
              <w:rPr>
                <w:sz w:val="10"/>
                <w:szCs w:val="10"/>
                <w:color w:val="auto"/>
              </w:rPr>
            </w:pPr>
          </w:p>
        </w:tc>
      </w:tr>
      <w:tr>
        <w:trPr>
          <w:trHeight w:val="129"/>
        </w:trPr>
        <w:tc>
          <w:tcPr>
            <w:tcW w:w="1380" w:type="dxa"/>
            <w:vAlign w:val="bottom"/>
            <w:shd w:val="clear" w:color="auto" w:fill="D9D9D9"/>
          </w:tcPr>
          <w:p>
            <w:pPr>
              <w:spacing w:after="0"/>
              <w:rPr>
                <w:sz w:val="20"/>
                <w:szCs w:val="20"/>
                <w:color w:val="auto"/>
              </w:rPr>
            </w:pPr>
            <w:r>
              <w:rPr>
                <w:rFonts w:ascii="Arial" w:cs="Arial" w:eastAsia="Arial" w:hAnsi="Arial"/>
                <w:sz w:val="11"/>
                <w:szCs w:val="11"/>
                <w:color w:val="auto"/>
              </w:rPr>
              <w:t>Christa A. D'Alimonte</w:t>
            </w: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spacing w:after="0"/>
              <w:rPr>
                <w:sz w:val="11"/>
                <w:szCs w:val="11"/>
                <w:color w:val="auto"/>
              </w:rPr>
            </w:pP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05/22/13</w:t>
            </w:r>
          </w:p>
        </w:tc>
        <w:tc>
          <w:tcPr>
            <w:tcW w:w="104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7,680</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69.5600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05/22/21</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05/21/14</w:t>
            </w:r>
          </w:p>
        </w:tc>
        <w:tc>
          <w:tcPr>
            <w:tcW w:w="104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6,039</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84.4600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05/21/22</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05/20/15</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8,234</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2,745</w:t>
            </w:r>
          </w:p>
        </w:tc>
        <w:tc>
          <w:tcPr>
            <w:tcW w:w="400" w:type="dxa"/>
            <w:vAlign w:val="bottom"/>
            <w:shd w:val="clear" w:color="auto" w:fill="D9D9D9"/>
          </w:tcPr>
          <w:p>
            <w:pPr>
              <w:ind w:left="120"/>
              <w:spacing w:after="0"/>
              <w:rPr>
                <w:sz w:val="20"/>
                <w:szCs w:val="20"/>
                <w:color w:val="auto"/>
              </w:rPr>
            </w:pPr>
            <w:r>
              <w:rPr>
                <w:rFonts w:ascii="Arial" w:cs="Arial" w:eastAsia="Arial" w:hAnsi="Arial"/>
                <w:sz w:val="9"/>
                <w:szCs w:val="9"/>
                <w:color w:val="auto"/>
              </w:rPr>
              <w:t>(1)</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65.9200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05/20/23</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05/18/16</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6,936</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6,937</w:t>
            </w:r>
          </w:p>
        </w:tc>
        <w:tc>
          <w:tcPr>
            <w:tcW w:w="400" w:type="dxa"/>
            <w:vAlign w:val="bottom"/>
            <w:shd w:val="clear" w:color="auto" w:fill="D9D9D9"/>
          </w:tcPr>
          <w:p>
            <w:pPr>
              <w:ind w:left="120"/>
              <w:spacing w:after="0"/>
              <w:rPr>
                <w:sz w:val="20"/>
                <w:szCs w:val="20"/>
                <w:color w:val="auto"/>
              </w:rPr>
            </w:pPr>
            <w:r>
              <w:rPr>
                <w:rFonts w:ascii="Arial" w:cs="Arial" w:eastAsia="Arial" w:hAnsi="Arial"/>
                <w:sz w:val="9"/>
                <w:szCs w:val="9"/>
                <w:color w:val="auto"/>
              </w:rPr>
              <w:t>(2)</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38.8600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05/18/24</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05/18/17</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11,730</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35,191</w:t>
            </w:r>
          </w:p>
        </w:tc>
        <w:tc>
          <w:tcPr>
            <w:tcW w:w="400" w:type="dxa"/>
            <w:vAlign w:val="bottom"/>
            <w:shd w:val="clear" w:color="auto" w:fill="D9D9D9"/>
          </w:tcPr>
          <w:p>
            <w:pPr>
              <w:ind w:left="120"/>
              <w:spacing w:after="0"/>
              <w:rPr>
                <w:sz w:val="20"/>
                <w:szCs w:val="20"/>
                <w:color w:val="auto"/>
              </w:rPr>
            </w:pPr>
            <w:r>
              <w:rPr>
                <w:rFonts w:ascii="Arial" w:cs="Arial" w:eastAsia="Arial" w:hAnsi="Arial"/>
                <w:sz w:val="9"/>
                <w:szCs w:val="9"/>
                <w:color w:val="auto"/>
              </w:rPr>
              <w:t>(11)</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33.9900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05/18/25</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01/31/18</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2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38,423</w:t>
            </w:r>
          </w:p>
        </w:tc>
        <w:tc>
          <w:tcPr>
            <w:tcW w:w="400" w:type="dxa"/>
            <w:vAlign w:val="bottom"/>
            <w:shd w:val="clear" w:color="auto" w:fill="D9D9D9"/>
          </w:tcPr>
          <w:p>
            <w:pPr>
              <w:ind w:left="120"/>
              <w:spacing w:after="0"/>
              <w:rPr>
                <w:sz w:val="20"/>
                <w:szCs w:val="20"/>
                <w:color w:val="auto"/>
              </w:rPr>
            </w:pPr>
            <w:r>
              <w:rPr>
                <w:rFonts w:ascii="Arial" w:cs="Arial" w:eastAsia="Arial" w:hAnsi="Arial"/>
                <w:sz w:val="9"/>
                <w:szCs w:val="9"/>
                <w:color w:val="auto"/>
              </w:rPr>
              <w:t>(12)</w:t>
            </w:r>
          </w:p>
        </w:tc>
        <w:tc>
          <w:tcPr>
            <w:tcW w:w="12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33.4200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01/31/26</w:t>
            </w: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05/20/15</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683</w:t>
            </w:r>
          </w:p>
        </w:tc>
        <w:tc>
          <w:tcPr>
            <w:tcW w:w="360" w:type="dxa"/>
            <w:vAlign w:val="bottom"/>
            <w:gridSpan w:val="2"/>
            <w:shd w:val="clear" w:color="auto" w:fill="D9D9D9"/>
          </w:tcPr>
          <w:p>
            <w:pPr>
              <w:ind w:left="60"/>
              <w:spacing w:after="0"/>
              <w:rPr>
                <w:sz w:val="20"/>
                <w:szCs w:val="20"/>
                <w:color w:val="auto"/>
              </w:rPr>
            </w:pPr>
            <w:r>
              <w:rPr>
                <w:rFonts w:ascii="Arial" w:cs="Arial" w:eastAsia="Arial" w:hAnsi="Arial"/>
                <w:sz w:val="9"/>
                <w:szCs w:val="9"/>
                <w:color w:val="auto"/>
              </w:rPr>
              <w:t>(6)</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23,058</w:t>
            </w: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05/18/16</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2,316</w:t>
            </w:r>
          </w:p>
        </w:tc>
        <w:tc>
          <w:tcPr>
            <w:tcW w:w="360" w:type="dxa"/>
            <w:vAlign w:val="bottom"/>
            <w:gridSpan w:val="2"/>
            <w:shd w:val="clear" w:color="auto" w:fill="D9D9D9"/>
          </w:tcPr>
          <w:p>
            <w:pPr>
              <w:ind w:left="60"/>
              <w:spacing w:after="0"/>
              <w:rPr>
                <w:sz w:val="20"/>
                <w:szCs w:val="20"/>
                <w:color w:val="auto"/>
              </w:rPr>
            </w:pPr>
            <w:r>
              <w:rPr>
                <w:rFonts w:ascii="Arial" w:cs="Arial" w:eastAsia="Arial" w:hAnsi="Arial"/>
                <w:sz w:val="9"/>
                <w:szCs w:val="9"/>
                <w:color w:val="auto"/>
              </w:rPr>
              <w:t>(7)</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78,188</w:t>
            </w: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05/18/17</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10,592</w:t>
            </w:r>
          </w:p>
        </w:tc>
        <w:tc>
          <w:tcPr>
            <w:tcW w:w="360" w:type="dxa"/>
            <w:vAlign w:val="bottom"/>
            <w:gridSpan w:val="2"/>
            <w:shd w:val="clear" w:color="auto" w:fill="D9D9D9"/>
          </w:tcPr>
          <w:p>
            <w:pPr>
              <w:ind w:left="60"/>
              <w:spacing w:after="0"/>
              <w:rPr>
                <w:sz w:val="20"/>
                <w:szCs w:val="20"/>
                <w:color w:val="auto"/>
              </w:rPr>
            </w:pPr>
            <w:r>
              <w:rPr>
                <w:rFonts w:ascii="Arial" w:cs="Arial" w:eastAsia="Arial" w:hAnsi="Arial"/>
                <w:sz w:val="9"/>
                <w:szCs w:val="9"/>
                <w:color w:val="auto"/>
              </w:rPr>
              <w:t>(13)</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357,586</w:t>
            </w: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01/31/18</w:t>
            </w:r>
          </w:p>
        </w:tc>
        <w:tc>
          <w:tcPr>
            <w:tcW w:w="60" w:type="dxa"/>
            <w:vAlign w:val="bottom"/>
            <w:tcBorders>
              <w:right w:val="single" w:sz="8" w:color="D9D9D9"/>
            </w:tcBorders>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8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13,212</w:t>
            </w:r>
          </w:p>
        </w:tc>
        <w:tc>
          <w:tcPr>
            <w:tcW w:w="360" w:type="dxa"/>
            <w:vAlign w:val="bottom"/>
            <w:gridSpan w:val="2"/>
            <w:shd w:val="clear" w:color="auto" w:fill="D9D9D9"/>
          </w:tcPr>
          <w:p>
            <w:pPr>
              <w:ind w:left="60"/>
              <w:spacing w:after="0"/>
              <w:rPr>
                <w:sz w:val="20"/>
                <w:szCs w:val="20"/>
                <w:color w:val="auto"/>
              </w:rPr>
            </w:pPr>
            <w:r>
              <w:rPr>
                <w:rFonts w:ascii="Arial" w:cs="Arial" w:eastAsia="Arial" w:hAnsi="Arial"/>
                <w:sz w:val="9"/>
                <w:szCs w:val="9"/>
                <w:color w:val="auto"/>
              </w:rPr>
              <w:t>(14)</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446,037</w:t>
            </w:r>
          </w:p>
        </w:tc>
        <w:tc>
          <w:tcPr>
            <w:tcW w:w="100" w:type="dxa"/>
            <w:vAlign w:val="bottom"/>
            <w:shd w:val="clear" w:color="auto" w:fill="D9D9D9"/>
          </w:tcPr>
          <w:p>
            <w:pPr>
              <w:spacing w:after="0"/>
              <w:rPr>
                <w:sz w:val="11"/>
                <w:szCs w:val="11"/>
                <w:color w:val="auto"/>
              </w:rPr>
            </w:pPr>
          </w:p>
        </w:tc>
        <w:tc>
          <w:tcPr>
            <w:tcW w:w="12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Borders>
              <w:bottom w:val="single" w:sz="8" w:color="auto"/>
            </w:tcBorders>
            <w:shd w:val="clear" w:color="auto" w:fill="D9D9D9"/>
          </w:tcPr>
          <w:p>
            <w:pPr>
              <w:spacing w:after="0"/>
              <w:rPr>
                <w:sz w:val="11"/>
                <w:szCs w:val="11"/>
                <w:color w:val="auto"/>
              </w:rPr>
            </w:pPr>
          </w:p>
        </w:tc>
        <w:tc>
          <w:tcPr>
            <w:tcW w:w="120" w:type="dxa"/>
            <w:vAlign w:val="bottom"/>
            <w:tcBorders>
              <w:bottom w:val="single" w:sz="8" w:color="auto"/>
            </w:tcBorders>
            <w:shd w:val="clear" w:color="auto" w:fill="D9D9D9"/>
          </w:tcPr>
          <w:p>
            <w:pPr>
              <w:spacing w:after="0"/>
              <w:rPr>
                <w:sz w:val="11"/>
                <w:szCs w:val="11"/>
                <w:color w:val="auto"/>
              </w:rPr>
            </w:pPr>
          </w:p>
        </w:tc>
        <w:tc>
          <w:tcPr>
            <w:tcW w:w="6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1"/>
                <w:szCs w:val="11"/>
                <w:color w:val="auto"/>
              </w:rPr>
              <w:t>11/20/17</w:t>
            </w:r>
          </w:p>
        </w:tc>
        <w:tc>
          <w:tcPr>
            <w:tcW w:w="60" w:type="dxa"/>
            <w:vAlign w:val="bottom"/>
            <w:tcBorders>
              <w:bottom w:val="single" w:sz="8" w:color="auto"/>
              <w:right w:val="single" w:sz="8" w:color="D9D9D9"/>
            </w:tcBorders>
            <w:shd w:val="clear" w:color="auto" w:fill="D9D9D9"/>
          </w:tcPr>
          <w:p>
            <w:pPr>
              <w:spacing w:after="0"/>
              <w:rPr>
                <w:sz w:val="11"/>
                <w:szCs w:val="11"/>
                <w:color w:val="auto"/>
              </w:rPr>
            </w:pPr>
          </w:p>
        </w:tc>
        <w:tc>
          <w:tcPr>
            <w:tcW w:w="40" w:type="dxa"/>
            <w:vAlign w:val="bottom"/>
            <w:tcBorders>
              <w:bottom w:val="single" w:sz="8" w:color="auto"/>
            </w:tcBorders>
            <w:shd w:val="clear" w:color="auto" w:fill="D9D9D9"/>
          </w:tcPr>
          <w:p>
            <w:pPr>
              <w:spacing w:after="0"/>
              <w:rPr>
                <w:sz w:val="11"/>
                <w:szCs w:val="11"/>
                <w:color w:val="auto"/>
              </w:rPr>
            </w:pPr>
          </w:p>
        </w:tc>
        <w:tc>
          <w:tcPr>
            <w:tcW w:w="940" w:type="dxa"/>
            <w:vAlign w:val="bottom"/>
            <w:tcBorders>
              <w:bottom w:val="single" w:sz="8" w:color="auto"/>
            </w:tcBorders>
            <w:shd w:val="clear" w:color="auto" w:fill="D9D9D9"/>
          </w:tcPr>
          <w:p>
            <w:pPr>
              <w:spacing w:after="0"/>
              <w:rPr>
                <w:sz w:val="11"/>
                <w:szCs w:val="11"/>
                <w:color w:val="auto"/>
              </w:rPr>
            </w:pPr>
          </w:p>
        </w:tc>
        <w:tc>
          <w:tcPr>
            <w:tcW w:w="1260" w:type="dxa"/>
            <w:vAlign w:val="bottom"/>
            <w:tcBorders>
              <w:bottom w:val="single" w:sz="8" w:color="auto"/>
            </w:tcBorders>
            <w:shd w:val="clear" w:color="auto" w:fill="D9D9D9"/>
          </w:tcPr>
          <w:p>
            <w:pPr>
              <w:spacing w:after="0"/>
              <w:rPr>
                <w:sz w:val="11"/>
                <w:szCs w:val="11"/>
                <w:color w:val="auto"/>
              </w:rPr>
            </w:pPr>
          </w:p>
        </w:tc>
        <w:tc>
          <w:tcPr>
            <w:tcW w:w="400" w:type="dxa"/>
            <w:vAlign w:val="bottom"/>
            <w:tcBorders>
              <w:bottom w:val="single" w:sz="8" w:color="auto"/>
            </w:tcBorders>
            <w:shd w:val="clear" w:color="auto" w:fill="D9D9D9"/>
          </w:tcPr>
          <w:p>
            <w:pPr>
              <w:spacing w:after="0"/>
              <w:rPr>
                <w:sz w:val="11"/>
                <w:szCs w:val="11"/>
                <w:color w:val="auto"/>
              </w:rPr>
            </w:pPr>
          </w:p>
        </w:tc>
        <w:tc>
          <w:tcPr>
            <w:tcW w:w="120" w:type="dxa"/>
            <w:vAlign w:val="bottom"/>
            <w:tcBorders>
              <w:bottom w:val="single" w:sz="8" w:color="auto"/>
            </w:tcBorders>
            <w:shd w:val="clear" w:color="auto" w:fill="D9D9D9"/>
          </w:tcPr>
          <w:p>
            <w:pPr>
              <w:spacing w:after="0"/>
              <w:rPr>
                <w:sz w:val="11"/>
                <w:szCs w:val="11"/>
                <w:color w:val="auto"/>
              </w:rPr>
            </w:pPr>
          </w:p>
        </w:tc>
        <w:tc>
          <w:tcPr>
            <w:tcW w:w="680" w:type="dxa"/>
            <w:vAlign w:val="bottom"/>
            <w:tcBorders>
              <w:bottom w:val="single" w:sz="8" w:color="auto"/>
            </w:tcBorders>
            <w:shd w:val="clear" w:color="auto" w:fill="D9D9D9"/>
          </w:tcPr>
          <w:p>
            <w:pPr>
              <w:spacing w:after="0"/>
              <w:rPr>
                <w:sz w:val="11"/>
                <w:szCs w:val="11"/>
                <w:color w:val="auto"/>
              </w:rPr>
            </w:pPr>
          </w:p>
        </w:tc>
        <w:tc>
          <w:tcPr>
            <w:tcW w:w="100" w:type="dxa"/>
            <w:vAlign w:val="bottom"/>
            <w:tcBorders>
              <w:bottom w:val="single" w:sz="8" w:color="auto"/>
            </w:tcBorders>
            <w:shd w:val="clear" w:color="auto" w:fill="D9D9D9"/>
          </w:tcPr>
          <w:p>
            <w:pPr>
              <w:spacing w:after="0"/>
              <w:rPr>
                <w:sz w:val="11"/>
                <w:szCs w:val="11"/>
                <w:color w:val="auto"/>
              </w:rPr>
            </w:pPr>
          </w:p>
        </w:tc>
        <w:tc>
          <w:tcPr>
            <w:tcW w:w="900" w:type="dxa"/>
            <w:vAlign w:val="bottom"/>
            <w:tcBorders>
              <w:bottom w:val="single" w:sz="8" w:color="auto"/>
            </w:tcBorders>
            <w:shd w:val="clear" w:color="auto" w:fill="D9D9D9"/>
          </w:tcPr>
          <w:p>
            <w:pPr>
              <w:spacing w:after="0"/>
              <w:rPr>
                <w:sz w:val="11"/>
                <w:szCs w:val="11"/>
                <w:color w:val="auto"/>
              </w:rPr>
            </w:pPr>
          </w:p>
        </w:tc>
        <w:tc>
          <w:tcPr>
            <w:tcW w:w="100" w:type="dxa"/>
            <w:vAlign w:val="bottom"/>
            <w:tcBorders>
              <w:bottom w:val="single" w:sz="8" w:color="auto"/>
            </w:tcBorders>
            <w:shd w:val="clear" w:color="auto" w:fill="D9D9D9"/>
          </w:tcPr>
          <w:p>
            <w:pPr>
              <w:spacing w:after="0"/>
              <w:rPr>
                <w:sz w:val="11"/>
                <w:szCs w:val="11"/>
                <w:color w:val="auto"/>
              </w:rPr>
            </w:pPr>
          </w:p>
        </w:tc>
        <w:tc>
          <w:tcPr>
            <w:tcW w:w="880" w:type="dxa"/>
            <w:vAlign w:val="bottom"/>
            <w:tcBorders>
              <w:bottom w:val="single" w:sz="8" w:color="auto"/>
            </w:tcBorders>
            <w:shd w:val="clear" w:color="auto" w:fill="D9D9D9"/>
          </w:tcPr>
          <w:p>
            <w:pPr>
              <w:spacing w:after="0"/>
              <w:rPr>
                <w:sz w:val="11"/>
                <w:szCs w:val="11"/>
                <w:color w:val="auto"/>
              </w:rPr>
            </w:pPr>
          </w:p>
        </w:tc>
        <w:tc>
          <w:tcPr>
            <w:tcW w:w="60" w:type="dxa"/>
            <w:vAlign w:val="bottom"/>
            <w:tcBorders>
              <w:bottom w:val="single" w:sz="8" w:color="auto"/>
            </w:tcBorders>
            <w:shd w:val="clear" w:color="auto" w:fill="D9D9D9"/>
          </w:tcPr>
          <w:p>
            <w:pPr>
              <w:spacing w:after="0"/>
              <w:rPr>
                <w:sz w:val="11"/>
                <w:szCs w:val="11"/>
                <w:color w:val="auto"/>
              </w:rPr>
            </w:pPr>
          </w:p>
        </w:tc>
        <w:tc>
          <w:tcPr>
            <w:tcW w:w="300" w:type="dxa"/>
            <w:vAlign w:val="bottom"/>
            <w:tcBorders>
              <w:bottom w:val="single" w:sz="8" w:color="auto"/>
            </w:tcBorders>
            <w:shd w:val="clear" w:color="auto" w:fill="D9D9D9"/>
          </w:tcPr>
          <w:p>
            <w:pPr>
              <w:spacing w:after="0"/>
              <w:rPr>
                <w:sz w:val="11"/>
                <w:szCs w:val="11"/>
                <w:color w:val="auto"/>
              </w:rPr>
            </w:pPr>
          </w:p>
        </w:tc>
        <w:tc>
          <w:tcPr>
            <w:tcW w:w="100" w:type="dxa"/>
            <w:vAlign w:val="bottom"/>
            <w:tcBorders>
              <w:bottom w:val="single" w:sz="8" w:color="auto"/>
            </w:tcBorders>
            <w:shd w:val="clear" w:color="auto" w:fill="D9D9D9"/>
          </w:tcPr>
          <w:p>
            <w:pPr>
              <w:spacing w:after="0"/>
              <w:rPr>
                <w:sz w:val="11"/>
                <w:szCs w:val="11"/>
                <w:color w:val="auto"/>
              </w:rPr>
            </w:pPr>
          </w:p>
        </w:tc>
        <w:tc>
          <w:tcPr>
            <w:tcW w:w="840" w:type="dxa"/>
            <w:vAlign w:val="bottom"/>
            <w:tcBorders>
              <w:bottom w:val="single" w:sz="8" w:color="auto"/>
            </w:tcBorders>
            <w:shd w:val="clear" w:color="auto" w:fill="D9D9D9"/>
          </w:tcPr>
          <w:p>
            <w:pPr>
              <w:spacing w:after="0"/>
              <w:rPr>
                <w:sz w:val="11"/>
                <w:szCs w:val="11"/>
                <w:color w:val="auto"/>
              </w:rPr>
            </w:pPr>
          </w:p>
        </w:tc>
        <w:tc>
          <w:tcPr>
            <w:tcW w:w="100" w:type="dxa"/>
            <w:vAlign w:val="bottom"/>
            <w:tcBorders>
              <w:bottom w:val="single" w:sz="8" w:color="auto"/>
            </w:tcBorders>
            <w:shd w:val="clear" w:color="auto" w:fill="D9D9D9"/>
          </w:tcPr>
          <w:p>
            <w:pPr>
              <w:spacing w:after="0"/>
              <w:rPr>
                <w:sz w:val="11"/>
                <w:szCs w:val="11"/>
                <w:color w:val="auto"/>
              </w:rPr>
            </w:pPr>
          </w:p>
        </w:tc>
        <w:tc>
          <w:tcPr>
            <w:tcW w:w="1200" w:type="dxa"/>
            <w:vAlign w:val="bottom"/>
            <w:tcBorders>
              <w:bottom w:val="single" w:sz="8" w:color="auto"/>
            </w:tcBorders>
            <w:shd w:val="clear" w:color="auto" w:fill="D9D9D9"/>
          </w:tcPr>
          <w:p>
            <w:pPr>
              <w:jc w:val="right"/>
              <w:ind w:right="6"/>
              <w:spacing w:after="0"/>
              <w:rPr>
                <w:sz w:val="20"/>
                <w:szCs w:val="20"/>
                <w:color w:val="auto"/>
              </w:rPr>
            </w:pPr>
            <w:r>
              <w:rPr>
                <w:rFonts w:ascii="Arial" w:cs="Arial" w:eastAsia="Arial" w:hAnsi="Arial"/>
                <w:sz w:val="11"/>
                <w:szCs w:val="11"/>
                <w:color w:val="auto"/>
              </w:rPr>
              <w:t>7,454</w:t>
            </w:r>
          </w:p>
        </w:tc>
        <w:tc>
          <w:tcPr>
            <w:tcW w:w="360" w:type="dxa"/>
            <w:vAlign w:val="bottom"/>
            <w:tcBorders>
              <w:bottom w:val="single" w:sz="8" w:color="auto"/>
            </w:tcBorders>
            <w:gridSpan w:val="2"/>
            <w:shd w:val="clear" w:color="auto" w:fill="D9D9D9"/>
          </w:tcPr>
          <w:p>
            <w:pPr>
              <w:ind w:left="60"/>
              <w:spacing w:after="0"/>
              <w:rPr>
                <w:sz w:val="20"/>
                <w:szCs w:val="20"/>
                <w:color w:val="auto"/>
              </w:rPr>
            </w:pPr>
            <w:r>
              <w:rPr>
                <w:rFonts w:ascii="Arial" w:cs="Arial" w:eastAsia="Arial" w:hAnsi="Arial"/>
                <w:sz w:val="9"/>
                <w:szCs w:val="9"/>
                <w:color w:val="auto"/>
              </w:rPr>
              <w:t>(10)</w:t>
            </w:r>
          </w:p>
        </w:tc>
        <w:tc>
          <w:tcPr>
            <w:tcW w:w="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D9D9D9"/>
          </w:tcPr>
          <w:p>
            <w:pPr>
              <w:jc w:val="right"/>
              <w:ind w:right="6"/>
              <w:spacing w:after="0"/>
              <w:rPr>
                <w:sz w:val="20"/>
                <w:szCs w:val="20"/>
                <w:color w:val="auto"/>
              </w:rPr>
            </w:pPr>
            <w:r>
              <w:rPr>
                <w:rFonts w:ascii="Arial" w:cs="Arial" w:eastAsia="Arial" w:hAnsi="Arial"/>
                <w:sz w:val="11"/>
                <w:szCs w:val="11"/>
                <w:color w:val="auto"/>
              </w:rPr>
              <w:t>251,630</w:t>
            </w:r>
          </w:p>
        </w:tc>
        <w:tc>
          <w:tcPr>
            <w:tcW w:w="20" w:type="dxa"/>
            <w:vAlign w:val="bottom"/>
          </w:tcPr>
          <w:p>
            <w:pPr>
              <w:spacing w:after="0"/>
              <w:rPr>
                <w:sz w:val="11"/>
                <w:szCs w:val="11"/>
                <w:color w:val="auto"/>
              </w:rPr>
            </w:pPr>
          </w:p>
        </w:tc>
      </w:tr>
      <w:tr>
        <w:trPr>
          <w:trHeight w:val="134"/>
        </w:trPr>
        <w:tc>
          <w:tcPr>
            <w:tcW w:w="1500" w:type="dxa"/>
            <w:vAlign w:val="bottom"/>
            <w:gridSpan w:val="2"/>
          </w:tcPr>
          <w:p>
            <w:pPr>
              <w:spacing w:after="0"/>
              <w:rPr>
                <w:sz w:val="20"/>
                <w:szCs w:val="20"/>
                <w:color w:val="auto"/>
              </w:rPr>
            </w:pPr>
            <w:r>
              <w:rPr>
                <w:rFonts w:ascii="Arial" w:cs="Arial" w:eastAsia="Arial" w:hAnsi="Arial"/>
                <w:sz w:val="11"/>
                <w:szCs w:val="11"/>
                <w:color w:val="auto"/>
              </w:rPr>
              <w:t>Doretha (DeDe) F. Lea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05/25/11</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6,119</w:t>
            </w:r>
          </w:p>
        </w:tc>
        <w:tc>
          <w:tcPr>
            <w:tcW w:w="126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49.9500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05/25/19</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05/23/12</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13,168</w:t>
            </w:r>
          </w:p>
        </w:tc>
        <w:tc>
          <w:tcPr>
            <w:tcW w:w="126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47.2100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05/23/20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05/22/13</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16,129</w:t>
            </w:r>
          </w:p>
        </w:tc>
        <w:tc>
          <w:tcPr>
            <w:tcW w:w="126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69.5600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05/22/21</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05/21/14</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16,908</w:t>
            </w:r>
          </w:p>
        </w:tc>
        <w:tc>
          <w:tcPr>
            <w:tcW w:w="1260" w:type="dxa"/>
            <w:vAlign w:val="bottom"/>
          </w:tcPr>
          <w:p>
            <w:pPr>
              <w:jc w:val="right"/>
              <w:spacing w:after="0"/>
              <w:rPr>
                <w:sz w:val="20"/>
                <w:szCs w:val="20"/>
                <w:color w:val="auto"/>
              </w:rPr>
            </w:pPr>
            <w:r>
              <w:rPr>
                <w:rFonts w:ascii="Arial" w:cs="Arial" w:eastAsia="Arial" w:hAnsi="Arial"/>
                <w:sz w:val="11"/>
                <w:szCs w:val="11"/>
                <w:color w:val="auto"/>
              </w:rPr>
              <w:t>0</w:t>
            </w:r>
          </w:p>
        </w:tc>
        <w:tc>
          <w:tcPr>
            <w:tcW w:w="4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84.4600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05/21/22</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05/20/15</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19,213</w:t>
            </w:r>
          </w:p>
        </w:tc>
        <w:tc>
          <w:tcPr>
            <w:tcW w:w="1260" w:type="dxa"/>
            <w:vAlign w:val="bottom"/>
          </w:tcPr>
          <w:p>
            <w:pPr>
              <w:jc w:val="right"/>
              <w:spacing w:after="0"/>
              <w:rPr>
                <w:sz w:val="20"/>
                <w:szCs w:val="20"/>
                <w:color w:val="auto"/>
              </w:rPr>
            </w:pPr>
            <w:r>
              <w:rPr>
                <w:rFonts w:ascii="Arial" w:cs="Arial" w:eastAsia="Arial" w:hAnsi="Arial"/>
                <w:sz w:val="11"/>
                <w:szCs w:val="11"/>
                <w:color w:val="auto"/>
              </w:rPr>
              <w:t>6,405</w:t>
            </w:r>
          </w:p>
        </w:tc>
        <w:tc>
          <w:tcPr>
            <w:tcW w:w="400" w:type="dxa"/>
            <w:vAlign w:val="bottom"/>
          </w:tcPr>
          <w:p>
            <w:pPr>
              <w:ind w:left="120"/>
              <w:spacing w:after="0"/>
              <w:rPr>
                <w:sz w:val="20"/>
                <w:szCs w:val="20"/>
                <w:color w:val="auto"/>
              </w:rPr>
            </w:pPr>
            <w:r>
              <w:rPr>
                <w:rFonts w:ascii="Arial" w:cs="Arial" w:eastAsia="Arial" w:hAnsi="Arial"/>
                <w:sz w:val="9"/>
                <w:szCs w:val="9"/>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65.9200</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05/20/23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05/18/16</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16,185</w:t>
            </w:r>
          </w:p>
        </w:tc>
        <w:tc>
          <w:tcPr>
            <w:tcW w:w="1260" w:type="dxa"/>
            <w:vAlign w:val="bottom"/>
          </w:tcPr>
          <w:p>
            <w:pPr>
              <w:jc w:val="right"/>
              <w:spacing w:after="0"/>
              <w:rPr>
                <w:sz w:val="20"/>
                <w:szCs w:val="20"/>
                <w:color w:val="auto"/>
              </w:rPr>
            </w:pPr>
            <w:r>
              <w:rPr>
                <w:rFonts w:ascii="Arial" w:cs="Arial" w:eastAsia="Arial" w:hAnsi="Arial"/>
                <w:sz w:val="11"/>
                <w:szCs w:val="11"/>
                <w:color w:val="auto"/>
              </w:rPr>
              <w:t>16,185</w:t>
            </w:r>
          </w:p>
        </w:tc>
        <w:tc>
          <w:tcPr>
            <w:tcW w:w="400" w:type="dxa"/>
            <w:vAlign w:val="bottom"/>
          </w:tcPr>
          <w:p>
            <w:pPr>
              <w:ind w:left="120"/>
              <w:spacing w:after="0"/>
              <w:rPr>
                <w:sz w:val="20"/>
                <w:szCs w:val="20"/>
                <w:color w:val="auto"/>
              </w:rPr>
            </w:pPr>
            <w:r>
              <w:rPr>
                <w:rFonts w:ascii="Arial" w:cs="Arial" w:eastAsia="Arial" w:hAnsi="Arial"/>
                <w:sz w:val="9"/>
                <w:szCs w:val="9"/>
                <w:color w:val="auto"/>
              </w:rPr>
              <w:t>(2)</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38.8600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05/18/24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05/18/17</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10,264</w:t>
            </w:r>
          </w:p>
        </w:tc>
        <w:tc>
          <w:tcPr>
            <w:tcW w:w="1260" w:type="dxa"/>
            <w:vAlign w:val="bottom"/>
          </w:tcPr>
          <w:p>
            <w:pPr>
              <w:jc w:val="right"/>
              <w:spacing w:after="0"/>
              <w:rPr>
                <w:sz w:val="20"/>
                <w:szCs w:val="20"/>
                <w:color w:val="auto"/>
              </w:rPr>
            </w:pPr>
            <w:r>
              <w:rPr>
                <w:rFonts w:ascii="Arial" w:cs="Arial" w:eastAsia="Arial" w:hAnsi="Arial"/>
                <w:sz w:val="11"/>
                <w:szCs w:val="11"/>
                <w:color w:val="auto"/>
              </w:rPr>
              <w:t>30,792</w:t>
            </w:r>
          </w:p>
        </w:tc>
        <w:tc>
          <w:tcPr>
            <w:tcW w:w="400" w:type="dxa"/>
            <w:vAlign w:val="bottom"/>
          </w:tcPr>
          <w:p>
            <w:pPr>
              <w:ind w:left="120"/>
              <w:spacing w:after="0"/>
              <w:rPr>
                <w:sz w:val="20"/>
                <w:szCs w:val="20"/>
                <w:color w:val="auto"/>
              </w:rPr>
            </w:pPr>
            <w:r>
              <w:rPr>
                <w:rFonts w:ascii="Arial" w:cs="Arial" w:eastAsia="Arial" w:hAnsi="Arial"/>
                <w:sz w:val="9"/>
                <w:szCs w:val="9"/>
                <w:color w:val="auto"/>
              </w:rPr>
              <w:t>(11)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33.9900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05/18/25</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01/31/08</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0</w:t>
            </w:r>
          </w:p>
        </w:tc>
        <w:tc>
          <w:tcPr>
            <w:tcW w:w="1260" w:type="dxa"/>
            <w:vAlign w:val="bottom"/>
          </w:tcPr>
          <w:p>
            <w:pPr>
              <w:jc w:val="right"/>
              <w:spacing w:after="0"/>
              <w:rPr>
                <w:sz w:val="20"/>
                <w:szCs w:val="20"/>
                <w:color w:val="auto"/>
              </w:rPr>
            </w:pPr>
            <w:r>
              <w:rPr>
                <w:rFonts w:ascii="Arial" w:cs="Arial" w:eastAsia="Arial" w:hAnsi="Arial"/>
                <w:sz w:val="11"/>
                <w:szCs w:val="11"/>
                <w:color w:val="auto"/>
              </w:rPr>
              <w:t>21,320</w:t>
            </w:r>
          </w:p>
        </w:tc>
        <w:tc>
          <w:tcPr>
            <w:tcW w:w="400" w:type="dxa"/>
            <w:vAlign w:val="bottom"/>
          </w:tcPr>
          <w:p>
            <w:pPr>
              <w:ind w:left="120"/>
              <w:spacing w:after="0"/>
              <w:rPr>
                <w:sz w:val="20"/>
                <w:szCs w:val="20"/>
                <w:color w:val="auto"/>
              </w:rPr>
            </w:pPr>
            <w:r>
              <w:rPr>
                <w:rFonts w:ascii="Arial" w:cs="Arial" w:eastAsia="Arial" w:hAnsi="Arial"/>
                <w:sz w:val="9"/>
                <w:szCs w:val="9"/>
                <w:color w:val="auto"/>
              </w:rPr>
              <w:t>(12)</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33.4200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01/31/26</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05/20/15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1,593</w:t>
            </w:r>
          </w:p>
        </w:tc>
        <w:tc>
          <w:tcPr>
            <w:tcW w:w="360" w:type="dxa"/>
            <w:vAlign w:val="bottom"/>
            <w:gridSpan w:val="2"/>
          </w:tcPr>
          <w:p>
            <w:pPr>
              <w:ind w:left="60"/>
              <w:spacing w:after="0"/>
              <w:rPr>
                <w:sz w:val="20"/>
                <w:szCs w:val="20"/>
                <w:color w:val="auto"/>
              </w:rPr>
            </w:pPr>
            <w:r>
              <w:rPr>
                <w:rFonts w:ascii="Arial" w:cs="Arial" w:eastAsia="Arial" w:hAnsi="Arial"/>
                <w:sz w:val="9"/>
                <w:szCs w:val="9"/>
                <w:color w:val="auto"/>
              </w:rPr>
              <w:t>(6)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53,780</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05/18/16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5,404</w:t>
            </w:r>
          </w:p>
        </w:tc>
        <w:tc>
          <w:tcPr>
            <w:tcW w:w="360" w:type="dxa"/>
            <w:vAlign w:val="bottom"/>
            <w:gridSpan w:val="2"/>
          </w:tcPr>
          <w:p>
            <w:pPr>
              <w:ind w:left="60"/>
              <w:spacing w:after="0"/>
              <w:rPr>
                <w:sz w:val="20"/>
                <w:szCs w:val="20"/>
                <w:color w:val="auto"/>
              </w:rPr>
            </w:pPr>
            <w:r>
              <w:rPr>
                <w:rFonts w:ascii="Arial" w:cs="Arial" w:eastAsia="Arial" w:hAnsi="Arial"/>
                <w:sz w:val="9"/>
                <w:szCs w:val="9"/>
                <w:color w:val="auto"/>
              </w:rPr>
              <w:t>(7)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182,439</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05/18/17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9,268</w:t>
            </w:r>
          </w:p>
        </w:tc>
        <w:tc>
          <w:tcPr>
            <w:tcW w:w="360" w:type="dxa"/>
            <w:vAlign w:val="bottom"/>
            <w:gridSpan w:val="2"/>
          </w:tcPr>
          <w:p>
            <w:pPr>
              <w:ind w:left="60"/>
              <w:spacing w:after="0"/>
              <w:rPr>
                <w:sz w:val="20"/>
                <w:szCs w:val="20"/>
                <w:color w:val="auto"/>
              </w:rPr>
            </w:pPr>
            <w:r>
              <w:rPr>
                <w:rFonts w:ascii="Arial" w:cs="Arial" w:eastAsia="Arial" w:hAnsi="Arial"/>
                <w:sz w:val="9"/>
                <w:szCs w:val="9"/>
                <w:color w:val="auto"/>
              </w:rPr>
              <w:t>(13)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312,888</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01/31/18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7,331</w:t>
            </w:r>
          </w:p>
        </w:tc>
        <w:tc>
          <w:tcPr>
            <w:tcW w:w="360" w:type="dxa"/>
            <w:vAlign w:val="bottom"/>
            <w:gridSpan w:val="2"/>
          </w:tcPr>
          <w:p>
            <w:pPr>
              <w:ind w:left="60"/>
              <w:spacing w:after="0"/>
              <w:rPr>
                <w:sz w:val="20"/>
                <w:szCs w:val="20"/>
                <w:color w:val="auto"/>
              </w:rPr>
            </w:pPr>
            <w:r>
              <w:rPr>
                <w:rFonts w:ascii="Arial" w:cs="Arial" w:eastAsia="Arial" w:hAnsi="Arial"/>
                <w:sz w:val="9"/>
                <w:szCs w:val="9"/>
                <w:color w:val="auto"/>
              </w:rPr>
              <w:t>(14)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247,495</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5"/>
        </w:trPr>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11/20/17</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auto"/>
              </w:rPr>
              <w:t>6,521</w:t>
            </w:r>
          </w:p>
        </w:tc>
        <w:tc>
          <w:tcPr>
            <w:tcW w:w="36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color w:val="auto"/>
              </w:rPr>
              <w:t>(10)</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auto"/>
              </w:rPr>
              <w:t>220,157</w:t>
            </w:r>
          </w:p>
        </w:tc>
        <w:tc>
          <w:tcPr>
            <w:tcW w:w="20" w:type="dxa"/>
            <w:vAlign w:val="bottom"/>
          </w:tcPr>
          <w:p>
            <w:pPr>
              <w:spacing w:after="0"/>
              <w:rPr>
                <w:sz w:val="10"/>
                <w:szCs w:val="10"/>
                <w:color w:val="auto"/>
              </w:rPr>
            </w:pPr>
          </w:p>
        </w:tc>
      </w:tr>
      <w:tr>
        <w:trPr>
          <w:trHeight w:val="412"/>
        </w:trPr>
        <w:tc>
          <w:tcPr>
            <w:tcW w:w="1500" w:type="dxa"/>
            <w:vAlign w:val="bottom"/>
            <w:gridSpan w:val="2"/>
          </w:tcPr>
          <w:p>
            <w:pPr>
              <w:spacing w:after="0"/>
              <w:rPr>
                <w:sz w:val="20"/>
                <w:szCs w:val="20"/>
                <w:color w:val="auto"/>
              </w:rPr>
            </w:pPr>
            <w:r>
              <w:rPr>
                <w:rFonts w:ascii="Arial" w:cs="Arial" w:eastAsia="Arial" w:hAnsi="Arial"/>
                <w:sz w:val="18"/>
                <w:szCs w:val="18"/>
                <w:b w:val="1"/>
                <w:bCs w:val="1"/>
                <w:color w:val="484848"/>
              </w:rPr>
              <w:t xml:space="preserve">54  </w:t>
            </w:r>
            <w:r>
              <w:rPr>
                <w:rFonts w:ascii="Arial" w:cs="Arial" w:eastAsia="Arial" w:hAnsi="Arial"/>
                <w:sz w:val="18"/>
                <w:szCs w:val="18"/>
                <w:b w:val="1"/>
                <w:bCs w:val="1"/>
                <w:color w:val="1CB6EA"/>
              </w:rPr>
              <w:t>VIACOM INC.</w:t>
            </w:r>
          </w:p>
        </w:tc>
        <w:tc>
          <w:tcPr>
            <w:tcW w:w="660" w:type="dxa"/>
            <w:vAlign w:val="bottom"/>
          </w:tcPr>
          <w:p>
            <w:pPr>
              <w:spacing w:after="0"/>
              <w:rPr>
                <w:sz w:val="24"/>
                <w:szCs w:val="24"/>
                <w:color w:val="auto"/>
              </w:rPr>
            </w:pPr>
          </w:p>
        </w:tc>
        <w:tc>
          <w:tcPr>
            <w:tcW w:w="60" w:type="dxa"/>
            <w:vAlign w:val="bottom"/>
            <w:tcBorders>
              <w:right w:val="single" w:sz="8" w:color="00BBE6"/>
            </w:tcBorders>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484848"/>
              </w:rPr>
              <w:t>2019 Proxy Statement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3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ind w:left="640"/>
              <w:spacing w:after="0"/>
              <w:rPr>
                <w:sz w:val="20"/>
                <w:szCs w:val="20"/>
                <w:color w:val="auto"/>
              </w:rPr>
            </w:pPr>
            <w:r>
              <w:rPr>
                <w:rFonts w:ascii="Arial" w:cs="Arial" w:eastAsia="Arial" w:hAnsi="Arial"/>
                <w:sz w:val="11"/>
                <w:szCs w:val="11"/>
                <w:b w:val="1"/>
                <w:bCs w:val="1"/>
                <w:color w:val="auto"/>
                <w:w w:val="99"/>
              </w:rPr>
              <w:t>Option Awards</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Stock Awards</w:t>
            </w:r>
          </w:p>
        </w:tc>
        <w:tc>
          <w:tcPr>
            <w:tcW w:w="820" w:type="dxa"/>
            <w:vAlign w:val="bottom"/>
            <w:tcBorders>
              <w:bottom w:val="single" w:sz="8" w:color="auto"/>
            </w:tcBorders>
          </w:tcPr>
          <w:p>
            <w:pPr>
              <w:spacing w:after="0"/>
              <w:rPr>
                <w:sz w:val="11"/>
                <w:szCs w:val="11"/>
                <w:color w:val="auto"/>
              </w:rPr>
            </w:pPr>
          </w:p>
        </w:tc>
      </w:tr>
      <w:tr>
        <w:trPr>
          <w:trHeight w:val="113"/>
        </w:trPr>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jc w:val="center"/>
              <w:ind w:right="26"/>
              <w:spacing w:after="0" w:line="114" w:lineRule="exact"/>
              <w:rPr>
                <w:sz w:val="20"/>
                <w:szCs w:val="20"/>
                <w:color w:val="auto"/>
              </w:rPr>
            </w:pPr>
            <w:r>
              <w:rPr>
                <w:rFonts w:ascii="Arial" w:cs="Arial" w:eastAsia="Arial" w:hAnsi="Arial"/>
                <w:sz w:val="11"/>
                <w:szCs w:val="11"/>
                <w:b w:val="1"/>
                <w:bCs w:val="1"/>
                <w:color w:val="auto"/>
              </w:rPr>
              <w:t>Equity</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rPr>
              <w:t>Equity</w:t>
            </w:r>
          </w:p>
        </w:tc>
        <w:tc>
          <w:tcPr>
            <w:tcW w:w="8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6"/>
              </w:rPr>
              <w:t>Incentive</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6"/>
              </w:rPr>
              <w:t>Incentive</w:t>
            </w: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7"/>
              </w:rPr>
              <w:t>Plan Awards:</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rPr>
              <w:t>Plan Awards:</w:t>
            </w: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6"/>
              </w:rPr>
              <w:t>Market or</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5"/>
              </w:rPr>
              <w:t>Market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8"/>
              </w:rPr>
              <w:t>Number of</w:t>
            </w: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Payout Value</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9"/>
              </w:rPr>
              <w:t>of Shares</w:t>
            </w:r>
          </w:p>
        </w:tc>
        <w:tc>
          <w:tcPr>
            <w:tcW w:w="70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8"/>
              </w:rPr>
              <w:t>Value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8"/>
              </w:rPr>
              <w:t>Unearned</w:t>
            </w:r>
          </w:p>
        </w:tc>
        <w:tc>
          <w:tcPr>
            <w:tcW w:w="8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6"/>
              </w:rPr>
              <w:t>of Unearned</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rPr>
              <w:t>or Units</w:t>
            </w:r>
          </w:p>
        </w:tc>
        <w:tc>
          <w:tcPr>
            <w:tcW w:w="70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8"/>
              </w:rPr>
              <w:t>Shares or</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5"/>
              </w:rPr>
              <w:t>Shares,</w:t>
            </w:r>
          </w:p>
        </w:tc>
        <w:tc>
          <w:tcPr>
            <w:tcW w:w="8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5"/>
              </w:rPr>
              <w:t>Shares,</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6"/>
              </w:rPr>
              <w:t>of Stock</w:t>
            </w:r>
          </w:p>
        </w:tc>
        <w:tc>
          <w:tcPr>
            <w:tcW w:w="70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7"/>
              </w:rPr>
              <w:t>Units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rPr>
              <w:t>Units or</w:t>
            </w: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6"/>
              </w:rPr>
              <w:t>Units or</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rPr>
              <w:t>Option</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rPr>
              <w:t>Option</w:t>
            </w:r>
          </w:p>
        </w:tc>
        <w:tc>
          <w:tcPr>
            <w:tcW w:w="124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4"/>
              </w:rPr>
              <w:t>That</w:t>
            </w:r>
          </w:p>
        </w:tc>
        <w:tc>
          <w:tcPr>
            <w:tcW w:w="70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5"/>
              </w:rPr>
              <w:t>Stock That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8"/>
              </w:rPr>
              <w:t>Other Rights</w:t>
            </w:r>
          </w:p>
        </w:tc>
        <w:tc>
          <w:tcPr>
            <w:tcW w:w="8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8"/>
              </w:rPr>
              <w:t>Other Rights</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Award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4"/>
          </w:tcPr>
          <w:p>
            <w:pPr>
              <w:jc w:val="right"/>
              <w:ind w:right="226"/>
              <w:spacing w:after="0" w:line="122" w:lineRule="exact"/>
              <w:rPr>
                <w:sz w:val="20"/>
                <w:szCs w:val="20"/>
                <w:color w:val="auto"/>
              </w:rPr>
            </w:pPr>
            <w:r>
              <w:rPr>
                <w:rFonts w:ascii="Arial" w:cs="Arial" w:eastAsia="Arial" w:hAnsi="Arial"/>
                <w:sz w:val="11"/>
                <w:szCs w:val="11"/>
                <w:b w:val="1"/>
                <w:bCs w:val="1"/>
                <w:color w:val="auto"/>
              </w:rPr>
              <w:t>Number of Securities Underlying</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7"/>
              </w:rPr>
              <w:t>Exercise</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6"/>
              </w:rPr>
              <w:t>Expiration</w:t>
            </w:r>
          </w:p>
        </w:tc>
        <w:tc>
          <w:tcPr>
            <w:tcW w:w="124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6"/>
              </w:rPr>
              <w:t>Have Not</w:t>
            </w:r>
          </w:p>
        </w:tc>
        <w:tc>
          <w:tcPr>
            <w:tcW w:w="70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6"/>
              </w:rPr>
              <w:t>Have Not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5"/>
              </w:rPr>
              <w:t>That Have</w:t>
            </w: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That Have</w:t>
            </w:r>
          </w:p>
        </w:tc>
      </w:tr>
      <w:tr>
        <w:trPr>
          <w:trHeight w:val="137"/>
        </w:trPr>
        <w:tc>
          <w:tcPr>
            <w:tcW w:w="1360" w:type="dxa"/>
            <w:vAlign w:val="bottom"/>
          </w:tcPr>
          <w:p>
            <w:pPr>
              <w:ind w:left="520"/>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11"/>
                <w:szCs w:val="11"/>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4"/>
          </w:tcPr>
          <w:p>
            <w:pPr>
              <w:jc w:val="right"/>
              <w:ind w:right="446"/>
              <w:spacing w:after="0"/>
              <w:rPr>
                <w:sz w:val="20"/>
                <w:szCs w:val="20"/>
                <w:color w:val="auto"/>
              </w:rPr>
            </w:pPr>
            <w:r>
              <w:rPr>
                <w:rFonts w:ascii="Arial" w:cs="Arial" w:eastAsia="Arial" w:hAnsi="Arial"/>
                <w:sz w:val="11"/>
                <w:szCs w:val="11"/>
                <w:b w:val="1"/>
                <w:bCs w:val="1"/>
                <w:color w:val="auto"/>
              </w:rPr>
              <w:t>Unexercised Options (#)</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Price ($)</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Date</w:t>
            </w:r>
          </w:p>
        </w:tc>
        <w:tc>
          <w:tcPr>
            <w:tcW w:w="12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Vested (#)</w:t>
            </w:r>
          </w:p>
        </w:tc>
        <w:tc>
          <w:tcPr>
            <w:tcW w:w="700" w:type="dxa"/>
            <w:vAlign w:val="bottom"/>
          </w:tcPr>
          <w:p>
            <w:pPr>
              <w:jc w:val="center"/>
              <w:ind w:left="66"/>
              <w:spacing w:after="0"/>
              <w:rPr>
                <w:sz w:val="20"/>
                <w:szCs w:val="20"/>
                <w:color w:val="auto"/>
              </w:rPr>
            </w:pPr>
            <w:r>
              <w:rPr>
                <w:rFonts w:ascii="Arial" w:cs="Arial" w:eastAsia="Arial" w:hAnsi="Arial"/>
                <w:sz w:val="11"/>
                <w:szCs w:val="11"/>
                <w:b w:val="1"/>
                <w:bCs w:val="1"/>
                <w:color w:val="auto"/>
                <w:w w:val="95"/>
              </w:rPr>
              <w:t>Vested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7"/>
              </w:rPr>
              <w:t>Not Vested (#)</w:t>
            </w:r>
          </w:p>
        </w:tc>
        <w:tc>
          <w:tcPr>
            <w:tcW w:w="82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Not Vested ($)</w:t>
            </w:r>
          </w:p>
        </w:tc>
      </w:tr>
      <w:tr>
        <w:trPr>
          <w:trHeight w:val="174"/>
        </w:trPr>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Excercisable</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Unexercisable</w:t>
            </w: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36"/>
        </w:trPr>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29"/>
        </w:trPr>
        <w:tc>
          <w:tcPr>
            <w:tcW w:w="1360" w:type="dxa"/>
            <w:vAlign w:val="bottom"/>
            <w:shd w:val="clear" w:color="auto" w:fill="D9D9D9"/>
          </w:tcPr>
          <w:p>
            <w:pPr>
              <w:spacing w:after="0"/>
              <w:rPr>
                <w:sz w:val="20"/>
                <w:szCs w:val="20"/>
                <w:color w:val="auto"/>
              </w:rPr>
            </w:pPr>
            <w:r>
              <w:rPr>
                <w:rFonts w:ascii="Arial" w:cs="Arial" w:eastAsia="Arial" w:hAnsi="Arial"/>
                <w:sz w:val="11"/>
                <w:szCs w:val="11"/>
                <w:color w:val="auto"/>
              </w:rPr>
              <w:t>Scott M. Mills</w:t>
            </w:r>
          </w:p>
        </w:tc>
        <w:tc>
          <w:tcPr>
            <w:tcW w:w="100" w:type="dxa"/>
            <w:vAlign w:val="bottom"/>
            <w:shd w:val="clear" w:color="auto" w:fill="D9D9D9"/>
          </w:tcPr>
          <w:p>
            <w:pPr>
              <w:spacing w:after="0"/>
              <w:rPr>
                <w:sz w:val="11"/>
                <w:szCs w:val="11"/>
                <w:color w:val="auto"/>
              </w:rPr>
            </w:pPr>
          </w:p>
        </w:tc>
        <w:tc>
          <w:tcPr>
            <w:tcW w:w="66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76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05/25/11</w:t>
            </w:r>
          </w:p>
        </w:tc>
        <w:tc>
          <w:tcPr>
            <w:tcW w:w="108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25,018</w:t>
            </w:r>
          </w:p>
        </w:tc>
        <w:tc>
          <w:tcPr>
            <w:tcW w:w="126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49.9500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05/25/19</w:t>
            </w:r>
          </w:p>
        </w:tc>
        <w:tc>
          <w:tcPr>
            <w:tcW w:w="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05/23/12</w:t>
            </w:r>
          </w:p>
        </w:tc>
        <w:tc>
          <w:tcPr>
            <w:tcW w:w="108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37,708</w:t>
            </w:r>
          </w:p>
        </w:tc>
        <w:tc>
          <w:tcPr>
            <w:tcW w:w="126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47.2100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05/23/20</w:t>
            </w:r>
          </w:p>
        </w:tc>
        <w:tc>
          <w:tcPr>
            <w:tcW w:w="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05/22/13</w:t>
            </w:r>
          </w:p>
        </w:tc>
        <w:tc>
          <w:tcPr>
            <w:tcW w:w="108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33,794</w:t>
            </w:r>
          </w:p>
        </w:tc>
        <w:tc>
          <w:tcPr>
            <w:tcW w:w="126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69.5600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05/22/21</w:t>
            </w:r>
          </w:p>
        </w:tc>
        <w:tc>
          <w:tcPr>
            <w:tcW w:w="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05/21/14</w:t>
            </w:r>
          </w:p>
        </w:tc>
        <w:tc>
          <w:tcPr>
            <w:tcW w:w="120" w:type="dxa"/>
            <w:vAlign w:val="bottom"/>
          </w:tcPr>
          <w:p>
            <w:pPr>
              <w:spacing w:after="0"/>
              <w:rPr>
                <w:sz w:val="11"/>
                <w:szCs w:val="11"/>
                <w:color w:val="auto"/>
              </w:rPr>
            </w:pP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28,986</w:t>
            </w:r>
          </w:p>
        </w:tc>
        <w:tc>
          <w:tcPr>
            <w:tcW w:w="126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D9D9D9"/>
          </w:tcPr>
          <w:p>
            <w:pPr>
              <w:spacing w:after="0"/>
              <w:rPr>
                <w:sz w:val="11"/>
                <w:szCs w:val="11"/>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84.4600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05/21/22</w:t>
            </w:r>
          </w:p>
        </w:tc>
        <w:tc>
          <w:tcPr>
            <w:tcW w:w="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05/20/15</w:t>
            </w:r>
          </w:p>
        </w:tc>
        <w:tc>
          <w:tcPr>
            <w:tcW w:w="220" w:type="dxa"/>
            <w:vAlign w:val="bottom"/>
            <w:gridSpan w:val="2"/>
          </w:tcPr>
          <w:p>
            <w:pPr>
              <w:spacing w:after="0"/>
              <w:rPr>
                <w:sz w:val="11"/>
                <w:szCs w:val="11"/>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61,756</w:t>
            </w:r>
          </w:p>
        </w:tc>
        <w:tc>
          <w:tcPr>
            <w:tcW w:w="126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20,586</w:t>
            </w:r>
          </w:p>
        </w:tc>
        <w:tc>
          <w:tcPr>
            <w:tcW w:w="400" w:type="dxa"/>
            <w:vAlign w:val="bottom"/>
            <w:shd w:val="clear" w:color="auto" w:fill="D9D9D9"/>
          </w:tcPr>
          <w:p>
            <w:pPr>
              <w:ind w:left="120"/>
              <w:spacing w:after="0"/>
              <w:rPr>
                <w:sz w:val="20"/>
                <w:szCs w:val="20"/>
                <w:color w:val="auto"/>
              </w:rPr>
            </w:pPr>
            <w:r>
              <w:rPr>
                <w:rFonts w:ascii="Arial" w:cs="Arial" w:eastAsia="Arial" w:hAnsi="Arial"/>
                <w:sz w:val="9"/>
                <w:szCs w:val="9"/>
                <w:color w:val="auto"/>
              </w:rPr>
              <w:t>(1)</w:t>
            </w: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65.9200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05/20/23</w:t>
            </w:r>
          </w:p>
        </w:tc>
        <w:tc>
          <w:tcPr>
            <w:tcW w:w="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05/18/16</w:t>
            </w:r>
          </w:p>
        </w:tc>
        <w:tc>
          <w:tcPr>
            <w:tcW w:w="1080" w:type="dxa"/>
            <w:vAlign w:val="bottom"/>
            <w:gridSpan w:val="3"/>
          </w:tcPr>
          <w:p>
            <w:pPr>
              <w:jc w:val="right"/>
              <w:spacing w:after="0"/>
              <w:rPr>
                <w:sz w:val="20"/>
                <w:szCs w:val="20"/>
                <w:color w:val="auto"/>
              </w:rPr>
            </w:pPr>
            <w:r>
              <w:rPr>
                <w:rFonts w:ascii="Arial" w:cs="Arial" w:eastAsia="Arial" w:hAnsi="Arial"/>
                <w:sz w:val="11"/>
                <w:szCs w:val="11"/>
                <w:color w:val="auto"/>
              </w:rPr>
              <w:t>52,023</w:t>
            </w:r>
          </w:p>
        </w:tc>
        <w:tc>
          <w:tcPr>
            <w:tcW w:w="1260" w:type="dxa"/>
            <w:vAlign w:val="bottom"/>
            <w:gridSpan w:val="3"/>
            <w:shd w:val="clear" w:color="auto" w:fill="D9D9D9"/>
          </w:tcPr>
          <w:p>
            <w:pPr>
              <w:jc w:val="right"/>
              <w:spacing w:after="0"/>
              <w:rPr>
                <w:sz w:val="20"/>
                <w:szCs w:val="20"/>
                <w:color w:val="auto"/>
              </w:rPr>
            </w:pPr>
            <w:r>
              <w:rPr>
                <w:rFonts w:ascii="Arial" w:cs="Arial" w:eastAsia="Arial" w:hAnsi="Arial"/>
                <w:sz w:val="11"/>
                <w:szCs w:val="11"/>
                <w:color w:val="auto"/>
              </w:rPr>
              <w:t>52,023</w:t>
            </w:r>
          </w:p>
        </w:tc>
        <w:tc>
          <w:tcPr>
            <w:tcW w:w="400" w:type="dxa"/>
            <w:vAlign w:val="bottom"/>
            <w:shd w:val="clear" w:color="auto" w:fill="D9D9D9"/>
          </w:tcPr>
          <w:p>
            <w:pPr>
              <w:ind w:left="120"/>
              <w:spacing w:after="0"/>
              <w:rPr>
                <w:sz w:val="20"/>
                <w:szCs w:val="20"/>
                <w:color w:val="auto"/>
              </w:rPr>
            </w:pPr>
            <w:r>
              <w:rPr>
                <w:rFonts w:ascii="Arial" w:cs="Arial" w:eastAsia="Arial" w:hAnsi="Arial"/>
                <w:sz w:val="9"/>
                <w:szCs w:val="9"/>
                <w:color w:val="auto"/>
              </w:rPr>
              <w:t>(2)</w:t>
            </w: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38.8600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05/18/24</w:t>
            </w:r>
          </w:p>
        </w:tc>
        <w:tc>
          <w:tcPr>
            <w:tcW w:w="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05/18/17</w:t>
            </w:r>
          </w:p>
        </w:tc>
        <w:tc>
          <w:tcPr>
            <w:tcW w:w="1080" w:type="dxa"/>
            <w:vAlign w:val="bottom"/>
            <w:gridSpan w:val="3"/>
          </w:tcPr>
          <w:p>
            <w:pPr>
              <w:jc w:val="right"/>
              <w:spacing w:after="0"/>
              <w:rPr>
                <w:sz w:val="20"/>
                <w:szCs w:val="20"/>
                <w:color w:val="auto"/>
              </w:rPr>
            </w:pPr>
            <w:r>
              <w:rPr>
                <w:rFonts w:ascii="Arial" w:cs="Arial" w:eastAsia="Arial" w:hAnsi="Arial"/>
                <w:sz w:val="11"/>
                <w:szCs w:val="11"/>
                <w:color w:val="auto"/>
              </w:rPr>
              <w:t>32,991</w:t>
            </w:r>
          </w:p>
        </w:tc>
        <w:tc>
          <w:tcPr>
            <w:tcW w:w="100" w:type="dxa"/>
            <w:vAlign w:val="bottom"/>
          </w:tcPr>
          <w:p>
            <w:pPr>
              <w:spacing w:after="0"/>
              <w:rPr>
                <w:sz w:val="11"/>
                <w:szCs w:val="11"/>
                <w:color w:val="auto"/>
              </w:rPr>
            </w:pPr>
          </w:p>
        </w:tc>
        <w:tc>
          <w:tcPr>
            <w:tcW w:w="116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98,974</w:t>
            </w:r>
          </w:p>
        </w:tc>
        <w:tc>
          <w:tcPr>
            <w:tcW w:w="400" w:type="dxa"/>
            <w:vAlign w:val="bottom"/>
            <w:shd w:val="clear" w:color="auto" w:fill="D9D9D9"/>
          </w:tcPr>
          <w:p>
            <w:pPr>
              <w:ind w:left="120"/>
              <w:spacing w:after="0"/>
              <w:rPr>
                <w:sz w:val="20"/>
                <w:szCs w:val="20"/>
                <w:color w:val="auto"/>
              </w:rPr>
            </w:pPr>
            <w:r>
              <w:rPr>
                <w:rFonts w:ascii="Arial" w:cs="Arial" w:eastAsia="Arial" w:hAnsi="Arial"/>
                <w:sz w:val="9"/>
                <w:szCs w:val="9"/>
                <w:color w:val="auto"/>
              </w:rPr>
              <w:t>(11)</w:t>
            </w: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33.9900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05/18/25</w:t>
            </w:r>
          </w:p>
        </w:tc>
        <w:tc>
          <w:tcPr>
            <w:tcW w:w="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01/31/18</w:t>
            </w:r>
          </w:p>
        </w:tc>
        <w:tc>
          <w:tcPr>
            <w:tcW w:w="1080" w:type="dxa"/>
            <w:vAlign w:val="bottom"/>
            <w:gridSpan w:val="3"/>
          </w:tcPr>
          <w:p>
            <w:pPr>
              <w:jc w:val="right"/>
              <w:spacing w:after="0"/>
              <w:rPr>
                <w:sz w:val="20"/>
                <w:szCs w:val="20"/>
                <w:color w:val="auto"/>
              </w:rPr>
            </w:pPr>
            <w:r>
              <w:rPr>
                <w:rFonts w:ascii="Arial" w:cs="Arial" w:eastAsia="Arial" w:hAnsi="Arial"/>
                <w:sz w:val="11"/>
                <w:szCs w:val="11"/>
                <w:color w:val="auto"/>
              </w:rPr>
              <w:t>0</w:t>
            </w:r>
          </w:p>
        </w:tc>
        <w:tc>
          <w:tcPr>
            <w:tcW w:w="220" w:type="dxa"/>
            <w:vAlign w:val="bottom"/>
            <w:gridSpan w:val="2"/>
          </w:tcPr>
          <w:p>
            <w:pPr>
              <w:spacing w:after="0"/>
              <w:rPr>
                <w:sz w:val="11"/>
                <w:szCs w:val="11"/>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68,528</w:t>
            </w:r>
          </w:p>
        </w:tc>
        <w:tc>
          <w:tcPr>
            <w:tcW w:w="400" w:type="dxa"/>
            <w:vAlign w:val="bottom"/>
            <w:shd w:val="clear" w:color="auto" w:fill="D9D9D9"/>
          </w:tcPr>
          <w:p>
            <w:pPr>
              <w:ind w:left="120"/>
              <w:spacing w:after="0"/>
              <w:rPr>
                <w:sz w:val="20"/>
                <w:szCs w:val="20"/>
                <w:color w:val="auto"/>
              </w:rPr>
            </w:pPr>
            <w:r>
              <w:rPr>
                <w:rFonts w:ascii="Arial" w:cs="Arial" w:eastAsia="Arial" w:hAnsi="Arial"/>
                <w:sz w:val="9"/>
                <w:szCs w:val="9"/>
                <w:color w:val="auto"/>
              </w:rPr>
              <w:t>(12)</w:t>
            </w: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9D9D9"/>
          </w:tcPr>
          <w:p>
            <w:pPr>
              <w:jc w:val="right"/>
              <w:ind w:right="66"/>
              <w:spacing w:after="0"/>
              <w:rPr>
                <w:sz w:val="20"/>
                <w:szCs w:val="20"/>
                <w:color w:val="auto"/>
              </w:rPr>
            </w:pPr>
            <w:r>
              <w:rPr>
                <w:rFonts w:ascii="Arial" w:cs="Arial" w:eastAsia="Arial" w:hAnsi="Arial"/>
                <w:sz w:val="11"/>
                <w:szCs w:val="11"/>
                <w:color w:val="auto"/>
              </w:rPr>
              <w:t>33.4200</w:t>
            </w:r>
          </w:p>
        </w:tc>
        <w:tc>
          <w:tcPr>
            <w:tcW w:w="100" w:type="dxa"/>
            <w:vAlign w:val="bottom"/>
            <w:shd w:val="clear" w:color="auto" w:fill="D9D9D9"/>
          </w:tcPr>
          <w:p>
            <w:pPr>
              <w:spacing w:after="0"/>
              <w:rPr>
                <w:sz w:val="11"/>
                <w:szCs w:val="11"/>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01/31/26</w:t>
            </w:r>
          </w:p>
        </w:tc>
        <w:tc>
          <w:tcPr>
            <w:tcW w:w="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30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2229485" cy="12090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29485" cy="12090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3520" w:type="dxa"/>
            <w:vAlign w:val="bottom"/>
          </w:tcPr>
          <w:p>
            <w:pPr>
              <w:jc w:val="right"/>
              <w:ind w:right="1346"/>
              <w:spacing w:after="0"/>
              <w:rPr>
                <w:sz w:val="20"/>
                <w:szCs w:val="20"/>
                <w:color w:val="auto"/>
              </w:rPr>
            </w:pPr>
            <w:r>
              <w:rPr>
                <w:rFonts w:ascii="Arial" w:cs="Arial" w:eastAsia="Arial" w:hAnsi="Arial"/>
                <w:sz w:val="11"/>
                <w:szCs w:val="11"/>
                <w:color w:val="auto"/>
              </w:rPr>
              <w:t>05/20/15</w:t>
            </w:r>
          </w:p>
        </w:tc>
        <w:tc>
          <w:tcPr>
            <w:tcW w:w="412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5,120</w:t>
            </w:r>
          </w:p>
        </w:tc>
        <w:tc>
          <w:tcPr>
            <w:tcW w:w="300" w:type="dxa"/>
            <w:vAlign w:val="bottom"/>
            <w:shd w:val="clear" w:color="auto" w:fill="D9D9D9"/>
          </w:tcPr>
          <w:p>
            <w:pPr>
              <w:ind w:left="60"/>
              <w:spacing w:after="0"/>
              <w:rPr>
                <w:sz w:val="20"/>
                <w:szCs w:val="20"/>
                <w:color w:val="auto"/>
              </w:rPr>
            </w:pPr>
            <w:r>
              <w:rPr>
                <w:rFonts w:ascii="Arial" w:cs="Arial" w:eastAsia="Arial" w:hAnsi="Arial"/>
                <w:sz w:val="9"/>
                <w:szCs w:val="9"/>
                <w:color w:val="auto"/>
              </w:rPr>
              <w:t>(6)</w:t>
            </w:r>
          </w:p>
        </w:tc>
        <w:tc>
          <w:tcPr>
            <w:tcW w:w="260" w:type="dxa"/>
            <w:vAlign w:val="bottom"/>
            <w:shd w:val="clear" w:color="auto" w:fill="D9D9D9"/>
          </w:tcPr>
          <w:p>
            <w:pPr>
              <w:jc w:val="right"/>
              <w:ind w:right="86"/>
              <w:spacing w:after="0"/>
              <w:rPr>
                <w:sz w:val="20"/>
                <w:szCs w:val="20"/>
                <w:color w:val="auto"/>
              </w:rPr>
            </w:pPr>
            <w:r>
              <w:rPr>
                <w:rFonts w:ascii="Arial" w:cs="Arial" w:eastAsia="Arial" w:hAnsi="Arial"/>
                <w:sz w:val="11"/>
                <w:szCs w:val="11"/>
                <w:color w:val="auto"/>
              </w:rPr>
              <w:t>$</w:t>
            </w:r>
          </w:p>
        </w:tc>
        <w:tc>
          <w:tcPr>
            <w:tcW w:w="2320" w:type="dxa"/>
            <w:vAlign w:val="bottom"/>
            <w:shd w:val="clear" w:color="auto" w:fill="D9D9D9"/>
          </w:tcPr>
          <w:p>
            <w:pPr>
              <w:jc w:val="right"/>
              <w:ind w:right="1646"/>
              <w:spacing w:after="0"/>
              <w:rPr>
                <w:sz w:val="20"/>
                <w:szCs w:val="20"/>
                <w:color w:val="auto"/>
              </w:rPr>
            </w:pPr>
            <w:r>
              <w:rPr>
                <w:rFonts w:ascii="Arial" w:cs="Arial" w:eastAsia="Arial" w:hAnsi="Arial"/>
                <w:sz w:val="11"/>
                <w:szCs w:val="11"/>
                <w:color w:val="auto"/>
              </w:rPr>
              <w:t>172,851</w:t>
            </w:r>
          </w:p>
        </w:tc>
        <w:tc>
          <w:tcPr>
            <w:tcW w:w="2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r>
      <w:tr>
        <w:trPr>
          <w:trHeight w:val="135"/>
        </w:trPr>
        <w:tc>
          <w:tcPr>
            <w:tcW w:w="3520" w:type="dxa"/>
            <w:vAlign w:val="bottom"/>
          </w:tcPr>
          <w:p>
            <w:pPr>
              <w:jc w:val="right"/>
              <w:ind w:right="1346"/>
              <w:spacing w:after="0"/>
              <w:rPr>
                <w:sz w:val="20"/>
                <w:szCs w:val="20"/>
                <w:color w:val="auto"/>
              </w:rPr>
            </w:pPr>
            <w:r>
              <w:rPr>
                <w:rFonts w:ascii="Arial" w:cs="Arial" w:eastAsia="Arial" w:hAnsi="Arial"/>
                <w:sz w:val="11"/>
                <w:szCs w:val="11"/>
                <w:color w:val="auto"/>
              </w:rPr>
              <w:t>05/18/16</w:t>
            </w:r>
          </w:p>
        </w:tc>
        <w:tc>
          <w:tcPr>
            <w:tcW w:w="412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17,370</w:t>
            </w:r>
          </w:p>
        </w:tc>
        <w:tc>
          <w:tcPr>
            <w:tcW w:w="300" w:type="dxa"/>
            <w:vAlign w:val="bottom"/>
            <w:shd w:val="clear" w:color="auto" w:fill="D9D9D9"/>
          </w:tcPr>
          <w:p>
            <w:pPr>
              <w:ind w:left="60"/>
              <w:spacing w:after="0"/>
              <w:rPr>
                <w:sz w:val="20"/>
                <w:szCs w:val="20"/>
                <w:color w:val="auto"/>
              </w:rPr>
            </w:pPr>
            <w:r>
              <w:rPr>
                <w:rFonts w:ascii="Arial" w:cs="Arial" w:eastAsia="Arial" w:hAnsi="Arial"/>
                <w:sz w:val="9"/>
                <w:szCs w:val="9"/>
                <w:color w:val="auto"/>
              </w:rPr>
              <w:t>(7)</w:t>
            </w:r>
          </w:p>
        </w:tc>
        <w:tc>
          <w:tcPr>
            <w:tcW w:w="260" w:type="dxa"/>
            <w:vAlign w:val="bottom"/>
            <w:shd w:val="clear" w:color="auto" w:fill="D9D9D9"/>
          </w:tcPr>
          <w:p>
            <w:pPr>
              <w:jc w:val="right"/>
              <w:ind w:right="86"/>
              <w:spacing w:after="0"/>
              <w:rPr>
                <w:sz w:val="20"/>
                <w:szCs w:val="20"/>
                <w:color w:val="auto"/>
              </w:rPr>
            </w:pPr>
            <w:r>
              <w:rPr>
                <w:rFonts w:ascii="Arial" w:cs="Arial" w:eastAsia="Arial" w:hAnsi="Arial"/>
                <w:sz w:val="11"/>
                <w:szCs w:val="11"/>
                <w:color w:val="auto"/>
              </w:rPr>
              <w:t>$</w:t>
            </w:r>
          </w:p>
        </w:tc>
        <w:tc>
          <w:tcPr>
            <w:tcW w:w="2320" w:type="dxa"/>
            <w:vAlign w:val="bottom"/>
            <w:shd w:val="clear" w:color="auto" w:fill="D9D9D9"/>
          </w:tcPr>
          <w:p>
            <w:pPr>
              <w:jc w:val="right"/>
              <w:ind w:right="1646"/>
              <w:spacing w:after="0"/>
              <w:rPr>
                <w:sz w:val="20"/>
                <w:szCs w:val="20"/>
                <w:color w:val="auto"/>
              </w:rPr>
            </w:pPr>
            <w:r>
              <w:rPr>
                <w:rFonts w:ascii="Arial" w:cs="Arial" w:eastAsia="Arial" w:hAnsi="Arial"/>
                <w:sz w:val="11"/>
                <w:szCs w:val="11"/>
                <w:color w:val="auto"/>
              </w:rPr>
              <w:t>586,411</w:t>
            </w:r>
          </w:p>
        </w:tc>
        <w:tc>
          <w:tcPr>
            <w:tcW w:w="28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r>
      <w:tr>
        <w:trPr>
          <w:trHeight w:val="135"/>
        </w:trPr>
        <w:tc>
          <w:tcPr>
            <w:tcW w:w="3520" w:type="dxa"/>
            <w:vAlign w:val="bottom"/>
          </w:tcPr>
          <w:p>
            <w:pPr>
              <w:jc w:val="right"/>
              <w:ind w:right="1346"/>
              <w:spacing w:after="0"/>
              <w:rPr>
                <w:sz w:val="20"/>
                <w:szCs w:val="20"/>
                <w:color w:val="auto"/>
              </w:rPr>
            </w:pPr>
            <w:r>
              <w:rPr>
                <w:rFonts w:ascii="Arial" w:cs="Arial" w:eastAsia="Arial" w:hAnsi="Arial"/>
                <w:sz w:val="11"/>
                <w:szCs w:val="11"/>
                <w:color w:val="auto"/>
              </w:rPr>
              <w:t>05/18/17</w:t>
            </w:r>
          </w:p>
        </w:tc>
        <w:tc>
          <w:tcPr>
            <w:tcW w:w="412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29,789</w:t>
            </w:r>
          </w:p>
        </w:tc>
        <w:tc>
          <w:tcPr>
            <w:tcW w:w="300" w:type="dxa"/>
            <w:vAlign w:val="bottom"/>
            <w:shd w:val="clear" w:color="auto" w:fill="D9D9D9"/>
          </w:tcPr>
          <w:p>
            <w:pPr>
              <w:ind w:left="60"/>
              <w:spacing w:after="0"/>
              <w:rPr>
                <w:sz w:val="20"/>
                <w:szCs w:val="20"/>
                <w:color w:val="auto"/>
              </w:rPr>
            </w:pPr>
            <w:r>
              <w:rPr>
                <w:rFonts w:ascii="Arial" w:cs="Arial" w:eastAsia="Arial" w:hAnsi="Arial"/>
                <w:sz w:val="9"/>
                <w:szCs w:val="9"/>
                <w:color w:val="auto"/>
              </w:rPr>
              <w:t>(13)</w:t>
            </w:r>
          </w:p>
        </w:tc>
        <w:tc>
          <w:tcPr>
            <w:tcW w:w="260" w:type="dxa"/>
            <w:vAlign w:val="bottom"/>
            <w:shd w:val="clear" w:color="auto" w:fill="D9D9D9"/>
          </w:tcPr>
          <w:p>
            <w:pPr>
              <w:jc w:val="right"/>
              <w:ind w:right="86"/>
              <w:spacing w:after="0"/>
              <w:rPr>
                <w:sz w:val="20"/>
                <w:szCs w:val="20"/>
                <w:color w:val="auto"/>
              </w:rPr>
            </w:pPr>
            <w:r>
              <w:rPr>
                <w:rFonts w:ascii="Arial" w:cs="Arial" w:eastAsia="Arial" w:hAnsi="Arial"/>
                <w:sz w:val="11"/>
                <w:szCs w:val="11"/>
                <w:color w:val="auto"/>
              </w:rPr>
              <w:t>$</w:t>
            </w:r>
          </w:p>
        </w:tc>
        <w:tc>
          <w:tcPr>
            <w:tcW w:w="2320" w:type="dxa"/>
            <w:vAlign w:val="bottom"/>
            <w:shd w:val="clear" w:color="auto" w:fill="D9D9D9"/>
          </w:tcPr>
          <w:p>
            <w:pPr>
              <w:jc w:val="right"/>
              <w:ind w:right="1646"/>
              <w:spacing w:after="0"/>
              <w:rPr>
                <w:sz w:val="20"/>
                <w:szCs w:val="20"/>
                <w:color w:val="auto"/>
              </w:rPr>
            </w:pPr>
            <w:r>
              <w:rPr>
                <w:rFonts w:ascii="Arial" w:cs="Arial" w:eastAsia="Arial" w:hAnsi="Arial"/>
                <w:sz w:val="11"/>
                <w:szCs w:val="11"/>
                <w:color w:val="auto"/>
              </w:rPr>
              <w:t>1,005,677</w:t>
            </w:r>
          </w:p>
        </w:tc>
        <w:tc>
          <w:tcPr>
            <w:tcW w:w="28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r>
      <w:tr>
        <w:trPr>
          <w:trHeight w:val="135"/>
        </w:trPr>
        <w:tc>
          <w:tcPr>
            <w:tcW w:w="3520" w:type="dxa"/>
            <w:vAlign w:val="bottom"/>
          </w:tcPr>
          <w:p>
            <w:pPr>
              <w:jc w:val="right"/>
              <w:ind w:right="1346"/>
              <w:spacing w:after="0"/>
              <w:rPr>
                <w:sz w:val="20"/>
                <w:szCs w:val="20"/>
                <w:color w:val="auto"/>
              </w:rPr>
            </w:pPr>
            <w:r>
              <w:rPr>
                <w:rFonts w:ascii="Arial" w:cs="Arial" w:eastAsia="Arial" w:hAnsi="Arial"/>
                <w:sz w:val="11"/>
                <w:szCs w:val="11"/>
                <w:color w:val="auto"/>
              </w:rPr>
              <w:t>01/31/18</w:t>
            </w:r>
          </w:p>
        </w:tc>
        <w:tc>
          <w:tcPr>
            <w:tcW w:w="4120" w:type="dxa"/>
            <w:vAlign w:val="bottom"/>
            <w:shd w:val="clear" w:color="auto" w:fill="D9D9D9"/>
          </w:tcPr>
          <w:p>
            <w:pPr>
              <w:jc w:val="right"/>
              <w:ind w:right="6"/>
              <w:spacing w:after="0"/>
              <w:rPr>
                <w:sz w:val="20"/>
                <w:szCs w:val="20"/>
                <w:color w:val="auto"/>
              </w:rPr>
            </w:pPr>
            <w:r>
              <w:rPr>
                <w:rFonts w:ascii="Arial" w:cs="Arial" w:eastAsia="Arial" w:hAnsi="Arial"/>
                <w:sz w:val="11"/>
                <w:szCs w:val="11"/>
                <w:color w:val="auto"/>
              </w:rPr>
              <w:t>23,564</w:t>
            </w:r>
          </w:p>
        </w:tc>
        <w:tc>
          <w:tcPr>
            <w:tcW w:w="300" w:type="dxa"/>
            <w:vAlign w:val="bottom"/>
            <w:shd w:val="clear" w:color="auto" w:fill="D9D9D9"/>
          </w:tcPr>
          <w:p>
            <w:pPr>
              <w:ind w:left="60"/>
              <w:spacing w:after="0"/>
              <w:rPr>
                <w:sz w:val="20"/>
                <w:szCs w:val="20"/>
                <w:color w:val="auto"/>
              </w:rPr>
            </w:pPr>
            <w:r>
              <w:rPr>
                <w:rFonts w:ascii="Arial" w:cs="Arial" w:eastAsia="Arial" w:hAnsi="Arial"/>
                <w:sz w:val="9"/>
                <w:szCs w:val="9"/>
                <w:color w:val="auto"/>
              </w:rPr>
              <w:t>(14)</w:t>
            </w:r>
          </w:p>
        </w:tc>
        <w:tc>
          <w:tcPr>
            <w:tcW w:w="260" w:type="dxa"/>
            <w:vAlign w:val="bottom"/>
            <w:shd w:val="clear" w:color="auto" w:fill="D9D9D9"/>
          </w:tcPr>
          <w:p>
            <w:pPr>
              <w:jc w:val="right"/>
              <w:ind w:right="86"/>
              <w:spacing w:after="0"/>
              <w:rPr>
                <w:sz w:val="20"/>
                <w:szCs w:val="20"/>
                <w:color w:val="auto"/>
              </w:rPr>
            </w:pPr>
            <w:r>
              <w:rPr>
                <w:rFonts w:ascii="Arial" w:cs="Arial" w:eastAsia="Arial" w:hAnsi="Arial"/>
                <w:sz w:val="11"/>
                <w:szCs w:val="11"/>
                <w:color w:val="auto"/>
              </w:rPr>
              <w:t>$</w:t>
            </w:r>
          </w:p>
        </w:tc>
        <w:tc>
          <w:tcPr>
            <w:tcW w:w="2320" w:type="dxa"/>
            <w:vAlign w:val="bottom"/>
            <w:shd w:val="clear" w:color="auto" w:fill="D9D9D9"/>
          </w:tcPr>
          <w:p>
            <w:pPr>
              <w:jc w:val="right"/>
              <w:ind w:right="1646"/>
              <w:spacing w:after="0"/>
              <w:rPr>
                <w:sz w:val="20"/>
                <w:szCs w:val="20"/>
                <w:color w:val="auto"/>
              </w:rPr>
            </w:pPr>
            <w:r>
              <w:rPr>
                <w:rFonts w:ascii="Arial" w:cs="Arial" w:eastAsia="Arial" w:hAnsi="Arial"/>
                <w:sz w:val="11"/>
                <w:szCs w:val="11"/>
                <w:color w:val="auto"/>
              </w:rPr>
              <w:t>795,521</w:t>
            </w:r>
          </w:p>
        </w:tc>
        <w:tc>
          <w:tcPr>
            <w:tcW w:w="28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r>
      <w:tr>
        <w:trPr>
          <w:trHeight w:val="135"/>
        </w:trPr>
        <w:tc>
          <w:tcPr>
            <w:tcW w:w="3520" w:type="dxa"/>
            <w:vAlign w:val="bottom"/>
            <w:tcBorders>
              <w:bottom w:val="single" w:sz="8" w:color="auto"/>
            </w:tcBorders>
          </w:tcPr>
          <w:p>
            <w:pPr>
              <w:jc w:val="right"/>
              <w:ind w:right="1346"/>
              <w:spacing w:after="0"/>
              <w:rPr>
                <w:sz w:val="20"/>
                <w:szCs w:val="20"/>
                <w:color w:val="auto"/>
              </w:rPr>
            </w:pPr>
            <w:r>
              <w:rPr>
                <w:rFonts w:ascii="Arial" w:cs="Arial" w:eastAsia="Arial" w:hAnsi="Arial"/>
                <w:sz w:val="11"/>
                <w:szCs w:val="11"/>
                <w:color w:val="auto"/>
              </w:rPr>
              <w:t>11/20/17</w:t>
            </w:r>
          </w:p>
        </w:tc>
        <w:tc>
          <w:tcPr>
            <w:tcW w:w="4120" w:type="dxa"/>
            <w:vAlign w:val="bottom"/>
            <w:tcBorders>
              <w:bottom w:val="single" w:sz="8" w:color="auto"/>
            </w:tcBorders>
            <w:shd w:val="clear" w:color="auto" w:fill="D9D9D9"/>
          </w:tcPr>
          <w:p>
            <w:pPr>
              <w:spacing w:after="0"/>
              <w:rPr>
                <w:sz w:val="11"/>
                <w:szCs w:val="11"/>
                <w:color w:val="auto"/>
              </w:rPr>
            </w:pPr>
          </w:p>
        </w:tc>
        <w:tc>
          <w:tcPr>
            <w:tcW w:w="300" w:type="dxa"/>
            <w:vAlign w:val="bottom"/>
            <w:tcBorders>
              <w:bottom w:val="single" w:sz="8" w:color="auto"/>
            </w:tcBorders>
            <w:shd w:val="clear" w:color="auto" w:fill="D9D9D9"/>
          </w:tcPr>
          <w:p>
            <w:pPr>
              <w:spacing w:after="0"/>
              <w:rPr>
                <w:sz w:val="11"/>
                <w:szCs w:val="11"/>
                <w:color w:val="auto"/>
              </w:rPr>
            </w:pPr>
          </w:p>
        </w:tc>
        <w:tc>
          <w:tcPr>
            <w:tcW w:w="260" w:type="dxa"/>
            <w:vAlign w:val="bottom"/>
            <w:tcBorders>
              <w:bottom w:val="single" w:sz="8" w:color="auto"/>
            </w:tcBorders>
            <w:shd w:val="clear" w:color="auto" w:fill="D9D9D9"/>
          </w:tcPr>
          <w:p>
            <w:pPr>
              <w:spacing w:after="0"/>
              <w:rPr>
                <w:sz w:val="11"/>
                <w:szCs w:val="11"/>
                <w:color w:val="auto"/>
              </w:rPr>
            </w:pPr>
          </w:p>
        </w:tc>
        <w:tc>
          <w:tcPr>
            <w:tcW w:w="2320" w:type="dxa"/>
            <w:vAlign w:val="bottom"/>
            <w:tcBorders>
              <w:bottom w:val="single" w:sz="8" w:color="auto"/>
            </w:tcBorders>
            <w:shd w:val="clear" w:color="auto" w:fill="D9D9D9"/>
          </w:tcPr>
          <w:p>
            <w:pPr>
              <w:jc w:val="right"/>
              <w:ind w:right="6"/>
              <w:spacing w:after="0"/>
              <w:rPr>
                <w:sz w:val="20"/>
                <w:szCs w:val="20"/>
                <w:color w:val="auto"/>
              </w:rPr>
            </w:pPr>
            <w:r>
              <w:rPr>
                <w:rFonts w:ascii="Arial" w:cs="Arial" w:eastAsia="Arial" w:hAnsi="Arial"/>
                <w:sz w:val="11"/>
                <w:szCs w:val="11"/>
                <w:color w:val="auto"/>
              </w:rPr>
              <w:t xml:space="preserve">20,961  </w:t>
            </w:r>
            <w:r>
              <w:rPr>
                <w:rFonts w:ascii="Arial" w:cs="Arial" w:eastAsia="Arial" w:hAnsi="Arial"/>
                <w:sz w:val="9"/>
                <w:szCs w:val="9"/>
                <w:color w:val="auto"/>
              </w:rPr>
              <w:t>(10)</w:t>
            </w:r>
          </w:p>
        </w:tc>
        <w:tc>
          <w:tcPr>
            <w:tcW w:w="280" w:type="dxa"/>
            <w:vAlign w:val="bottom"/>
            <w:tcBorders>
              <w:bottom w:val="single" w:sz="8" w:color="auto"/>
            </w:tcBorders>
            <w:shd w:val="clear" w:color="auto" w:fill="D9D9D9"/>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D9D9D9"/>
          </w:tcPr>
          <w:p>
            <w:pPr>
              <w:jc w:val="right"/>
              <w:ind w:right="6"/>
              <w:spacing w:after="0"/>
              <w:rPr>
                <w:sz w:val="20"/>
                <w:szCs w:val="20"/>
                <w:color w:val="auto"/>
              </w:rPr>
            </w:pPr>
            <w:r>
              <w:rPr>
                <w:rFonts w:ascii="Arial" w:cs="Arial" w:eastAsia="Arial" w:hAnsi="Arial"/>
                <w:sz w:val="11"/>
                <w:szCs w:val="11"/>
                <w:color w:val="auto"/>
              </w:rPr>
              <w:t>707,638</w:t>
            </w:r>
          </w:p>
        </w:tc>
      </w:tr>
    </w:tbl>
    <w:p>
      <w:pPr>
        <w:spacing w:after="0" w:line="120" w:lineRule="exact"/>
        <w:rPr>
          <w:sz w:val="20"/>
          <w:szCs w:val="20"/>
          <w:color w:val="auto"/>
        </w:rPr>
      </w:pPr>
    </w:p>
    <w:p>
      <w:pPr>
        <w:ind w:left="440" w:hanging="432"/>
        <w:spacing w:after="0"/>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Remaining portion of stock option grant vests on May 20, 2019.</w:t>
      </w:r>
    </w:p>
    <w:p>
      <w:pPr>
        <w:spacing w:after="0" w:line="1" w:lineRule="exact"/>
        <w:rPr>
          <w:rFonts w:ascii="Arial" w:cs="Arial" w:eastAsia="Arial" w:hAnsi="Arial"/>
          <w:sz w:val="11"/>
          <w:szCs w:val="11"/>
          <w:i w:val="1"/>
          <w:iCs w:val="1"/>
          <w:color w:val="auto"/>
        </w:rPr>
      </w:pP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Remaining stock option grant vests in equal annual installments on May 18, 2019 and 2020.</w:t>
      </w: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Remaining stock option grant vests in equal annual installments on November 10, 2018, 2019 and 2020.</w:t>
      </w: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Remaining stock option grant vests in equal annual installments on January 9, 2019, 2020 and 2021.</w:t>
      </w: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Stock option grant vests in equal annual installments on November 20, 2018, 2019, 2020 and 2021.</w:t>
      </w: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Remaining RSUs vest on May 20, 2019.</w:t>
      </w: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Remaining RSUs vest in equal installments on May 18, 2019 and 2020.</w:t>
      </w: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Remaining RSUs vest in equal installments on November 10, 2018, 2019 and 2020.</w:t>
      </w:r>
    </w:p>
    <w:p>
      <w:pPr>
        <w:jc w:val="both"/>
        <w:ind w:left="440" w:right="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the threshold amount, or 25%, of the target award (82,640 PSUs), which is the minimum amount that could be paid if the market condition for the PSU award is met. PSUs vest after the end of the measurement period on December 31, 2019 subject to satisfaction of the market condition for the measurement period and certification by the Compensation Committee.</w:t>
      </w:r>
    </w:p>
    <w:p>
      <w:pPr>
        <w:jc w:val="both"/>
        <w:ind w:left="440" w:right="2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the threshold amount, or 25% of the target TSR Shares and 50% of the target fiscal year 2019-2020 EPS Shares, which is the minimum amount that could be paid if the market and performance conditions for those portions of the PSU awards is met, and, since the performance period is complete, 155% of the target fiscal year 2018 EPS shares. PSUs vest after the end of the measurement period on September 30, 2020 subject to satisfaction of the market and performance conditions for the measurement period and certification by the Compensation Committee.</w:t>
      </w:r>
    </w:p>
    <w:p>
      <w:pPr>
        <w:spacing w:after="0" w:line="1" w:lineRule="exact"/>
        <w:rPr>
          <w:rFonts w:ascii="Arial" w:cs="Arial" w:eastAsia="Arial" w:hAnsi="Arial"/>
          <w:sz w:val="11"/>
          <w:szCs w:val="11"/>
          <w:i w:val="1"/>
          <w:iCs w:val="1"/>
          <w:color w:val="auto"/>
        </w:rPr>
      </w:pP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Remaining stock option grant vests in equal annual installments on May 18, 2019, 2020 and 2021.</w:t>
      </w: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Stock option grant vests in equal annual installments on January 31, 2019, 2020, 2021 and 2022.</w:t>
      </w:r>
    </w:p>
    <w:p>
      <w:pPr>
        <w:ind w:left="440" w:hanging="432"/>
        <w:spacing w:after="0" w:line="221" w:lineRule="auto"/>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Remaining RSUs vest in equal installments on May 18, 2019, 2020 and 2021.</w:t>
      </w:r>
    </w:p>
    <w:p>
      <w:pPr>
        <w:ind w:left="440" w:hanging="432"/>
        <w:spacing w:after="0"/>
        <w:tabs>
          <w:tab w:leader="none" w:pos="440" w:val="left"/>
        </w:tabs>
        <w:numPr>
          <w:ilvl w:val="0"/>
          <w:numId w:val="79"/>
        </w:numPr>
        <w:rPr>
          <w:rFonts w:ascii="Arial" w:cs="Arial" w:eastAsia="Arial" w:hAnsi="Arial"/>
          <w:sz w:val="11"/>
          <w:szCs w:val="11"/>
          <w:i w:val="1"/>
          <w:iCs w:val="1"/>
          <w:color w:val="auto"/>
        </w:rPr>
      </w:pPr>
      <w:r>
        <w:rPr>
          <w:rFonts w:ascii="Arial" w:cs="Arial" w:eastAsia="Arial" w:hAnsi="Arial"/>
          <w:sz w:val="14"/>
          <w:szCs w:val="14"/>
          <w:i w:val="1"/>
          <w:iCs w:val="1"/>
          <w:color w:val="auto"/>
        </w:rPr>
        <w:t>RSUs vest in equal annual installments on January 31, 2019, 2020, 2021 and 2022.</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55</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Exercises and Stock Vested in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following table presents information on the vesting of restricted share units held by our NEOs during fiscal year 2018. Our NEOs did not exercise any stock options in fiscal year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Awards</w:t>
            </w:r>
          </w:p>
        </w:tc>
        <w:tc>
          <w:tcPr>
            <w:tcW w:w="28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66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98"/>
              </w:rPr>
              <w:t xml:space="preserve">Stock Awards </w:t>
            </w:r>
            <w:r>
              <w:rPr>
                <w:rFonts w:ascii="Arial" w:cs="Arial" w:eastAsia="Arial" w:hAnsi="Arial"/>
                <w:sz w:val="24"/>
                <w:szCs w:val="24"/>
                <w:b w:val="1"/>
                <w:bCs w:val="1"/>
                <w:color w:val="auto"/>
                <w:w w:val="98"/>
                <w:vertAlign w:val="superscript"/>
              </w:rPr>
              <w:t>(1)</w:t>
            </w:r>
          </w:p>
        </w:tc>
      </w:tr>
      <w:tr>
        <w:trPr>
          <w:trHeight w:val="156"/>
        </w:trPr>
        <w:tc>
          <w:tcPr>
            <w:tcW w:w="4000" w:type="dxa"/>
            <w:vAlign w:val="bottom"/>
          </w:tcPr>
          <w:p>
            <w:pPr>
              <w:spacing w:after="0"/>
              <w:rPr>
                <w:sz w:val="13"/>
                <w:szCs w:val="13"/>
                <w:color w:val="auto"/>
              </w:rPr>
            </w:pPr>
          </w:p>
        </w:tc>
        <w:tc>
          <w:tcPr>
            <w:tcW w:w="3300" w:type="dxa"/>
            <w:vAlign w:val="bottom"/>
            <w:gridSpan w:val="2"/>
          </w:tcPr>
          <w:p>
            <w:pPr>
              <w:jc w:val="center"/>
              <w:ind w:right="1628"/>
              <w:spacing w:after="0" w:line="156" w:lineRule="exact"/>
              <w:rPr>
                <w:sz w:val="20"/>
                <w:szCs w:val="20"/>
                <w:color w:val="auto"/>
              </w:rPr>
            </w:pPr>
            <w:r>
              <w:rPr>
                <w:rFonts w:ascii="Arial" w:cs="Arial" w:eastAsia="Arial" w:hAnsi="Arial"/>
                <w:sz w:val="14"/>
                <w:szCs w:val="14"/>
                <w:b w:val="1"/>
                <w:bCs w:val="1"/>
                <w:color w:val="auto"/>
              </w:rPr>
              <w:t>Number of Shares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Number of Shares</w:t>
            </w: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2"/>
        </w:trPr>
        <w:tc>
          <w:tcPr>
            <w:tcW w:w="4000" w:type="dxa"/>
            <w:vAlign w:val="bottom"/>
          </w:tcPr>
          <w:p>
            <w:pPr>
              <w:spacing w:after="0"/>
              <w:rPr>
                <w:sz w:val="14"/>
                <w:szCs w:val="14"/>
                <w:color w:val="auto"/>
              </w:rPr>
            </w:pPr>
          </w:p>
        </w:tc>
        <w:tc>
          <w:tcPr>
            <w:tcW w:w="1220" w:type="dxa"/>
            <w:vAlign w:val="bottom"/>
          </w:tcPr>
          <w:p>
            <w:pPr>
              <w:jc w:val="center"/>
              <w:ind w:left="308"/>
              <w:spacing w:after="0"/>
              <w:rPr>
                <w:sz w:val="20"/>
                <w:szCs w:val="20"/>
                <w:color w:val="auto"/>
              </w:rPr>
            </w:pPr>
            <w:r>
              <w:rPr>
                <w:rFonts w:ascii="Arial" w:cs="Arial" w:eastAsia="Arial" w:hAnsi="Arial"/>
                <w:sz w:val="14"/>
                <w:szCs w:val="14"/>
                <w:b w:val="1"/>
                <w:bCs w:val="1"/>
                <w:color w:val="auto"/>
              </w:rPr>
              <w:t>Acquired on</w:t>
            </w:r>
          </w:p>
        </w:tc>
        <w:tc>
          <w:tcPr>
            <w:tcW w:w="2080" w:type="dxa"/>
            <w:vAlign w:val="bottom"/>
          </w:tcPr>
          <w:p>
            <w:pPr>
              <w:jc w:val="center"/>
              <w:ind w:left="748"/>
              <w:spacing w:after="0"/>
              <w:rPr>
                <w:sz w:val="20"/>
                <w:szCs w:val="20"/>
                <w:color w:val="auto"/>
              </w:rPr>
            </w:pPr>
            <w:r>
              <w:rPr>
                <w:rFonts w:ascii="Arial" w:cs="Arial" w:eastAsia="Arial" w:hAnsi="Arial"/>
                <w:sz w:val="14"/>
                <w:szCs w:val="14"/>
                <w:b w:val="1"/>
                <w:bCs w:val="1"/>
                <w:color w:val="auto"/>
              </w:rPr>
              <w:t>Value Realized 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Acquired on</w:t>
            </w:r>
          </w:p>
        </w:tc>
        <w:tc>
          <w:tcPr>
            <w:tcW w:w="340" w:type="dxa"/>
            <w:vAlign w:val="bottom"/>
          </w:tcPr>
          <w:p>
            <w:pPr>
              <w:spacing w:after="0"/>
              <w:rPr>
                <w:sz w:val="14"/>
                <w:szCs w:val="14"/>
                <w:color w:val="auto"/>
              </w:rPr>
            </w:pPr>
          </w:p>
        </w:tc>
        <w:tc>
          <w:tcPr>
            <w:tcW w:w="1680" w:type="dxa"/>
            <w:vAlign w:val="bottom"/>
          </w:tcPr>
          <w:p>
            <w:pPr>
              <w:jc w:val="center"/>
              <w:ind w:right="108"/>
              <w:spacing w:after="0"/>
              <w:rPr>
                <w:sz w:val="20"/>
                <w:szCs w:val="20"/>
                <w:color w:val="auto"/>
              </w:rPr>
            </w:pPr>
            <w:r>
              <w:rPr>
                <w:rFonts w:ascii="Arial" w:cs="Arial" w:eastAsia="Arial" w:hAnsi="Arial"/>
                <w:sz w:val="14"/>
                <w:szCs w:val="14"/>
                <w:b w:val="1"/>
                <w:bCs w:val="1"/>
                <w:color w:val="auto"/>
              </w:rPr>
              <w:t>Value Realized on</w:t>
            </w:r>
          </w:p>
        </w:tc>
      </w:tr>
      <w:tr>
        <w:trPr>
          <w:trHeight w:val="162"/>
        </w:trPr>
        <w:tc>
          <w:tcPr>
            <w:tcW w:w="4000" w:type="dxa"/>
            <w:vAlign w:val="bottom"/>
          </w:tcPr>
          <w:p>
            <w:pPr>
              <w:spacing w:after="0"/>
              <w:rPr>
                <w:sz w:val="14"/>
                <w:szCs w:val="14"/>
                <w:color w:val="auto"/>
              </w:rPr>
            </w:pPr>
          </w:p>
        </w:tc>
        <w:tc>
          <w:tcPr>
            <w:tcW w:w="1220" w:type="dxa"/>
            <w:vAlign w:val="bottom"/>
          </w:tcPr>
          <w:p>
            <w:pPr>
              <w:jc w:val="center"/>
              <w:ind w:left="308"/>
              <w:spacing w:after="0"/>
              <w:rPr>
                <w:sz w:val="20"/>
                <w:szCs w:val="20"/>
                <w:color w:val="auto"/>
              </w:rPr>
            </w:pPr>
            <w:r>
              <w:rPr>
                <w:rFonts w:ascii="Arial" w:cs="Arial" w:eastAsia="Arial" w:hAnsi="Arial"/>
                <w:sz w:val="14"/>
                <w:szCs w:val="14"/>
                <w:b w:val="1"/>
                <w:bCs w:val="1"/>
                <w:color w:val="auto"/>
              </w:rPr>
              <w:t>Exercise</w:t>
            </w:r>
          </w:p>
        </w:tc>
        <w:tc>
          <w:tcPr>
            <w:tcW w:w="2080" w:type="dxa"/>
            <w:vAlign w:val="bottom"/>
          </w:tcPr>
          <w:p>
            <w:pPr>
              <w:jc w:val="center"/>
              <w:ind w:left="748"/>
              <w:spacing w:after="0"/>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Vesting</w:t>
            </w:r>
          </w:p>
        </w:tc>
        <w:tc>
          <w:tcPr>
            <w:tcW w:w="340" w:type="dxa"/>
            <w:vAlign w:val="bottom"/>
          </w:tcPr>
          <w:p>
            <w:pPr>
              <w:spacing w:after="0"/>
              <w:rPr>
                <w:sz w:val="14"/>
                <w:szCs w:val="14"/>
                <w:color w:val="auto"/>
              </w:rPr>
            </w:pPr>
          </w:p>
        </w:tc>
        <w:tc>
          <w:tcPr>
            <w:tcW w:w="168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Vesting</w:t>
            </w:r>
          </w:p>
        </w:tc>
      </w:tr>
      <w:tr>
        <w:trPr>
          <w:trHeight w:val="175"/>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w:t>
            </w:r>
          </w:p>
        </w:tc>
        <w:tc>
          <w:tcPr>
            <w:tcW w:w="208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t>
            </w:r>
          </w:p>
        </w:tc>
      </w:tr>
      <w:tr>
        <w:trPr>
          <w:trHeight w:val="169"/>
        </w:trPr>
        <w:tc>
          <w:tcPr>
            <w:tcW w:w="4000" w:type="dxa"/>
            <w:vAlign w:val="bottom"/>
            <w:shd w:val="clear" w:color="auto" w:fill="DCDDDE"/>
          </w:tcPr>
          <w:p>
            <w:pPr>
              <w:spacing w:after="0"/>
              <w:rPr>
                <w:sz w:val="20"/>
                <w:szCs w:val="20"/>
                <w:color w:val="auto"/>
              </w:rPr>
            </w:pPr>
            <w:r>
              <w:rPr>
                <w:rFonts w:ascii="Arial" w:cs="Arial" w:eastAsia="Arial" w:hAnsi="Arial"/>
                <w:sz w:val="14"/>
                <w:szCs w:val="14"/>
                <w:color w:val="auto"/>
              </w:rPr>
              <w:t>Robert M. Bakish</w:t>
            </w:r>
          </w:p>
        </w:tc>
        <w:tc>
          <w:tcPr>
            <w:tcW w:w="1220" w:type="dxa"/>
            <w:vAlign w:val="bottom"/>
            <w:shd w:val="clear" w:color="auto" w:fill="DCDDDE"/>
          </w:tcPr>
          <w:p>
            <w:pPr>
              <w:spacing w:after="0"/>
              <w:rPr>
                <w:sz w:val="14"/>
                <w:szCs w:val="14"/>
                <w:color w:val="auto"/>
              </w:rPr>
            </w:pPr>
          </w:p>
        </w:tc>
        <w:tc>
          <w:tcPr>
            <w:tcW w:w="2080" w:type="dxa"/>
            <w:vAlign w:val="bottom"/>
            <w:shd w:val="clear" w:color="auto" w:fill="DCDDDE"/>
          </w:tcPr>
          <w:p>
            <w:pPr>
              <w:ind w:left="22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DCDDDE"/>
          </w:tcPr>
          <w:p>
            <w:pPr>
              <w:ind w:left="20"/>
              <w:spacing w:after="0"/>
              <w:rPr>
                <w:sz w:val="20"/>
                <w:szCs w:val="20"/>
                <w:color w:val="auto"/>
              </w:rPr>
            </w:pPr>
            <w:r>
              <w:rPr>
                <w:rFonts w:ascii="Arial" w:cs="Arial" w:eastAsia="Arial" w:hAnsi="Arial"/>
                <w:sz w:val="14"/>
                <w:szCs w:val="14"/>
                <w:color w:val="auto"/>
              </w:rPr>
              <w:t>—</w:t>
            </w:r>
          </w:p>
        </w:tc>
        <w:tc>
          <w:tcPr>
            <w:tcW w:w="16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29,613</w:t>
            </w:r>
          </w:p>
        </w:tc>
        <w:tc>
          <w:tcPr>
            <w:tcW w:w="340" w:type="dxa"/>
            <w:vAlign w:val="bottom"/>
            <w:shd w:val="clear" w:color="auto" w:fill="DCDDDE"/>
          </w:tcPr>
          <w:p>
            <w:pPr>
              <w:jc w:val="center"/>
              <w:spacing w:after="0"/>
              <w:rPr>
                <w:sz w:val="20"/>
                <w:szCs w:val="20"/>
                <w:color w:val="auto"/>
              </w:rPr>
            </w:pPr>
            <w:r>
              <w:rPr>
                <w:rFonts w:ascii="Arial" w:cs="Arial" w:eastAsia="Arial" w:hAnsi="Arial"/>
                <w:sz w:val="12"/>
                <w:szCs w:val="12"/>
                <w:color w:val="auto"/>
              </w:rPr>
              <w:t>(2)</w:t>
            </w:r>
          </w:p>
        </w:tc>
        <w:tc>
          <w:tcPr>
            <w:tcW w:w="168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777,265</w:t>
            </w:r>
          </w:p>
        </w:tc>
      </w:tr>
      <w:tr>
        <w:trPr>
          <w:trHeight w:val="176"/>
        </w:trPr>
        <w:tc>
          <w:tcPr>
            <w:tcW w:w="4000" w:type="dxa"/>
            <w:vAlign w:val="bottom"/>
          </w:tcPr>
          <w:p>
            <w:pPr>
              <w:spacing w:after="0"/>
              <w:rPr>
                <w:sz w:val="20"/>
                <w:szCs w:val="20"/>
                <w:color w:val="auto"/>
              </w:rPr>
            </w:pPr>
            <w:r>
              <w:rPr>
                <w:rFonts w:ascii="Arial" w:cs="Arial" w:eastAsia="Arial" w:hAnsi="Arial"/>
                <w:sz w:val="14"/>
                <w:szCs w:val="14"/>
                <w:color w:val="auto"/>
              </w:rPr>
              <w:t>Wade C. Davis</w:t>
            </w:r>
          </w:p>
        </w:tc>
        <w:tc>
          <w:tcPr>
            <w:tcW w:w="1220" w:type="dxa"/>
            <w:vAlign w:val="bottom"/>
          </w:tcPr>
          <w:p>
            <w:pPr>
              <w:spacing w:after="0"/>
              <w:rPr>
                <w:sz w:val="15"/>
                <w:szCs w:val="15"/>
                <w:color w:val="auto"/>
              </w:rPr>
            </w:pPr>
          </w:p>
        </w:tc>
        <w:tc>
          <w:tcPr>
            <w:tcW w:w="208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25,866</w:t>
            </w:r>
          </w:p>
        </w:tc>
        <w:tc>
          <w:tcPr>
            <w:tcW w:w="340" w:type="dxa"/>
            <w:vAlign w:val="bottom"/>
          </w:tcPr>
          <w:p>
            <w:pPr>
              <w:jc w:val="center"/>
              <w:spacing w:after="0"/>
              <w:rPr>
                <w:sz w:val="20"/>
                <w:szCs w:val="20"/>
                <w:color w:val="auto"/>
              </w:rPr>
            </w:pPr>
            <w:r>
              <w:rPr>
                <w:rFonts w:ascii="Arial" w:cs="Arial" w:eastAsia="Arial" w:hAnsi="Arial"/>
                <w:sz w:val="12"/>
                <w:szCs w:val="12"/>
                <w:color w:val="auto"/>
              </w:rPr>
              <w:t>(3)</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705,038</w:t>
            </w:r>
          </w:p>
        </w:tc>
      </w:tr>
      <w:tr>
        <w:trPr>
          <w:trHeight w:val="176"/>
        </w:trPr>
        <w:tc>
          <w:tcPr>
            <w:tcW w:w="4000" w:type="dxa"/>
            <w:vAlign w:val="bottom"/>
            <w:shd w:val="clear" w:color="auto" w:fill="DCDDDE"/>
          </w:tcPr>
          <w:p>
            <w:pPr>
              <w:spacing w:after="0"/>
              <w:rPr>
                <w:sz w:val="20"/>
                <w:szCs w:val="20"/>
                <w:color w:val="auto"/>
              </w:rPr>
            </w:pPr>
            <w:r>
              <w:rPr>
                <w:rFonts w:ascii="Arial" w:cs="Arial" w:eastAsia="Arial" w:hAnsi="Arial"/>
                <w:sz w:val="14"/>
                <w:szCs w:val="14"/>
                <w:color w:val="auto"/>
              </w:rPr>
              <w:t>Christa A. D'Alimonte</w:t>
            </w:r>
          </w:p>
        </w:tc>
        <w:tc>
          <w:tcPr>
            <w:tcW w:w="1220" w:type="dxa"/>
            <w:vAlign w:val="bottom"/>
            <w:shd w:val="clear" w:color="auto" w:fill="DCDDDE"/>
          </w:tcPr>
          <w:p>
            <w:pPr>
              <w:spacing w:after="0"/>
              <w:rPr>
                <w:sz w:val="15"/>
                <w:szCs w:val="15"/>
                <w:color w:val="auto"/>
              </w:rPr>
            </w:pPr>
          </w:p>
        </w:tc>
        <w:tc>
          <w:tcPr>
            <w:tcW w:w="2080" w:type="dxa"/>
            <w:vAlign w:val="bottom"/>
            <w:shd w:val="clear" w:color="auto" w:fill="DCDDDE"/>
          </w:tcPr>
          <w:p>
            <w:pPr>
              <w:ind w:left="22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DCDDDE"/>
          </w:tcPr>
          <w:p>
            <w:pPr>
              <w:ind w:left="20"/>
              <w:spacing w:after="0"/>
              <w:rPr>
                <w:sz w:val="20"/>
                <w:szCs w:val="20"/>
                <w:color w:val="auto"/>
              </w:rPr>
            </w:pPr>
            <w:r>
              <w:rPr>
                <w:rFonts w:ascii="Arial" w:cs="Arial" w:eastAsia="Arial" w:hAnsi="Arial"/>
                <w:sz w:val="14"/>
                <w:szCs w:val="14"/>
                <w:color w:val="auto"/>
              </w:rPr>
              <w:t>—</w:t>
            </w:r>
          </w:p>
        </w:tc>
        <w:tc>
          <w:tcPr>
            <w:tcW w:w="16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5,815</w:t>
            </w:r>
          </w:p>
        </w:tc>
        <w:tc>
          <w:tcPr>
            <w:tcW w:w="340" w:type="dxa"/>
            <w:vAlign w:val="bottom"/>
            <w:shd w:val="clear" w:color="auto" w:fill="DCDDDE"/>
          </w:tcPr>
          <w:p>
            <w:pPr>
              <w:jc w:val="center"/>
              <w:spacing w:after="0"/>
              <w:rPr>
                <w:sz w:val="20"/>
                <w:szCs w:val="20"/>
                <w:color w:val="auto"/>
              </w:rPr>
            </w:pPr>
            <w:r>
              <w:rPr>
                <w:rFonts w:ascii="Arial" w:cs="Arial" w:eastAsia="Arial" w:hAnsi="Arial"/>
                <w:sz w:val="12"/>
                <w:szCs w:val="12"/>
                <w:color w:val="auto"/>
              </w:rPr>
              <w:t>(4)</w:t>
            </w:r>
          </w:p>
        </w:tc>
        <w:tc>
          <w:tcPr>
            <w:tcW w:w="168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158,494</w:t>
            </w:r>
          </w:p>
        </w:tc>
      </w:tr>
      <w:tr>
        <w:trPr>
          <w:trHeight w:val="176"/>
        </w:trPr>
        <w:tc>
          <w:tcPr>
            <w:tcW w:w="4000" w:type="dxa"/>
            <w:vAlign w:val="bottom"/>
          </w:tcPr>
          <w:p>
            <w:pPr>
              <w:spacing w:after="0"/>
              <w:rPr>
                <w:sz w:val="20"/>
                <w:szCs w:val="20"/>
                <w:color w:val="auto"/>
              </w:rPr>
            </w:pPr>
            <w:r>
              <w:rPr>
                <w:rFonts w:ascii="Arial" w:cs="Arial" w:eastAsia="Arial" w:hAnsi="Arial"/>
                <w:sz w:val="14"/>
                <w:szCs w:val="14"/>
                <w:color w:val="auto"/>
              </w:rPr>
              <w:t>Doretha (DeDe) F. Lea</w:t>
            </w:r>
          </w:p>
        </w:tc>
        <w:tc>
          <w:tcPr>
            <w:tcW w:w="1220" w:type="dxa"/>
            <w:vAlign w:val="bottom"/>
          </w:tcPr>
          <w:p>
            <w:pPr>
              <w:spacing w:after="0"/>
              <w:rPr>
                <w:sz w:val="15"/>
                <w:szCs w:val="15"/>
                <w:color w:val="auto"/>
              </w:rPr>
            </w:pPr>
          </w:p>
        </w:tc>
        <w:tc>
          <w:tcPr>
            <w:tcW w:w="208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8,628</w:t>
            </w:r>
          </w:p>
        </w:tc>
        <w:tc>
          <w:tcPr>
            <w:tcW w:w="340" w:type="dxa"/>
            <w:vAlign w:val="bottom"/>
          </w:tcPr>
          <w:p>
            <w:pPr>
              <w:jc w:val="center"/>
              <w:spacing w:after="0"/>
              <w:rPr>
                <w:sz w:val="20"/>
                <w:szCs w:val="20"/>
                <w:color w:val="auto"/>
              </w:rPr>
            </w:pPr>
            <w:r>
              <w:rPr>
                <w:rFonts w:ascii="Arial" w:cs="Arial" w:eastAsia="Arial" w:hAnsi="Arial"/>
                <w:sz w:val="12"/>
                <w:szCs w:val="12"/>
                <w:color w:val="auto"/>
              </w:rPr>
              <w:t>(5)</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235,288</w:t>
            </w:r>
          </w:p>
        </w:tc>
      </w:tr>
      <w:tr>
        <w:trPr>
          <w:trHeight w:val="176"/>
        </w:trPr>
        <w:tc>
          <w:tcPr>
            <w:tcW w:w="400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Scott M. Mills</w:t>
            </w:r>
          </w:p>
        </w:tc>
        <w:tc>
          <w:tcPr>
            <w:tcW w:w="1220" w:type="dxa"/>
            <w:vAlign w:val="bottom"/>
            <w:tcBorders>
              <w:bottom w:val="single" w:sz="8" w:color="auto"/>
            </w:tcBorders>
            <w:shd w:val="clear" w:color="auto" w:fill="DCDDDE"/>
          </w:tcPr>
          <w:p>
            <w:pPr>
              <w:spacing w:after="0"/>
              <w:rPr>
                <w:sz w:val="15"/>
                <w:szCs w:val="15"/>
                <w:color w:val="auto"/>
              </w:rPr>
            </w:pPr>
          </w:p>
        </w:tc>
        <w:tc>
          <w:tcPr>
            <w:tcW w:w="2080" w:type="dxa"/>
            <w:vAlign w:val="bottom"/>
            <w:tcBorders>
              <w:bottom w:val="single" w:sz="8" w:color="auto"/>
            </w:tcBorders>
            <w:shd w:val="clear" w:color="auto" w:fill="DCDDDE"/>
          </w:tcPr>
          <w:p>
            <w:pPr>
              <w:ind w:lef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2"/>
            <w:shd w:val="clear" w:color="auto" w:fill="DCDDDE"/>
          </w:tcPr>
          <w:p>
            <w:pPr>
              <w:ind w:left="2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25,866</w:t>
            </w:r>
          </w:p>
        </w:tc>
        <w:tc>
          <w:tcPr>
            <w:tcW w:w="340" w:type="dxa"/>
            <w:vAlign w:val="bottom"/>
            <w:tcBorders>
              <w:bottom w:val="single" w:sz="8" w:color="auto"/>
            </w:tcBorders>
            <w:shd w:val="clear" w:color="auto" w:fill="DCDDDE"/>
          </w:tcPr>
          <w:p>
            <w:pPr>
              <w:jc w:val="center"/>
              <w:spacing w:after="0"/>
              <w:rPr>
                <w:sz w:val="20"/>
                <w:szCs w:val="20"/>
                <w:color w:val="auto"/>
              </w:rPr>
            </w:pPr>
            <w:r>
              <w:rPr>
                <w:rFonts w:ascii="Arial" w:cs="Arial" w:eastAsia="Arial" w:hAnsi="Arial"/>
                <w:sz w:val="12"/>
                <w:szCs w:val="12"/>
                <w:color w:val="auto"/>
              </w:rPr>
              <w:t>(6)</w:t>
            </w:r>
          </w:p>
        </w:tc>
        <w:tc>
          <w:tcPr>
            <w:tcW w:w="1680" w:type="dxa"/>
            <w:vAlign w:val="bottom"/>
            <w:tcBorders>
              <w:bottom w:val="single" w:sz="8" w:color="auto"/>
            </w:tcBorders>
            <w:shd w:val="clear" w:color="auto" w:fill="DCDDDE"/>
          </w:tcPr>
          <w:p>
            <w:pPr>
              <w:jc w:val="right"/>
              <w:ind w:right="68"/>
              <w:spacing w:after="0"/>
              <w:rPr>
                <w:sz w:val="20"/>
                <w:szCs w:val="20"/>
                <w:color w:val="auto"/>
              </w:rPr>
            </w:pPr>
            <w:r>
              <w:rPr>
                <w:rFonts w:ascii="Arial" w:cs="Arial" w:eastAsia="Arial" w:hAnsi="Arial"/>
                <w:sz w:val="14"/>
                <w:szCs w:val="14"/>
                <w:color w:val="auto"/>
              </w:rPr>
              <w:t>705,038</w:t>
            </w:r>
          </w:p>
        </w:tc>
      </w:tr>
    </w:tbl>
    <w:p>
      <w:pPr>
        <w:spacing w:after="0" w:line="107" w:lineRule="exact"/>
        <w:rPr>
          <w:sz w:val="20"/>
          <w:szCs w:val="20"/>
          <w:color w:val="auto"/>
        </w:rPr>
      </w:pPr>
    </w:p>
    <w:p>
      <w:pPr>
        <w:ind w:left="440" w:right="40" w:hanging="432"/>
        <w:spacing w:after="0" w:line="231" w:lineRule="auto"/>
        <w:tabs>
          <w:tab w:leader="none" w:pos="440" w:val="left"/>
        </w:tabs>
        <w:numPr>
          <w:ilvl w:val="0"/>
          <w:numId w:val="80"/>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the gross number of shares acquired and the gross value received on vesting, without reduction for the number of shares withheld to pay applicable withholding taxes. Shares and value net of withholding are discussed in the footnotes below.</w:t>
      </w:r>
    </w:p>
    <w:p>
      <w:pPr>
        <w:spacing w:after="0" w:line="1" w:lineRule="exact"/>
        <w:rPr>
          <w:rFonts w:ascii="Arial" w:cs="Arial" w:eastAsia="Arial" w:hAnsi="Arial"/>
          <w:sz w:val="11"/>
          <w:szCs w:val="11"/>
          <w:i w:val="1"/>
          <w:iCs w:val="1"/>
          <w:color w:val="auto"/>
        </w:rPr>
      </w:pPr>
    </w:p>
    <w:p>
      <w:pPr>
        <w:jc w:val="both"/>
        <w:ind w:left="440" w:right="20" w:hanging="432"/>
        <w:spacing w:after="0" w:line="221" w:lineRule="auto"/>
        <w:tabs>
          <w:tab w:leader="none" w:pos="440" w:val="left"/>
        </w:tabs>
        <w:numPr>
          <w:ilvl w:val="0"/>
          <w:numId w:val="80"/>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(i) the vesting of the last 25% of Mr. Bakish’s May 21, 2014 grant of 14,208 RSUs in accordance with the terms of the grant, valued at the closing price of our Class B common stock on the date of vesting of $27.45, (ii) the vesting of the third 25% of Mr. Bakish’s May 20, 2015 grant of 18,204 RSUs in accordance with the terms of the grant, valued at the closing price of our Class B common stock on the date of vesting of $27.24, (iii) the vesting of the second 25% of Mr. Bakish’s May 18, 2016 grant of 34,740 RSUs in accordance with terms of the grant, valued at the closing price of our Class B common stock on the date of vesting of $27.24, and (iv) the vesting of the first 25% of Mr. Bakish’s November 10, 2016 grant of 51,302 RSUs in accordance with the terms of the grant, valued at the closing price of our Class B common stock on the date of vesting of $24.89. Mr. Bakish received a total of 18,537 shares net of withholding, or $487,933 in value.</w:t>
      </w:r>
    </w:p>
    <w:p>
      <w:pPr>
        <w:spacing w:after="0" w:line="1" w:lineRule="exact"/>
        <w:rPr>
          <w:rFonts w:ascii="Arial" w:cs="Arial" w:eastAsia="Arial" w:hAnsi="Arial"/>
          <w:sz w:val="11"/>
          <w:szCs w:val="11"/>
          <w:i w:val="1"/>
          <w:iCs w:val="1"/>
          <w:color w:val="auto"/>
        </w:rPr>
      </w:pPr>
    </w:p>
    <w:p>
      <w:pPr>
        <w:jc w:val="both"/>
        <w:ind w:left="440" w:right="20" w:hanging="432"/>
        <w:spacing w:after="0" w:line="221" w:lineRule="auto"/>
        <w:tabs>
          <w:tab w:leader="none" w:pos="440" w:val="left"/>
        </w:tabs>
        <w:numPr>
          <w:ilvl w:val="0"/>
          <w:numId w:val="80"/>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(i) the vesting of the last 25% of Mr. Davis’ May 21, 2014 grant of 8,525 RSUs in accordance with the terms of the grant, valued at the closing price of our Class B common stock on the date of vesting of $27.45, (ii) the vesting of the third 25% of Mr. Davis’ May 20, 2015 grant of 20,479 RSUs in accordance with the terms of the grant, valued at the closing price of our Class B common stock on the date of vesting of $27.24, (iii) the vesting of the second 25% of Mr. Davis’ May 18, 2016 grant of 34,740 RSUs in accordance with terms of the grant, valued at the closing price of our Class B common stock on the date of vesting of $27.24, and (iv) the vesting of the first 25% of Mr. Davis’ May 18, 2017 grant of 39,718 RSUs in accordance with the terms of the grant, valued at the closing price of our Class B common stock on the date of vesting of $27.24. Mr. Davis received a total of 15,983 shares net of withholding, or $435,654 in value.</w:t>
      </w:r>
    </w:p>
    <w:p>
      <w:pPr>
        <w:spacing w:after="0" w:line="1" w:lineRule="exact"/>
        <w:rPr>
          <w:rFonts w:ascii="Arial" w:cs="Arial" w:eastAsia="Arial" w:hAnsi="Arial"/>
          <w:sz w:val="11"/>
          <w:szCs w:val="11"/>
          <w:i w:val="1"/>
          <w:iCs w:val="1"/>
          <w:color w:val="auto"/>
        </w:rPr>
      </w:pPr>
    </w:p>
    <w:p>
      <w:pPr>
        <w:jc w:val="both"/>
        <w:ind w:left="440" w:right="20" w:hanging="432"/>
        <w:spacing w:after="0" w:line="221" w:lineRule="auto"/>
        <w:tabs>
          <w:tab w:leader="none" w:pos="440" w:val="left"/>
        </w:tabs>
        <w:numPr>
          <w:ilvl w:val="0"/>
          <w:numId w:val="80"/>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(i) the vesting of the last 25% of Ms. D’Alimonte’s May 21, 2014 grant of 1,776 RSUs in accordance with the terms of the grant, valued at the closing price of our Class B common stock on the date of vesting of $27.45, (ii) the vesting of the third 25% of Ms. D’Alimonte’s May 20, 2015 grant of 2,731 RSUs in accordance with the terms of the grant, valued at the closing price of our Class B common stock on the date of vesting of $27.24, (iii) the vesting of the second 25% of Ms. D’Alimonte’s May 18, 2016 grant of 4,632 RSUs in accordance with terms of the grant, valued at the closing price of our Class B common stock on the date of vesting of $27.24, and (iv) the vesting of the first 25% of Ms. D’Alimonte’s May 18, 2017 grant of 14,122 RSUs in accordance with the terms of the grant, valued at the closing price of our Class B common stock on the date of vesting of $27.24. Ms. D’Alimonte received a total of 3,594 shares net of withholding, or $97,958 in value.</w:t>
      </w:r>
    </w:p>
    <w:p>
      <w:pPr>
        <w:spacing w:after="0" w:line="1" w:lineRule="exact"/>
        <w:rPr>
          <w:rFonts w:ascii="Arial" w:cs="Arial" w:eastAsia="Arial" w:hAnsi="Arial"/>
          <w:sz w:val="11"/>
          <w:szCs w:val="11"/>
          <w:i w:val="1"/>
          <w:iCs w:val="1"/>
          <w:color w:val="auto"/>
        </w:rPr>
      </w:pPr>
    </w:p>
    <w:p>
      <w:pPr>
        <w:jc w:val="both"/>
        <w:ind w:left="440" w:right="20" w:hanging="432"/>
        <w:spacing w:after="0" w:line="221" w:lineRule="auto"/>
        <w:tabs>
          <w:tab w:leader="none" w:pos="440" w:val="left"/>
        </w:tabs>
        <w:numPr>
          <w:ilvl w:val="0"/>
          <w:numId w:val="80"/>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(i) the vesting of the last 25% of Ms. Lea’s May 21, 2014 grant of 4,973 RSUs in accordance with the terms of the grant, valued at the closing price of our Class B common stock on the date of vesting of $27.45, (ii) the vesting of the third 25% of Ms. Lea’s May 20, 2015 grant of 6,371 RSUs in accordance with the terms of the grant, valued at the closing price of our Class B common stock on the date of vesting of $27.24, (iii) the vesting of the second 25% of Ms. Lea’s May 18, 2016 grant of 10,808 RSUs in accordance with the terms of the grant, valued at the closing price of our Class B common stock on the date of vesting of $27.24, and (iv) the vesting of the first 25% of Ms. Lea’s May 18, 2017 grant of 12,357 RSUs in accordance with the terms of the grant, valued at the closing price of our Class B common stock on the date of vesting of $27.24. Ms. Lea received a total of 5,757 shares net of withholding, or $156,995 in value.</w:t>
      </w:r>
    </w:p>
    <w:p>
      <w:pPr>
        <w:spacing w:after="0" w:line="1" w:lineRule="exact"/>
        <w:rPr>
          <w:rFonts w:ascii="Arial" w:cs="Arial" w:eastAsia="Arial" w:hAnsi="Arial"/>
          <w:sz w:val="11"/>
          <w:szCs w:val="11"/>
          <w:i w:val="1"/>
          <w:iCs w:val="1"/>
          <w:color w:val="auto"/>
        </w:rPr>
      </w:pPr>
    </w:p>
    <w:p>
      <w:pPr>
        <w:jc w:val="both"/>
        <w:ind w:left="440" w:right="20" w:hanging="432"/>
        <w:spacing w:after="0" w:line="221" w:lineRule="auto"/>
        <w:tabs>
          <w:tab w:leader="none" w:pos="440" w:val="left"/>
        </w:tabs>
        <w:numPr>
          <w:ilvl w:val="0"/>
          <w:numId w:val="80"/>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(i) the vesting of the last 25% of Mr. Mills’ May 21, 2014 grant of 8,525 RSUs in accordance with the terms of the grant, valued at the closing price of our Class B common stock on the date of vesting of $27.45, (ii) the vesting of the third 25% of Mr. Mills’ May 20, 2015 grant of 20,479 RSUs in accordance with the terms of the grant, valued at the closing price of our Class B common stock on the date of vesting of $27.24, (iii) the vesting of the second 25% of Mr. Mills’ May 18, 2016 grant of 34,740 RSUs in accordance with terms of the grant, valued at the closing price of our Class B common stock on the date of vesting of $27.24, and (iv) the vesting of the first 25% of Mr. Mills’ May 18, 2017 grant of 39,718 RSUs in accordance with the terms of the grant, valued at the closing price of our Class B common stock on the date of vesting of $27.24. Mr. Mills received a total of 15,983 shares net of withholding, or $435,654 in value.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9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56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Fiscal Year 2018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We provide pension benefits through the Viacom Pension Plan and the Viacom Excess Pension Plan. However, effective December 31, 2012 and April 1, 2009, respectively, the Viacom Pension Plan and the Viacom Excess Pension Plan were closed and frozen, and no additional benefits were accrued after these dates. The table below presents certain information with respect to these plans.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90" w:type="dxa"/>
            <w:vAlign w:val="bottom"/>
          </w:tcPr>
          <w:p>
            <w:pPr>
              <w:spacing w:after="0"/>
              <w:rPr>
                <w:sz w:val="13"/>
                <w:szCs w:val="13"/>
                <w:color w:val="auto"/>
              </w:rPr>
            </w:pPr>
          </w:p>
        </w:tc>
        <w:tc>
          <w:tcPr>
            <w:tcW w:w="251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237"/>
              <w:spacing w:after="0"/>
              <w:rPr>
                <w:sz w:val="20"/>
                <w:szCs w:val="20"/>
                <w:color w:val="auto"/>
              </w:rPr>
            </w:pPr>
            <w:r>
              <w:rPr>
                <w:rFonts w:ascii="Arial" w:cs="Arial" w:eastAsia="Arial" w:hAnsi="Arial"/>
                <w:sz w:val="13"/>
                <w:szCs w:val="13"/>
                <w:b w:val="1"/>
                <w:bCs w:val="1"/>
                <w:color w:val="auto"/>
                <w:w w:val="96"/>
              </w:rPr>
              <w:t>Present</w:t>
            </w:r>
          </w:p>
        </w:tc>
        <w:tc>
          <w:tcPr>
            <w:tcW w:w="1540" w:type="dxa"/>
            <w:vAlign w:val="bottom"/>
          </w:tcPr>
          <w:p>
            <w:pPr>
              <w:spacing w:after="0"/>
              <w:rPr>
                <w:sz w:val="13"/>
                <w:szCs w:val="13"/>
                <w:color w:val="auto"/>
              </w:rPr>
            </w:pPr>
          </w:p>
        </w:tc>
      </w:tr>
      <w:tr>
        <w:trPr>
          <w:trHeight w:val="135"/>
        </w:trPr>
        <w:tc>
          <w:tcPr>
            <w:tcW w:w="3190" w:type="dxa"/>
            <w:vAlign w:val="bottom"/>
          </w:tcPr>
          <w:p>
            <w:pPr>
              <w:spacing w:after="0"/>
              <w:rPr>
                <w:sz w:val="11"/>
                <w:szCs w:val="11"/>
                <w:color w:val="auto"/>
              </w:rPr>
            </w:pPr>
          </w:p>
        </w:tc>
        <w:tc>
          <w:tcPr>
            <w:tcW w:w="251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auto"/>
                <w:w w:val="98"/>
              </w:rPr>
              <w:t>Value of</w:t>
            </w:r>
          </w:p>
        </w:tc>
        <w:tc>
          <w:tcPr>
            <w:tcW w:w="154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7"/>
              </w:rPr>
              <w:t>Payments</w:t>
            </w:r>
          </w:p>
        </w:tc>
      </w:tr>
      <w:tr>
        <w:trPr>
          <w:trHeight w:val="135"/>
        </w:trPr>
        <w:tc>
          <w:tcPr>
            <w:tcW w:w="3190" w:type="dxa"/>
            <w:vAlign w:val="bottom"/>
          </w:tcPr>
          <w:p>
            <w:pPr>
              <w:spacing w:after="0"/>
              <w:rPr>
                <w:sz w:val="11"/>
                <w:szCs w:val="11"/>
                <w:color w:val="auto"/>
              </w:rPr>
            </w:pPr>
          </w:p>
        </w:tc>
        <w:tc>
          <w:tcPr>
            <w:tcW w:w="2510" w:type="dxa"/>
            <w:vAlign w:val="bottom"/>
          </w:tcPr>
          <w:p>
            <w:pPr>
              <w:spacing w:after="0"/>
              <w:rPr>
                <w:sz w:val="11"/>
                <w:szCs w:val="11"/>
                <w:color w:val="auto"/>
              </w:rPr>
            </w:pPr>
          </w:p>
        </w:tc>
        <w:tc>
          <w:tcPr>
            <w:tcW w:w="218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6"/>
              </w:rPr>
              <w:t>Number of Years</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54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96"/>
              </w:rPr>
              <w:t>During Last</w:t>
            </w:r>
          </w:p>
        </w:tc>
      </w:tr>
      <w:tr>
        <w:trPr>
          <w:trHeight w:val="135"/>
        </w:trPr>
        <w:tc>
          <w:tcPr>
            <w:tcW w:w="3190" w:type="dxa"/>
            <w:vAlign w:val="bottom"/>
          </w:tcPr>
          <w:p>
            <w:pPr>
              <w:spacing w:after="0"/>
              <w:rPr>
                <w:sz w:val="11"/>
                <w:szCs w:val="11"/>
                <w:color w:val="auto"/>
              </w:rPr>
            </w:pPr>
          </w:p>
        </w:tc>
        <w:tc>
          <w:tcPr>
            <w:tcW w:w="2510" w:type="dxa"/>
            <w:vAlign w:val="bottom"/>
          </w:tcPr>
          <w:p>
            <w:pPr>
              <w:spacing w:after="0"/>
              <w:rPr>
                <w:sz w:val="11"/>
                <w:szCs w:val="11"/>
                <w:color w:val="auto"/>
              </w:rPr>
            </w:pPr>
          </w:p>
        </w:tc>
        <w:tc>
          <w:tcPr>
            <w:tcW w:w="218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7"/>
              </w:rPr>
              <w:t>Benefit Service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auto"/>
                <w:w w:val="95"/>
              </w:rPr>
              <w:t>Benefit</w:t>
            </w:r>
          </w:p>
        </w:tc>
        <w:tc>
          <w:tcPr>
            <w:tcW w:w="154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96"/>
              </w:rPr>
              <w:t>Fiscal Year</w:t>
            </w:r>
          </w:p>
        </w:tc>
      </w:tr>
      <w:tr>
        <w:trPr>
          <w:trHeight w:val="157"/>
        </w:trPr>
        <w:tc>
          <w:tcPr>
            <w:tcW w:w="319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510" w:type="dxa"/>
            <w:vAlign w:val="bottom"/>
            <w:tcBorders>
              <w:bottom w:val="single" w:sz="8" w:color="auto"/>
            </w:tcBorders>
          </w:tcPr>
          <w:p>
            <w:pPr>
              <w:ind w:left="110"/>
              <w:spacing w:after="0"/>
              <w:rPr>
                <w:sz w:val="20"/>
                <w:szCs w:val="20"/>
                <w:color w:val="auto"/>
              </w:rPr>
            </w:pPr>
            <w:r>
              <w:rPr>
                <w:rFonts w:ascii="Arial" w:cs="Arial" w:eastAsia="Arial" w:hAnsi="Arial"/>
                <w:sz w:val="13"/>
                <w:szCs w:val="13"/>
                <w:b w:val="1"/>
                <w:bCs w:val="1"/>
                <w:color w:val="auto"/>
              </w:rPr>
              <w:t>Plan Name</w:t>
            </w:r>
          </w:p>
        </w:tc>
        <w:tc>
          <w:tcPr>
            <w:tcW w:w="218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0"/>
                <w:szCs w:val="10"/>
                <w:b w:val="1"/>
                <w:bCs w:val="1"/>
                <w:color w:val="auto"/>
              </w:rPr>
              <w:t>(1)</w:t>
            </w:r>
          </w:p>
        </w:tc>
        <w:tc>
          <w:tcPr>
            <w:tcW w:w="15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rPr>
              <w:t>($)</w:t>
            </w:r>
          </w:p>
        </w:tc>
      </w:tr>
      <w:tr>
        <w:trPr>
          <w:trHeight w:val="142"/>
        </w:trPr>
        <w:tc>
          <w:tcPr>
            <w:tcW w:w="3190" w:type="dxa"/>
            <w:vAlign w:val="bottom"/>
            <w:shd w:val="clear" w:color="auto" w:fill="DCDDDE"/>
          </w:tcPr>
          <w:p>
            <w:pPr>
              <w:spacing w:after="0" w:line="143" w:lineRule="exact"/>
              <w:rPr>
                <w:sz w:val="20"/>
                <w:szCs w:val="20"/>
                <w:color w:val="auto"/>
              </w:rPr>
            </w:pPr>
            <w:r>
              <w:rPr>
                <w:rFonts w:ascii="Arial" w:cs="Arial" w:eastAsia="Arial" w:hAnsi="Arial"/>
                <w:sz w:val="13"/>
                <w:szCs w:val="13"/>
                <w:color w:val="auto"/>
              </w:rPr>
              <w:t>Robert M. Bakish</w:t>
            </w:r>
          </w:p>
        </w:tc>
        <w:tc>
          <w:tcPr>
            <w:tcW w:w="2510" w:type="dxa"/>
            <w:vAlign w:val="bottom"/>
            <w:shd w:val="clear" w:color="auto" w:fill="DCDDDE"/>
          </w:tcPr>
          <w:p>
            <w:pPr>
              <w:ind w:left="110"/>
              <w:spacing w:after="0" w:line="143" w:lineRule="exact"/>
              <w:rPr>
                <w:sz w:val="20"/>
                <w:szCs w:val="20"/>
                <w:color w:val="auto"/>
              </w:rPr>
            </w:pPr>
            <w:r>
              <w:rPr>
                <w:rFonts w:ascii="Arial" w:cs="Arial" w:eastAsia="Arial" w:hAnsi="Arial"/>
                <w:sz w:val="13"/>
                <w:szCs w:val="13"/>
                <w:color w:val="auto"/>
              </w:rPr>
              <w:t>Viacom Pension Plan</w:t>
            </w:r>
          </w:p>
        </w:tc>
        <w:tc>
          <w:tcPr>
            <w:tcW w:w="2180" w:type="dxa"/>
            <w:vAlign w:val="bottom"/>
            <w:shd w:val="clear" w:color="auto" w:fill="DCDDDE"/>
          </w:tcPr>
          <w:p>
            <w:pPr>
              <w:jc w:val="right"/>
              <w:spacing w:after="0" w:line="143" w:lineRule="exact"/>
              <w:rPr>
                <w:sz w:val="20"/>
                <w:szCs w:val="20"/>
                <w:color w:val="auto"/>
              </w:rPr>
            </w:pPr>
            <w:r>
              <w:rPr>
                <w:rFonts w:ascii="Arial" w:cs="Arial" w:eastAsia="Arial" w:hAnsi="Arial"/>
                <w:sz w:val="13"/>
                <w:szCs w:val="13"/>
                <w:color w:val="auto"/>
              </w:rPr>
              <w:t>14 years, 11 months</w:t>
            </w:r>
          </w:p>
        </w:tc>
        <w:tc>
          <w:tcPr>
            <w:tcW w:w="540" w:type="dxa"/>
            <w:vAlign w:val="bottom"/>
            <w:shd w:val="clear" w:color="auto" w:fill="DCDDDE"/>
          </w:tcPr>
          <w:p>
            <w:pPr>
              <w:jc w:val="right"/>
              <w:ind w:right="286"/>
              <w:spacing w:after="0"/>
              <w:rPr>
                <w:sz w:val="20"/>
                <w:szCs w:val="20"/>
                <w:color w:val="auto"/>
              </w:rPr>
            </w:pPr>
            <w:r>
              <w:rPr>
                <w:rFonts w:ascii="Arial" w:cs="Arial" w:eastAsia="Arial" w:hAnsi="Arial"/>
                <w:sz w:val="11"/>
                <w:szCs w:val="11"/>
                <w:color w:val="auto"/>
              </w:rPr>
              <w:t>(2)</w:t>
            </w:r>
          </w:p>
        </w:tc>
        <w:tc>
          <w:tcPr>
            <w:tcW w:w="180" w:type="dxa"/>
            <w:vAlign w:val="bottom"/>
            <w:shd w:val="clear" w:color="auto" w:fill="DCDDDE"/>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1280" w:type="dxa"/>
            <w:vAlign w:val="bottom"/>
            <w:shd w:val="clear" w:color="auto" w:fill="DCDDDE"/>
          </w:tcPr>
          <w:p>
            <w:pPr>
              <w:jc w:val="right"/>
              <w:ind w:right="57"/>
              <w:spacing w:after="0" w:line="143" w:lineRule="exact"/>
              <w:rPr>
                <w:sz w:val="20"/>
                <w:szCs w:val="20"/>
                <w:color w:val="auto"/>
              </w:rPr>
            </w:pPr>
            <w:r>
              <w:rPr>
                <w:rFonts w:ascii="Arial" w:cs="Arial" w:eastAsia="Arial" w:hAnsi="Arial"/>
                <w:sz w:val="13"/>
                <w:szCs w:val="13"/>
                <w:color w:val="auto"/>
              </w:rPr>
              <w:t>404,289</w:t>
            </w:r>
          </w:p>
        </w:tc>
        <w:tc>
          <w:tcPr>
            <w:tcW w:w="1540" w:type="dxa"/>
            <w:vAlign w:val="bottom"/>
            <w:shd w:val="clear" w:color="auto" w:fill="DCDDDE"/>
          </w:tcPr>
          <w:p>
            <w:pPr>
              <w:ind w:left="1300"/>
              <w:spacing w:after="0" w:line="143" w:lineRule="exact"/>
              <w:rPr>
                <w:sz w:val="20"/>
                <w:szCs w:val="20"/>
                <w:color w:val="auto"/>
              </w:rPr>
            </w:pPr>
            <w:r>
              <w:rPr>
                <w:rFonts w:ascii="Arial" w:cs="Arial" w:eastAsia="Arial" w:hAnsi="Arial"/>
                <w:sz w:val="13"/>
                <w:szCs w:val="13"/>
                <w:color w:val="auto"/>
              </w:rPr>
              <w:t>—</w:t>
            </w:r>
          </w:p>
        </w:tc>
      </w:tr>
      <w:tr>
        <w:trPr>
          <w:trHeight w:val="149"/>
        </w:trPr>
        <w:tc>
          <w:tcPr>
            <w:tcW w:w="3190" w:type="dxa"/>
            <w:vAlign w:val="bottom"/>
            <w:tcBorders>
              <w:bottom w:val="single" w:sz="8" w:color="DCDDDE"/>
            </w:tcBorders>
            <w:shd w:val="clear" w:color="auto" w:fill="DCDDDE"/>
          </w:tcPr>
          <w:p>
            <w:pPr>
              <w:spacing w:after="0"/>
              <w:rPr>
                <w:sz w:val="12"/>
                <w:szCs w:val="12"/>
                <w:color w:val="auto"/>
              </w:rPr>
            </w:pPr>
          </w:p>
        </w:tc>
        <w:tc>
          <w:tcPr>
            <w:tcW w:w="2510" w:type="dxa"/>
            <w:vAlign w:val="bottom"/>
            <w:tcBorders>
              <w:bottom w:val="single" w:sz="8" w:color="DCDDDE"/>
            </w:tcBorders>
            <w:shd w:val="clear" w:color="auto" w:fill="DCDDDE"/>
          </w:tcPr>
          <w:p>
            <w:pPr>
              <w:ind w:left="110"/>
              <w:spacing w:after="0"/>
              <w:rPr>
                <w:sz w:val="20"/>
                <w:szCs w:val="20"/>
                <w:color w:val="auto"/>
              </w:rPr>
            </w:pPr>
            <w:r>
              <w:rPr>
                <w:rFonts w:ascii="Arial" w:cs="Arial" w:eastAsia="Arial" w:hAnsi="Arial"/>
                <w:sz w:val="13"/>
                <w:szCs w:val="13"/>
                <w:color w:val="auto"/>
              </w:rPr>
              <w:t>Viacom Excess Pension Plan</w:t>
            </w:r>
          </w:p>
        </w:tc>
        <w:tc>
          <w:tcPr>
            <w:tcW w:w="2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11 years, 2 months</w:t>
            </w:r>
          </w:p>
        </w:tc>
        <w:tc>
          <w:tcPr>
            <w:tcW w:w="540" w:type="dxa"/>
            <w:vAlign w:val="bottom"/>
            <w:tcBorders>
              <w:bottom w:val="single" w:sz="8" w:color="DCDDDE"/>
            </w:tcBorders>
            <w:shd w:val="clear" w:color="auto" w:fill="DCDDDE"/>
          </w:tcPr>
          <w:p>
            <w:pPr>
              <w:jc w:val="right"/>
              <w:ind w:right="286"/>
              <w:spacing w:after="0"/>
              <w:rPr>
                <w:sz w:val="20"/>
                <w:szCs w:val="20"/>
                <w:color w:val="auto"/>
              </w:rPr>
            </w:pPr>
            <w:r>
              <w:rPr>
                <w:rFonts w:ascii="Arial" w:cs="Arial" w:eastAsia="Arial" w:hAnsi="Arial"/>
                <w:sz w:val="11"/>
                <w:szCs w:val="11"/>
                <w:color w:val="auto"/>
              </w:rPr>
              <w:t>(2)</w:t>
            </w:r>
          </w:p>
        </w:tc>
        <w:tc>
          <w:tcPr>
            <w:tcW w:w="180" w:type="dxa"/>
            <w:vAlign w:val="bottom"/>
            <w:tcBorders>
              <w:bottom w:val="single" w:sz="8" w:color="auto"/>
            </w:tcBorders>
            <w:shd w:val="clear" w:color="auto" w:fill="DCDDDE"/>
          </w:tcPr>
          <w:p>
            <w:pPr>
              <w:spacing w:after="0"/>
              <w:rPr>
                <w:sz w:val="12"/>
                <w:szCs w:val="12"/>
                <w:color w:val="auto"/>
              </w:rPr>
            </w:pPr>
          </w:p>
        </w:tc>
        <w:tc>
          <w:tcPr>
            <w:tcW w:w="1280" w:type="dxa"/>
            <w:vAlign w:val="bottom"/>
            <w:tcBorders>
              <w:bottom w:val="single" w:sz="8" w:color="auto"/>
            </w:tcBorders>
            <w:shd w:val="clear" w:color="auto" w:fill="DCDDDE"/>
          </w:tcPr>
          <w:p>
            <w:pPr>
              <w:jc w:val="right"/>
              <w:ind w:right="57"/>
              <w:spacing w:after="0"/>
              <w:rPr>
                <w:sz w:val="20"/>
                <w:szCs w:val="20"/>
                <w:color w:val="auto"/>
              </w:rPr>
            </w:pPr>
            <w:r>
              <w:rPr>
                <w:rFonts w:ascii="Arial" w:cs="Arial" w:eastAsia="Arial" w:hAnsi="Arial"/>
                <w:sz w:val="13"/>
                <w:szCs w:val="13"/>
                <w:color w:val="auto"/>
              </w:rPr>
              <w:t>892,586</w:t>
            </w:r>
          </w:p>
        </w:tc>
        <w:tc>
          <w:tcPr>
            <w:tcW w:w="1540" w:type="dxa"/>
            <w:vAlign w:val="bottom"/>
            <w:tcBorders>
              <w:bottom w:val="single" w:sz="8" w:color="DCDDDE"/>
            </w:tcBorders>
            <w:shd w:val="clear" w:color="auto" w:fill="DCDDDE"/>
          </w:tcPr>
          <w:p>
            <w:pPr>
              <w:ind w:left="1300"/>
              <w:spacing w:after="0"/>
              <w:rPr>
                <w:sz w:val="20"/>
                <w:szCs w:val="20"/>
                <w:color w:val="auto"/>
              </w:rPr>
            </w:pPr>
            <w:r>
              <w:rPr>
                <w:rFonts w:ascii="Arial" w:cs="Arial" w:eastAsia="Arial" w:hAnsi="Arial"/>
                <w:sz w:val="13"/>
                <w:szCs w:val="13"/>
                <w:color w:val="auto"/>
              </w:rPr>
              <w:t>—</w:t>
            </w:r>
          </w:p>
        </w:tc>
      </w:tr>
      <w:tr>
        <w:trPr>
          <w:trHeight w:val="142"/>
        </w:trPr>
        <w:tc>
          <w:tcPr>
            <w:tcW w:w="3190" w:type="dxa"/>
            <w:vAlign w:val="bottom"/>
            <w:tcBorders>
              <w:bottom w:val="single" w:sz="8" w:color="auto"/>
            </w:tcBorders>
            <w:shd w:val="clear" w:color="auto" w:fill="DCDDDE"/>
          </w:tcPr>
          <w:p>
            <w:pPr>
              <w:spacing w:after="0"/>
              <w:rPr>
                <w:sz w:val="12"/>
                <w:szCs w:val="12"/>
                <w:color w:val="auto"/>
              </w:rPr>
            </w:pPr>
          </w:p>
        </w:tc>
        <w:tc>
          <w:tcPr>
            <w:tcW w:w="2510" w:type="dxa"/>
            <w:vAlign w:val="bottom"/>
            <w:tcBorders>
              <w:bottom w:val="single" w:sz="8" w:color="auto"/>
            </w:tcBorders>
            <w:shd w:val="clear" w:color="auto" w:fill="DCDDDE"/>
          </w:tcPr>
          <w:p>
            <w:pPr>
              <w:spacing w:after="0"/>
              <w:rPr>
                <w:sz w:val="12"/>
                <w:szCs w:val="12"/>
                <w:color w:val="auto"/>
              </w:rPr>
            </w:pPr>
          </w:p>
        </w:tc>
        <w:tc>
          <w:tcPr>
            <w:tcW w:w="2180" w:type="dxa"/>
            <w:vAlign w:val="bottom"/>
            <w:tcBorders>
              <w:bottom w:val="single" w:sz="8" w:color="auto"/>
            </w:tcBorders>
            <w:shd w:val="clear" w:color="auto" w:fill="DCDDDE"/>
          </w:tcPr>
          <w:p>
            <w:pPr>
              <w:spacing w:after="0"/>
              <w:rPr>
                <w:sz w:val="12"/>
                <w:szCs w:val="12"/>
                <w:color w:val="auto"/>
              </w:rPr>
            </w:pPr>
          </w:p>
        </w:tc>
        <w:tc>
          <w:tcPr>
            <w:tcW w:w="540" w:type="dxa"/>
            <w:vAlign w:val="bottom"/>
            <w:tcBorders>
              <w:bottom w:val="single" w:sz="8" w:color="auto"/>
            </w:tcBorders>
            <w:shd w:val="clear" w:color="auto" w:fill="DCDDDE"/>
          </w:tcPr>
          <w:p>
            <w:pPr>
              <w:spacing w:after="0"/>
              <w:rPr>
                <w:sz w:val="12"/>
                <w:szCs w:val="12"/>
                <w:color w:val="auto"/>
              </w:rPr>
            </w:pPr>
          </w:p>
        </w:tc>
        <w:tc>
          <w:tcPr>
            <w:tcW w:w="180" w:type="dxa"/>
            <w:vAlign w:val="bottom"/>
            <w:tcBorders>
              <w:bottom w:val="single" w:sz="8" w:color="auto"/>
            </w:tcBorders>
            <w:shd w:val="clear" w:color="auto" w:fill="DCDDDE"/>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DCDDDE"/>
          </w:tcPr>
          <w:p>
            <w:pPr>
              <w:jc w:val="right"/>
              <w:ind w:right="57"/>
              <w:spacing w:after="0" w:line="143" w:lineRule="exact"/>
              <w:rPr>
                <w:sz w:val="20"/>
                <w:szCs w:val="20"/>
                <w:color w:val="auto"/>
              </w:rPr>
            </w:pPr>
            <w:r>
              <w:rPr>
                <w:rFonts w:ascii="Arial" w:cs="Arial" w:eastAsia="Arial" w:hAnsi="Arial"/>
                <w:sz w:val="13"/>
                <w:szCs w:val="13"/>
                <w:color w:val="auto"/>
              </w:rPr>
              <w:t>1,296,875</w:t>
            </w:r>
          </w:p>
        </w:tc>
        <w:tc>
          <w:tcPr>
            <w:tcW w:w="1540" w:type="dxa"/>
            <w:vAlign w:val="bottom"/>
            <w:tcBorders>
              <w:bottom w:val="single" w:sz="8" w:color="auto"/>
            </w:tcBorders>
            <w:shd w:val="clear" w:color="auto" w:fill="DCDDDE"/>
          </w:tcPr>
          <w:p>
            <w:pPr>
              <w:spacing w:after="0"/>
              <w:rPr>
                <w:sz w:val="12"/>
                <w:szCs w:val="12"/>
                <w:color w:val="auto"/>
              </w:rPr>
            </w:pPr>
          </w:p>
        </w:tc>
      </w:tr>
      <w:tr>
        <w:trPr>
          <w:trHeight w:val="150"/>
        </w:trPr>
        <w:tc>
          <w:tcPr>
            <w:tcW w:w="3190" w:type="dxa"/>
            <w:vAlign w:val="bottom"/>
          </w:tcPr>
          <w:p>
            <w:pPr>
              <w:spacing w:after="0"/>
              <w:rPr>
                <w:sz w:val="20"/>
                <w:szCs w:val="20"/>
                <w:color w:val="auto"/>
              </w:rPr>
            </w:pPr>
            <w:r>
              <w:rPr>
                <w:rFonts w:ascii="Arial" w:cs="Arial" w:eastAsia="Arial" w:hAnsi="Arial"/>
                <w:sz w:val="13"/>
                <w:szCs w:val="13"/>
                <w:color w:val="auto"/>
              </w:rPr>
              <w:t>Wade C. Davis</w:t>
            </w:r>
          </w:p>
        </w:tc>
        <w:tc>
          <w:tcPr>
            <w:tcW w:w="2510" w:type="dxa"/>
            <w:vAlign w:val="bottom"/>
          </w:tcPr>
          <w:p>
            <w:pPr>
              <w:ind w:left="110"/>
              <w:spacing w:after="0"/>
              <w:rPr>
                <w:sz w:val="20"/>
                <w:szCs w:val="20"/>
                <w:color w:val="auto"/>
              </w:rPr>
            </w:pPr>
            <w:r>
              <w:rPr>
                <w:rFonts w:ascii="Arial" w:cs="Arial" w:eastAsia="Arial" w:hAnsi="Arial"/>
                <w:sz w:val="13"/>
                <w:szCs w:val="13"/>
                <w:color w:val="auto"/>
              </w:rPr>
              <w:t>Viacom Pension Plan</w:t>
            </w:r>
          </w:p>
        </w:tc>
        <w:tc>
          <w:tcPr>
            <w:tcW w:w="2180" w:type="dxa"/>
            <w:vAlign w:val="bottom"/>
          </w:tcPr>
          <w:p>
            <w:pPr>
              <w:jc w:val="right"/>
              <w:spacing w:after="0"/>
              <w:rPr>
                <w:sz w:val="20"/>
                <w:szCs w:val="20"/>
                <w:color w:val="auto"/>
              </w:rPr>
            </w:pPr>
            <w:r>
              <w:rPr>
                <w:rFonts w:ascii="Arial" w:cs="Arial" w:eastAsia="Arial" w:hAnsi="Arial"/>
                <w:sz w:val="13"/>
                <w:szCs w:val="13"/>
                <w:color w:val="auto"/>
              </w:rPr>
              <w:t>6 years, 2 months</w:t>
            </w:r>
          </w:p>
        </w:tc>
        <w:tc>
          <w:tcPr>
            <w:tcW w:w="540" w:type="dxa"/>
            <w:vAlign w:val="bottom"/>
          </w:tcPr>
          <w:p>
            <w:pPr>
              <w:jc w:val="right"/>
              <w:ind w:right="286"/>
              <w:spacing w:after="0"/>
              <w:rPr>
                <w:sz w:val="20"/>
                <w:szCs w:val="20"/>
                <w:color w:val="auto"/>
              </w:rPr>
            </w:pPr>
            <w:r>
              <w:rPr>
                <w:rFonts w:ascii="Arial" w:cs="Arial" w:eastAsia="Arial" w:hAnsi="Arial"/>
                <w:sz w:val="11"/>
                <w:szCs w:val="11"/>
                <w:color w:val="auto"/>
              </w:rPr>
              <w:t>(3)</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102,292</w:t>
            </w:r>
          </w:p>
        </w:tc>
        <w:tc>
          <w:tcPr>
            <w:tcW w:w="1540" w:type="dxa"/>
            <w:vAlign w:val="bottom"/>
          </w:tcPr>
          <w:p>
            <w:pPr>
              <w:ind w:left="1300"/>
              <w:spacing w:after="0"/>
              <w:rPr>
                <w:sz w:val="20"/>
                <w:szCs w:val="20"/>
                <w:color w:val="auto"/>
              </w:rPr>
            </w:pPr>
            <w:r>
              <w:rPr>
                <w:rFonts w:ascii="Arial" w:cs="Arial" w:eastAsia="Arial" w:hAnsi="Arial"/>
                <w:sz w:val="13"/>
                <w:szCs w:val="13"/>
                <w:color w:val="auto"/>
              </w:rPr>
              <w:t>—</w:t>
            </w:r>
          </w:p>
        </w:tc>
      </w:tr>
      <w:tr>
        <w:trPr>
          <w:trHeight w:val="141"/>
        </w:trPr>
        <w:tc>
          <w:tcPr>
            <w:tcW w:w="3190" w:type="dxa"/>
            <w:vAlign w:val="bottom"/>
          </w:tcPr>
          <w:p>
            <w:pPr>
              <w:spacing w:after="0"/>
              <w:rPr>
                <w:sz w:val="12"/>
                <w:szCs w:val="12"/>
                <w:color w:val="auto"/>
              </w:rPr>
            </w:pPr>
          </w:p>
        </w:tc>
        <w:tc>
          <w:tcPr>
            <w:tcW w:w="2510" w:type="dxa"/>
            <w:vAlign w:val="bottom"/>
          </w:tcPr>
          <w:p>
            <w:pPr>
              <w:ind w:left="110"/>
              <w:spacing w:after="0" w:line="141" w:lineRule="exact"/>
              <w:rPr>
                <w:sz w:val="20"/>
                <w:szCs w:val="20"/>
                <w:color w:val="auto"/>
              </w:rPr>
            </w:pPr>
            <w:r>
              <w:rPr>
                <w:rFonts w:ascii="Arial" w:cs="Arial" w:eastAsia="Arial" w:hAnsi="Arial"/>
                <w:sz w:val="13"/>
                <w:szCs w:val="13"/>
                <w:color w:val="auto"/>
              </w:rPr>
              <w:t>Viacom Excess Pension Plan</w:t>
            </w: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2 years, 5 months</w:t>
            </w:r>
          </w:p>
        </w:tc>
        <w:tc>
          <w:tcPr>
            <w:tcW w:w="540" w:type="dxa"/>
            <w:vAlign w:val="bottom"/>
          </w:tcPr>
          <w:p>
            <w:pPr>
              <w:jc w:val="right"/>
              <w:ind w:right="286"/>
              <w:spacing w:after="0"/>
              <w:rPr>
                <w:sz w:val="20"/>
                <w:szCs w:val="20"/>
                <w:color w:val="auto"/>
              </w:rPr>
            </w:pPr>
            <w:r>
              <w:rPr>
                <w:rFonts w:ascii="Arial" w:cs="Arial" w:eastAsia="Arial" w:hAnsi="Arial"/>
                <w:sz w:val="11"/>
                <w:szCs w:val="11"/>
                <w:color w:val="auto"/>
              </w:rPr>
              <w:t>(3)</w:t>
            </w: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134,425</w:t>
            </w:r>
          </w:p>
        </w:tc>
        <w:tc>
          <w:tcPr>
            <w:tcW w:w="1540" w:type="dxa"/>
            <w:vAlign w:val="bottom"/>
          </w:tcPr>
          <w:p>
            <w:pPr>
              <w:ind w:left="1300"/>
              <w:spacing w:after="0" w:line="141" w:lineRule="exact"/>
              <w:rPr>
                <w:sz w:val="20"/>
                <w:szCs w:val="20"/>
                <w:color w:val="auto"/>
              </w:rPr>
            </w:pPr>
            <w:r>
              <w:rPr>
                <w:rFonts w:ascii="Arial" w:cs="Arial" w:eastAsia="Arial" w:hAnsi="Arial"/>
                <w:sz w:val="13"/>
                <w:szCs w:val="13"/>
                <w:color w:val="auto"/>
              </w:rPr>
              <w:t>—</w:t>
            </w:r>
          </w:p>
        </w:tc>
      </w:tr>
      <w:tr>
        <w:trPr>
          <w:trHeight w:val="142"/>
        </w:trPr>
        <w:tc>
          <w:tcPr>
            <w:tcW w:w="3190" w:type="dxa"/>
            <w:vAlign w:val="bottom"/>
            <w:tcBorders>
              <w:bottom w:val="single" w:sz="8" w:color="auto"/>
            </w:tcBorders>
          </w:tcPr>
          <w:p>
            <w:pPr>
              <w:spacing w:after="0"/>
              <w:rPr>
                <w:sz w:val="12"/>
                <w:szCs w:val="12"/>
                <w:color w:val="auto"/>
              </w:rPr>
            </w:pPr>
          </w:p>
        </w:tc>
        <w:tc>
          <w:tcPr>
            <w:tcW w:w="251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236,717</w:t>
            </w:r>
          </w:p>
        </w:tc>
        <w:tc>
          <w:tcPr>
            <w:tcW w:w="1540" w:type="dxa"/>
            <w:vAlign w:val="bottom"/>
            <w:tcBorders>
              <w:bottom w:val="single" w:sz="8" w:color="auto"/>
            </w:tcBorders>
          </w:tcPr>
          <w:p>
            <w:pPr>
              <w:spacing w:after="0"/>
              <w:rPr>
                <w:sz w:val="12"/>
                <w:szCs w:val="12"/>
                <w:color w:val="auto"/>
              </w:rPr>
            </w:pPr>
          </w:p>
        </w:tc>
      </w:tr>
      <w:tr>
        <w:trPr>
          <w:trHeight w:val="142"/>
        </w:trPr>
        <w:tc>
          <w:tcPr>
            <w:tcW w:w="3190" w:type="dxa"/>
            <w:vAlign w:val="bottom"/>
            <w:shd w:val="clear" w:color="auto" w:fill="DCDDDE"/>
          </w:tcPr>
          <w:p>
            <w:pPr>
              <w:spacing w:after="0" w:line="143" w:lineRule="exact"/>
              <w:rPr>
                <w:sz w:val="20"/>
                <w:szCs w:val="20"/>
                <w:color w:val="auto"/>
              </w:rPr>
            </w:pPr>
            <w:r>
              <w:rPr>
                <w:rFonts w:ascii="Arial" w:cs="Arial" w:eastAsia="Arial" w:hAnsi="Arial"/>
                <w:sz w:val="13"/>
                <w:szCs w:val="13"/>
                <w:color w:val="auto"/>
              </w:rPr>
              <w:t>Christa A. D'Alimonte</w:t>
            </w:r>
          </w:p>
        </w:tc>
        <w:tc>
          <w:tcPr>
            <w:tcW w:w="2510" w:type="dxa"/>
            <w:vAlign w:val="bottom"/>
            <w:shd w:val="clear" w:color="auto" w:fill="DCDDDE"/>
          </w:tcPr>
          <w:p>
            <w:pPr>
              <w:ind w:left="110"/>
              <w:spacing w:after="0" w:line="143" w:lineRule="exact"/>
              <w:rPr>
                <w:sz w:val="20"/>
                <w:szCs w:val="20"/>
                <w:color w:val="auto"/>
              </w:rPr>
            </w:pPr>
            <w:r>
              <w:rPr>
                <w:rFonts w:ascii="Arial" w:cs="Arial" w:eastAsia="Arial" w:hAnsi="Arial"/>
                <w:sz w:val="13"/>
                <w:szCs w:val="13"/>
                <w:color w:val="auto"/>
              </w:rPr>
              <w:t>Viacom Pension Plan</w:t>
            </w:r>
          </w:p>
        </w:tc>
        <w:tc>
          <w:tcPr>
            <w:tcW w:w="2180" w:type="dxa"/>
            <w:vAlign w:val="bottom"/>
            <w:shd w:val="clear" w:color="auto" w:fill="DCDDDE"/>
          </w:tcPr>
          <w:p>
            <w:pPr>
              <w:jc w:val="right"/>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DCDDDE"/>
          </w:tcPr>
          <w:p>
            <w:pPr>
              <w:jc w:val="right"/>
              <w:ind w:right="286"/>
              <w:spacing w:after="0"/>
              <w:rPr>
                <w:sz w:val="20"/>
                <w:szCs w:val="20"/>
                <w:color w:val="auto"/>
              </w:rPr>
            </w:pPr>
            <w:r>
              <w:rPr>
                <w:rFonts w:ascii="Arial" w:cs="Arial" w:eastAsia="Arial" w:hAnsi="Arial"/>
                <w:sz w:val="11"/>
                <w:szCs w:val="11"/>
                <w:color w:val="auto"/>
              </w:rPr>
              <w:t>(4)</w:t>
            </w:r>
          </w:p>
        </w:tc>
        <w:tc>
          <w:tcPr>
            <w:tcW w:w="180" w:type="dxa"/>
            <w:vAlign w:val="bottom"/>
            <w:shd w:val="clear" w:color="auto" w:fill="DCDDDE"/>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1280" w:type="dxa"/>
            <w:vAlign w:val="bottom"/>
            <w:shd w:val="clear" w:color="auto" w:fill="DCDDDE"/>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540" w:type="dxa"/>
            <w:vAlign w:val="bottom"/>
            <w:shd w:val="clear" w:color="auto" w:fill="DCDDDE"/>
          </w:tcPr>
          <w:p>
            <w:pPr>
              <w:ind w:left="1300"/>
              <w:spacing w:after="0" w:line="143" w:lineRule="exact"/>
              <w:rPr>
                <w:sz w:val="20"/>
                <w:szCs w:val="20"/>
                <w:color w:val="auto"/>
              </w:rPr>
            </w:pPr>
            <w:r>
              <w:rPr>
                <w:rFonts w:ascii="Arial" w:cs="Arial" w:eastAsia="Arial" w:hAnsi="Arial"/>
                <w:sz w:val="13"/>
                <w:szCs w:val="13"/>
                <w:color w:val="auto"/>
              </w:rPr>
              <w:t>—</w:t>
            </w:r>
          </w:p>
        </w:tc>
      </w:tr>
      <w:tr>
        <w:trPr>
          <w:trHeight w:val="149"/>
        </w:trPr>
        <w:tc>
          <w:tcPr>
            <w:tcW w:w="3190" w:type="dxa"/>
            <w:vAlign w:val="bottom"/>
            <w:tcBorders>
              <w:bottom w:val="single" w:sz="8" w:color="DCDDDE"/>
            </w:tcBorders>
            <w:shd w:val="clear" w:color="auto" w:fill="DCDDDE"/>
          </w:tcPr>
          <w:p>
            <w:pPr>
              <w:spacing w:after="0"/>
              <w:rPr>
                <w:sz w:val="12"/>
                <w:szCs w:val="12"/>
                <w:color w:val="auto"/>
              </w:rPr>
            </w:pPr>
          </w:p>
        </w:tc>
        <w:tc>
          <w:tcPr>
            <w:tcW w:w="2510" w:type="dxa"/>
            <w:vAlign w:val="bottom"/>
            <w:tcBorders>
              <w:bottom w:val="single" w:sz="8" w:color="DCDDDE"/>
            </w:tcBorders>
            <w:shd w:val="clear" w:color="auto" w:fill="DCDDDE"/>
          </w:tcPr>
          <w:p>
            <w:pPr>
              <w:ind w:left="110"/>
              <w:spacing w:after="0"/>
              <w:rPr>
                <w:sz w:val="20"/>
                <w:szCs w:val="20"/>
                <w:color w:val="auto"/>
              </w:rPr>
            </w:pPr>
            <w:r>
              <w:rPr>
                <w:rFonts w:ascii="Arial" w:cs="Arial" w:eastAsia="Arial" w:hAnsi="Arial"/>
                <w:sz w:val="13"/>
                <w:szCs w:val="13"/>
                <w:color w:val="auto"/>
              </w:rPr>
              <w:t>Viacom Excess Pension Plan</w:t>
            </w:r>
          </w:p>
        </w:tc>
        <w:tc>
          <w:tcPr>
            <w:tcW w:w="2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DCDDDE"/>
            </w:tcBorders>
            <w:shd w:val="clear" w:color="auto" w:fill="DCDDDE"/>
          </w:tcPr>
          <w:p>
            <w:pPr>
              <w:jc w:val="right"/>
              <w:ind w:right="286"/>
              <w:spacing w:after="0"/>
              <w:rPr>
                <w:sz w:val="20"/>
                <w:szCs w:val="20"/>
                <w:color w:val="auto"/>
              </w:rPr>
            </w:pPr>
            <w:r>
              <w:rPr>
                <w:rFonts w:ascii="Arial" w:cs="Arial" w:eastAsia="Arial" w:hAnsi="Arial"/>
                <w:sz w:val="11"/>
                <w:szCs w:val="11"/>
                <w:color w:val="auto"/>
              </w:rPr>
              <w:t>(4)</w:t>
            </w:r>
          </w:p>
        </w:tc>
        <w:tc>
          <w:tcPr>
            <w:tcW w:w="180" w:type="dxa"/>
            <w:vAlign w:val="bottom"/>
            <w:tcBorders>
              <w:bottom w:val="single" w:sz="8" w:color="auto"/>
            </w:tcBorders>
            <w:shd w:val="clear" w:color="auto" w:fill="DCDDDE"/>
          </w:tcPr>
          <w:p>
            <w:pPr>
              <w:spacing w:after="0"/>
              <w:rPr>
                <w:sz w:val="12"/>
                <w:szCs w:val="12"/>
                <w:color w:val="auto"/>
              </w:rPr>
            </w:pPr>
          </w:p>
        </w:tc>
        <w:tc>
          <w:tcPr>
            <w:tcW w:w="1280" w:type="dxa"/>
            <w:vAlign w:val="bottom"/>
            <w:tcBorders>
              <w:bottom w:val="single" w:sz="8" w:color="auto"/>
            </w:tcBorders>
            <w:shd w:val="clear" w:color="auto" w:fill="DCDDDE"/>
          </w:tcPr>
          <w:p>
            <w:pPr>
              <w:jc w:val="right"/>
              <w:ind w:right="57"/>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DCDDDE"/>
            </w:tcBorders>
            <w:shd w:val="clear" w:color="auto" w:fill="DCDDDE"/>
          </w:tcPr>
          <w:p>
            <w:pPr>
              <w:ind w:left="1300"/>
              <w:spacing w:after="0"/>
              <w:rPr>
                <w:sz w:val="20"/>
                <w:szCs w:val="20"/>
                <w:color w:val="auto"/>
              </w:rPr>
            </w:pPr>
            <w:r>
              <w:rPr>
                <w:rFonts w:ascii="Arial" w:cs="Arial" w:eastAsia="Arial" w:hAnsi="Arial"/>
                <w:sz w:val="13"/>
                <w:szCs w:val="13"/>
                <w:color w:val="auto"/>
              </w:rPr>
              <w:t>—</w:t>
            </w:r>
          </w:p>
        </w:tc>
      </w:tr>
      <w:tr>
        <w:trPr>
          <w:trHeight w:val="142"/>
        </w:trPr>
        <w:tc>
          <w:tcPr>
            <w:tcW w:w="3190" w:type="dxa"/>
            <w:vAlign w:val="bottom"/>
            <w:tcBorders>
              <w:bottom w:val="single" w:sz="8" w:color="auto"/>
            </w:tcBorders>
            <w:shd w:val="clear" w:color="auto" w:fill="DCDDDE"/>
          </w:tcPr>
          <w:p>
            <w:pPr>
              <w:spacing w:after="0"/>
              <w:rPr>
                <w:sz w:val="12"/>
                <w:szCs w:val="12"/>
                <w:color w:val="auto"/>
              </w:rPr>
            </w:pPr>
          </w:p>
        </w:tc>
        <w:tc>
          <w:tcPr>
            <w:tcW w:w="2510" w:type="dxa"/>
            <w:vAlign w:val="bottom"/>
            <w:tcBorders>
              <w:bottom w:val="single" w:sz="8" w:color="auto"/>
            </w:tcBorders>
            <w:shd w:val="clear" w:color="auto" w:fill="DCDDDE"/>
          </w:tcPr>
          <w:p>
            <w:pPr>
              <w:spacing w:after="0"/>
              <w:rPr>
                <w:sz w:val="12"/>
                <w:szCs w:val="12"/>
                <w:color w:val="auto"/>
              </w:rPr>
            </w:pPr>
          </w:p>
        </w:tc>
        <w:tc>
          <w:tcPr>
            <w:tcW w:w="2180" w:type="dxa"/>
            <w:vAlign w:val="bottom"/>
            <w:tcBorders>
              <w:bottom w:val="single" w:sz="8" w:color="auto"/>
            </w:tcBorders>
            <w:shd w:val="clear" w:color="auto" w:fill="DCDDDE"/>
          </w:tcPr>
          <w:p>
            <w:pPr>
              <w:spacing w:after="0"/>
              <w:rPr>
                <w:sz w:val="12"/>
                <w:szCs w:val="12"/>
                <w:color w:val="auto"/>
              </w:rPr>
            </w:pPr>
          </w:p>
        </w:tc>
        <w:tc>
          <w:tcPr>
            <w:tcW w:w="540" w:type="dxa"/>
            <w:vAlign w:val="bottom"/>
            <w:tcBorders>
              <w:bottom w:val="single" w:sz="8" w:color="auto"/>
            </w:tcBorders>
            <w:shd w:val="clear" w:color="auto" w:fill="DCDDDE"/>
          </w:tcPr>
          <w:p>
            <w:pPr>
              <w:spacing w:after="0"/>
              <w:rPr>
                <w:sz w:val="12"/>
                <w:szCs w:val="12"/>
                <w:color w:val="auto"/>
              </w:rPr>
            </w:pPr>
          </w:p>
        </w:tc>
        <w:tc>
          <w:tcPr>
            <w:tcW w:w="180" w:type="dxa"/>
            <w:vAlign w:val="bottom"/>
            <w:tcBorders>
              <w:bottom w:val="single" w:sz="8" w:color="auto"/>
            </w:tcBorders>
            <w:shd w:val="clear" w:color="auto" w:fill="DCDDDE"/>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DCDDDE"/>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DCDDDE"/>
          </w:tcPr>
          <w:p>
            <w:pPr>
              <w:spacing w:after="0"/>
              <w:rPr>
                <w:sz w:val="12"/>
                <w:szCs w:val="12"/>
                <w:color w:val="auto"/>
              </w:rPr>
            </w:pPr>
          </w:p>
        </w:tc>
      </w:tr>
      <w:tr>
        <w:trPr>
          <w:trHeight w:val="150"/>
        </w:trPr>
        <w:tc>
          <w:tcPr>
            <w:tcW w:w="3190" w:type="dxa"/>
            <w:vAlign w:val="bottom"/>
          </w:tcPr>
          <w:p>
            <w:pPr>
              <w:spacing w:after="0"/>
              <w:rPr>
                <w:sz w:val="20"/>
                <w:szCs w:val="20"/>
                <w:color w:val="auto"/>
              </w:rPr>
            </w:pPr>
            <w:r>
              <w:rPr>
                <w:rFonts w:ascii="Arial" w:cs="Arial" w:eastAsia="Arial" w:hAnsi="Arial"/>
                <w:sz w:val="13"/>
                <w:szCs w:val="13"/>
                <w:color w:val="auto"/>
              </w:rPr>
              <w:t>Doretha (DeDe) F. Lea</w:t>
            </w:r>
          </w:p>
        </w:tc>
        <w:tc>
          <w:tcPr>
            <w:tcW w:w="2510" w:type="dxa"/>
            <w:vAlign w:val="bottom"/>
          </w:tcPr>
          <w:p>
            <w:pPr>
              <w:ind w:left="110"/>
              <w:spacing w:after="0"/>
              <w:rPr>
                <w:sz w:val="20"/>
                <w:szCs w:val="20"/>
                <w:color w:val="auto"/>
              </w:rPr>
            </w:pPr>
            <w:r>
              <w:rPr>
                <w:rFonts w:ascii="Arial" w:cs="Arial" w:eastAsia="Arial" w:hAnsi="Arial"/>
                <w:sz w:val="13"/>
                <w:szCs w:val="13"/>
                <w:color w:val="auto"/>
              </w:rPr>
              <w:t>Viacom Pension Plan</w:t>
            </w:r>
          </w:p>
        </w:tc>
        <w:tc>
          <w:tcPr>
            <w:tcW w:w="2180" w:type="dxa"/>
            <w:vAlign w:val="bottom"/>
          </w:tcPr>
          <w:p>
            <w:pPr>
              <w:jc w:val="right"/>
              <w:spacing w:after="0"/>
              <w:rPr>
                <w:sz w:val="20"/>
                <w:szCs w:val="20"/>
                <w:color w:val="auto"/>
              </w:rPr>
            </w:pPr>
            <w:r>
              <w:rPr>
                <w:rFonts w:ascii="Arial" w:cs="Arial" w:eastAsia="Arial" w:hAnsi="Arial"/>
                <w:sz w:val="13"/>
                <w:szCs w:val="13"/>
                <w:color w:val="auto"/>
              </w:rPr>
              <w:t>13 years, 2 months</w:t>
            </w:r>
          </w:p>
        </w:tc>
        <w:tc>
          <w:tcPr>
            <w:tcW w:w="540" w:type="dxa"/>
            <w:vAlign w:val="bottom"/>
          </w:tcPr>
          <w:p>
            <w:pPr>
              <w:jc w:val="right"/>
              <w:ind w:right="286"/>
              <w:spacing w:after="0"/>
              <w:rPr>
                <w:sz w:val="20"/>
                <w:szCs w:val="20"/>
                <w:color w:val="auto"/>
              </w:rPr>
            </w:pPr>
            <w:r>
              <w:rPr>
                <w:rFonts w:ascii="Arial" w:cs="Arial" w:eastAsia="Arial" w:hAnsi="Arial"/>
                <w:sz w:val="11"/>
                <w:szCs w:val="11"/>
                <w:color w:val="auto"/>
              </w:rPr>
              <w:t>(5)</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341,592</w:t>
            </w:r>
          </w:p>
        </w:tc>
        <w:tc>
          <w:tcPr>
            <w:tcW w:w="1540" w:type="dxa"/>
            <w:vAlign w:val="bottom"/>
          </w:tcPr>
          <w:p>
            <w:pPr>
              <w:ind w:left="1300"/>
              <w:spacing w:after="0"/>
              <w:rPr>
                <w:sz w:val="20"/>
                <w:szCs w:val="20"/>
                <w:color w:val="auto"/>
              </w:rPr>
            </w:pPr>
            <w:r>
              <w:rPr>
                <w:rFonts w:ascii="Arial" w:cs="Arial" w:eastAsia="Arial" w:hAnsi="Arial"/>
                <w:sz w:val="13"/>
                <w:szCs w:val="13"/>
                <w:color w:val="auto"/>
              </w:rPr>
              <w:t>—</w:t>
            </w:r>
          </w:p>
        </w:tc>
      </w:tr>
      <w:tr>
        <w:trPr>
          <w:trHeight w:val="141"/>
        </w:trPr>
        <w:tc>
          <w:tcPr>
            <w:tcW w:w="3190" w:type="dxa"/>
            <w:vAlign w:val="bottom"/>
          </w:tcPr>
          <w:p>
            <w:pPr>
              <w:spacing w:after="0"/>
              <w:rPr>
                <w:sz w:val="12"/>
                <w:szCs w:val="12"/>
                <w:color w:val="auto"/>
              </w:rPr>
            </w:pPr>
          </w:p>
        </w:tc>
        <w:tc>
          <w:tcPr>
            <w:tcW w:w="2510" w:type="dxa"/>
            <w:vAlign w:val="bottom"/>
          </w:tcPr>
          <w:p>
            <w:pPr>
              <w:ind w:left="110"/>
              <w:spacing w:after="0" w:line="141" w:lineRule="exact"/>
              <w:rPr>
                <w:sz w:val="20"/>
                <w:szCs w:val="20"/>
                <w:color w:val="auto"/>
              </w:rPr>
            </w:pPr>
            <w:r>
              <w:rPr>
                <w:rFonts w:ascii="Arial" w:cs="Arial" w:eastAsia="Arial" w:hAnsi="Arial"/>
                <w:sz w:val="13"/>
                <w:szCs w:val="13"/>
                <w:color w:val="auto"/>
              </w:rPr>
              <w:t>Viacom Excess Pension Plan</w:t>
            </w:r>
          </w:p>
        </w:tc>
        <w:tc>
          <w:tcPr>
            <w:tcW w:w="2180" w:type="dxa"/>
            <w:vAlign w:val="bottom"/>
          </w:tcPr>
          <w:p>
            <w:pPr>
              <w:jc w:val="right"/>
              <w:spacing w:after="0" w:line="141" w:lineRule="exact"/>
              <w:rPr>
                <w:sz w:val="20"/>
                <w:szCs w:val="20"/>
                <w:color w:val="auto"/>
              </w:rPr>
            </w:pPr>
            <w:r>
              <w:rPr>
                <w:rFonts w:ascii="Arial" w:cs="Arial" w:eastAsia="Arial" w:hAnsi="Arial"/>
                <w:sz w:val="13"/>
                <w:szCs w:val="13"/>
                <w:color w:val="auto"/>
              </w:rPr>
              <w:t>9 years, 5 months</w:t>
            </w:r>
          </w:p>
        </w:tc>
        <w:tc>
          <w:tcPr>
            <w:tcW w:w="540" w:type="dxa"/>
            <w:vAlign w:val="bottom"/>
          </w:tcPr>
          <w:p>
            <w:pPr>
              <w:jc w:val="right"/>
              <w:ind w:right="286"/>
              <w:spacing w:after="0"/>
              <w:rPr>
                <w:sz w:val="20"/>
                <w:szCs w:val="20"/>
                <w:color w:val="auto"/>
              </w:rPr>
            </w:pPr>
            <w:r>
              <w:rPr>
                <w:rFonts w:ascii="Arial" w:cs="Arial" w:eastAsia="Arial" w:hAnsi="Arial"/>
                <w:sz w:val="11"/>
                <w:szCs w:val="11"/>
                <w:color w:val="auto"/>
              </w:rPr>
              <w:t>(5)</w:t>
            </w: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579,250</w:t>
            </w:r>
          </w:p>
        </w:tc>
        <w:tc>
          <w:tcPr>
            <w:tcW w:w="1540" w:type="dxa"/>
            <w:vAlign w:val="bottom"/>
          </w:tcPr>
          <w:p>
            <w:pPr>
              <w:ind w:left="1300"/>
              <w:spacing w:after="0" w:line="141" w:lineRule="exact"/>
              <w:rPr>
                <w:sz w:val="20"/>
                <w:szCs w:val="20"/>
                <w:color w:val="auto"/>
              </w:rPr>
            </w:pPr>
            <w:r>
              <w:rPr>
                <w:rFonts w:ascii="Arial" w:cs="Arial" w:eastAsia="Arial" w:hAnsi="Arial"/>
                <w:sz w:val="13"/>
                <w:szCs w:val="13"/>
                <w:color w:val="auto"/>
              </w:rPr>
              <w:t>—</w:t>
            </w:r>
          </w:p>
        </w:tc>
      </w:tr>
      <w:tr>
        <w:trPr>
          <w:trHeight w:val="142"/>
        </w:trPr>
        <w:tc>
          <w:tcPr>
            <w:tcW w:w="3190" w:type="dxa"/>
            <w:vAlign w:val="bottom"/>
            <w:tcBorders>
              <w:bottom w:val="single" w:sz="8" w:color="auto"/>
            </w:tcBorders>
          </w:tcPr>
          <w:p>
            <w:pPr>
              <w:spacing w:after="0"/>
              <w:rPr>
                <w:sz w:val="12"/>
                <w:szCs w:val="12"/>
                <w:color w:val="auto"/>
              </w:rPr>
            </w:pPr>
          </w:p>
        </w:tc>
        <w:tc>
          <w:tcPr>
            <w:tcW w:w="251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920,842</w:t>
            </w:r>
          </w:p>
        </w:tc>
        <w:tc>
          <w:tcPr>
            <w:tcW w:w="1540" w:type="dxa"/>
            <w:vAlign w:val="bottom"/>
            <w:tcBorders>
              <w:bottom w:val="single" w:sz="8" w:color="auto"/>
            </w:tcBorders>
          </w:tcPr>
          <w:p>
            <w:pPr>
              <w:spacing w:after="0"/>
              <w:rPr>
                <w:sz w:val="12"/>
                <w:szCs w:val="12"/>
                <w:color w:val="auto"/>
              </w:rPr>
            </w:pPr>
          </w:p>
        </w:tc>
      </w:tr>
      <w:tr>
        <w:trPr>
          <w:trHeight w:val="142"/>
        </w:trPr>
        <w:tc>
          <w:tcPr>
            <w:tcW w:w="3190" w:type="dxa"/>
            <w:vAlign w:val="bottom"/>
            <w:shd w:val="clear" w:color="auto" w:fill="D9D9D9"/>
          </w:tcPr>
          <w:p>
            <w:pPr>
              <w:spacing w:after="0" w:line="143" w:lineRule="exact"/>
              <w:rPr>
                <w:sz w:val="20"/>
                <w:szCs w:val="20"/>
                <w:color w:val="auto"/>
              </w:rPr>
            </w:pPr>
            <w:r>
              <w:rPr>
                <w:rFonts w:ascii="Arial" w:cs="Arial" w:eastAsia="Arial" w:hAnsi="Arial"/>
                <w:sz w:val="13"/>
                <w:szCs w:val="13"/>
                <w:color w:val="auto"/>
              </w:rPr>
              <w:t>Scott M. Mills</w:t>
            </w:r>
          </w:p>
        </w:tc>
        <w:tc>
          <w:tcPr>
            <w:tcW w:w="2510" w:type="dxa"/>
            <w:vAlign w:val="bottom"/>
            <w:shd w:val="clear" w:color="auto" w:fill="D9D9D9"/>
          </w:tcPr>
          <w:p>
            <w:pPr>
              <w:ind w:left="110"/>
              <w:spacing w:after="0" w:line="143" w:lineRule="exact"/>
              <w:rPr>
                <w:sz w:val="20"/>
                <w:szCs w:val="20"/>
                <w:color w:val="auto"/>
              </w:rPr>
            </w:pPr>
            <w:r>
              <w:rPr>
                <w:rFonts w:ascii="Arial" w:cs="Arial" w:eastAsia="Arial" w:hAnsi="Arial"/>
                <w:sz w:val="13"/>
                <w:szCs w:val="13"/>
                <w:color w:val="auto"/>
              </w:rPr>
              <w:t>Viacom Pension Plan</w:t>
            </w:r>
          </w:p>
        </w:tc>
        <w:tc>
          <w:tcPr>
            <w:tcW w:w="218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3 years, 0 months</w:t>
            </w:r>
          </w:p>
        </w:tc>
        <w:tc>
          <w:tcPr>
            <w:tcW w:w="540" w:type="dxa"/>
            <w:vAlign w:val="bottom"/>
            <w:shd w:val="clear" w:color="auto" w:fill="D9D9D9"/>
          </w:tcPr>
          <w:p>
            <w:pPr>
              <w:jc w:val="right"/>
              <w:ind w:right="286"/>
              <w:spacing w:after="0"/>
              <w:rPr>
                <w:sz w:val="20"/>
                <w:szCs w:val="20"/>
                <w:color w:val="auto"/>
              </w:rPr>
            </w:pPr>
            <w:r>
              <w:rPr>
                <w:rFonts w:ascii="Arial" w:cs="Arial" w:eastAsia="Arial" w:hAnsi="Arial"/>
                <w:sz w:val="11"/>
                <w:szCs w:val="11"/>
                <w:color w:val="auto"/>
              </w:rPr>
              <w:t>(6)</w:t>
            </w:r>
          </w:p>
        </w:tc>
        <w:tc>
          <w:tcPr>
            <w:tcW w:w="180" w:type="dxa"/>
            <w:vAlign w:val="bottom"/>
            <w:shd w:val="clear" w:color="auto" w:fill="D9D9D9"/>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1280" w:type="dxa"/>
            <w:vAlign w:val="bottom"/>
            <w:shd w:val="clear" w:color="auto" w:fill="D9D9D9"/>
          </w:tcPr>
          <w:p>
            <w:pPr>
              <w:jc w:val="right"/>
              <w:ind w:right="57"/>
              <w:spacing w:after="0" w:line="143" w:lineRule="exact"/>
              <w:rPr>
                <w:sz w:val="20"/>
                <w:szCs w:val="20"/>
                <w:color w:val="auto"/>
              </w:rPr>
            </w:pPr>
            <w:r>
              <w:rPr>
                <w:rFonts w:ascii="Arial" w:cs="Arial" w:eastAsia="Arial" w:hAnsi="Arial"/>
                <w:sz w:val="13"/>
                <w:szCs w:val="13"/>
                <w:color w:val="auto"/>
              </w:rPr>
              <w:t>40,093</w:t>
            </w:r>
          </w:p>
        </w:tc>
        <w:tc>
          <w:tcPr>
            <w:tcW w:w="1540" w:type="dxa"/>
            <w:vAlign w:val="bottom"/>
            <w:shd w:val="clear" w:color="auto" w:fill="D9D9D9"/>
          </w:tcPr>
          <w:p>
            <w:pPr>
              <w:ind w:left="1300"/>
              <w:spacing w:after="0" w:line="143" w:lineRule="exact"/>
              <w:rPr>
                <w:sz w:val="20"/>
                <w:szCs w:val="20"/>
                <w:color w:val="auto"/>
              </w:rPr>
            </w:pPr>
            <w:r>
              <w:rPr>
                <w:rFonts w:ascii="Arial" w:cs="Arial" w:eastAsia="Arial" w:hAnsi="Arial"/>
                <w:sz w:val="13"/>
                <w:szCs w:val="13"/>
                <w:color w:val="auto"/>
              </w:rPr>
              <w:t>—</w:t>
            </w:r>
          </w:p>
        </w:tc>
      </w:tr>
      <w:tr>
        <w:trPr>
          <w:trHeight w:val="149"/>
        </w:trPr>
        <w:tc>
          <w:tcPr>
            <w:tcW w:w="3190" w:type="dxa"/>
            <w:vAlign w:val="bottom"/>
            <w:tcBorders>
              <w:bottom w:val="single" w:sz="8" w:color="D9D9D9"/>
            </w:tcBorders>
            <w:shd w:val="clear" w:color="auto" w:fill="D9D9D9"/>
          </w:tcPr>
          <w:p>
            <w:pPr>
              <w:spacing w:after="0"/>
              <w:rPr>
                <w:sz w:val="12"/>
                <w:szCs w:val="12"/>
                <w:color w:val="auto"/>
              </w:rPr>
            </w:pPr>
          </w:p>
        </w:tc>
        <w:tc>
          <w:tcPr>
            <w:tcW w:w="2510" w:type="dxa"/>
            <w:vAlign w:val="bottom"/>
            <w:tcBorders>
              <w:bottom w:val="single" w:sz="8" w:color="D9D9D9"/>
            </w:tcBorders>
            <w:shd w:val="clear" w:color="auto" w:fill="D9D9D9"/>
          </w:tcPr>
          <w:p>
            <w:pPr>
              <w:ind w:left="110"/>
              <w:spacing w:after="0"/>
              <w:rPr>
                <w:sz w:val="20"/>
                <w:szCs w:val="20"/>
                <w:color w:val="auto"/>
              </w:rPr>
            </w:pPr>
            <w:r>
              <w:rPr>
                <w:rFonts w:ascii="Arial" w:cs="Arial" w:eastAsia="Arial" w:hAnsi="Arial"/>
                <w:sz w:val="13"/>
                <w:szCs w:val="13"/>
                <w:color w:val="auto"/>
              </w:rPr>
              <w:t>Viacom Excess Pension Plan</w:t>
            </w:r>
          </w:p>
        </w:tc>
        <w:tc>
          <w:tcPr>
            <w:tcW w:w="21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D9D9D9"/>
            </w:tcBorders>
            <w:shd w:val="clear" w:color="auto" w:fill="D9D9D9"/>
          </w:tcPr>
          <w:p>
            <w:pPr>
              <w:jc w:val="right"/>
              <w:ind w:right="286"/>
              <w:spacing w:after="0"/>
              <w:rPr>
                <w:sz w:val="20"/>
                <w:szCs w:val="20"/>
                <w:color w:val="auto"/>
              </w:rPr>
            </w:pPr>
            <w:r>
              <w:rPr>
                <w:rFonts w:ascii="Arial" w:cs="Arial" w:eastAsia="Arial" w:hAnsi="Arial"/>
                <w:sz w:val="11"/>
                <w:szCs w:val="11"/>
                <w:color w:val="auto"/>
              </w:rPr>
              <w:t>(6)</w:t>
            </w:r>
          </w:p>
        </w:tc>
        <w:tc>
          <w:tcPr>
            <w:tcW w:w="180" w:type="dxa"/>
            <w:vAlign w:val="bottom"/>
            <w:tcBorders>
              <w:bottom w:val="single" w:sz="8" w:color="auto"/>
            </w:tcBorders>
            <w:shd w:val="clear" w:color="auto" w:fill="D9D9D9"/>
          </w:tcPr>
          <w:p>
            <w:pPr>
              <w:spacing w:after="0"/>
              <w:rPr>
                <w:sz w:val="12"/>
                <w:szCs w:val="12"/>
                <w:color w:val="auto"/>
              </w:rPr>
            </w:pPr>
          </w:p>
        </w:tc>
        <w:tc>
          <w:tcPr>
            <w:tcW w:w="1280" w:type="dxa"/>
            <w:vAlign w:val="bottom"/>
            <w:tcBorders>
              <w:bottom w:val="single" w:sz="8" w:color="auto"/>
            </w:tcBorders>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D9D9D9"/>
            </w:tcBorders>
            <w:shd w:val="clear" w:color="auto" w:fill="D9D9D9"/>
          </w:tcPr>
          <w:p>
            <w:pPr>
              <w:ind w:left="1300"/>
              <w:spacing w:after="0"/>
              <w:rPr>
                <w:sz w:val="20"/>
                <w:szCs w:val="20"/>
                <w:color w:val="auto"/>
              </w:rPr>
            </w:pPr>
            <w:r>
              <w:rPr>
                <w:rFonts w:ascii="Arial" w:cs="Arial" w:eastAsia="Arial" w:hAnsi="Arial"/>
                <w:sz w:val="13"/>
                <w:szCs w:val="13"/>
                <w:color w:val="auto"/>
              </w:rPr>
              <w:t>—</w:t>
            </w:r>
          </w:p>
        </w:tc>
      </w:tr>
      <w:tr>
        <w:trPr>
          <w:trHeight w:val="142"/>
        </w:trPr>
        <w:tc>
          <w:tcPr>
            <w:tcW w:w="3190" w:type="dxa"/>
            <w:vAlign w:val="bottom"/>
            <w:tcBorders>
              <w:bottom w:val="single" w:sz="8" w:color="auto"/>
            </w:tcBorders>
            <w:shd w:val="clear" w:color="auto" w:fill="D9D9D9"/>
          </w:tcPr>
          <w:p>
            <w:pPr>
              <w:spacing w:after="0"/>
              <w:rPr>
                <w:sz w:val="12"/>
                <w:szCs w:val="12"/>
                <w:color w:val="auto"/>
              </w:rPr>
            </w:pPr>
          </w:p>
        </w:tc>
        <w:tc>
          <w:tcPr>
            <w:tcW w:w="2510" w:type="dxa"/>
            <w:vAlign w:val="bottom"/>
            <w:tcBorders>
              <w:bottom w:val="single" w:sz="8" w:color="auto"/>
            </w:tcBorders>
            <w:shd w:val="clear" w:color="auto" w:fill="D9D9D9"/>
          </w:tcPr>
          <w:p>
            <w:pPr>
              <w:spacing w:after="0"/>
              <w:rPr>
                <w:sz w:val="12"/>
                <w:szCs w:val="12"/>
                <w:color w:val="auto"/>
              </w:rPr>
            </w:pPr>
          </w:p>
        </w:tc>
        <w:tc>
          <w:tcPr>
            <w:tcW w:w="2180" w:type="dxa"/>
            <w:vAlign w:val="bottom"/>
            <w:tcBorders>
              <w:bottom w:val="single" w:sz="8" w:color="auto"/>
            </w:tcBorders>
            <w:shd w:val="clear" w:color="auto" w:fill="D9D9D9"/>
          </w:tcPr>
          <w:p>
            <w:pPr>
              <w:spacing w:after="0"/>
              <w:rPr>
                <w:sz w:val="12"/>
                <w:szCs w:val="12"/>
                <w:color w:val="auto"/>
              </w:rPr>
            </w:pPr>
          </w:p>
        </w:tc>
        <w:tc>
          <w:tcPr>
            <w:tcW w:w="540" w:type="dxa"/>
            <w:vAlign w:val="bottom"/>
            <w:tcBorders>
              <w:bottom w:val="single" w:sz="8" w:color="auto"/>
            </w:tcBorders>
            <w:shd w:val="clear" w:color="auto" w:fill="D9D9D9"/>
          </w:tcPr>
          <w:p>
            <w:pPr>
              <w:spacing w:after="0"/>
              <w:rPr>
                <w:sz w:val="12"/>
                <w:szCs w:val="12"/>
                <w:color w:val="auto"/>
              </w:rPr>
            </w:pPr>
          </w:p>
        </w:tc>
        <w:tc>
          <w:tcPr>
            <w:tcW w:w="180" w:type="dxa"/>
            <w:vAlign w:val="bottom"/>
            <w:tcBorders>
              <w:bottom w:val="single" w:sz="8" w:color="auto"/>
            </w:tcBorders>
            <w:shd w:val="clear" w:color="auto" w:fill="D9D9D9"/>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D9D9D9"/>
          </w:tcPr>
          <w:p>
            <w:pPr>
              <w:jc w:val="right"/>
              <w:ind w:right="57"/>
              <w:spacing w:after="0" w:line="143" w:lineRule="exact"/>
              <w:rPr>
                <w:sz w:val="20"/>
                <w:szCs w:val="20"/>
                <w:color w:val="auto"/>
              </w:rPr>
            </w:pPr>
            <w:r>
              <w:rPr>
                <w:rFonts w:ascii="Arial" w:cs="Arial" w:eastAsia="Arial" w:hAnsi="Arial"/>
                <w:sz w:val="13"/>
                <w:szCs w:val="13"/>
                <w:color w:val="auto"/>
              </w:rPr>
              <w:t>40,093</w:t>
            </w:r>
          </w:p>
        </w:tc>
        <w:tc>
          <w:tcPr>
            <w:tcW w:w="1540" w:type="dxa"/>
            <w:vAlign w:val="bottom"/>
            <w:tcBorders>
              <w:bottom w:val="single" w:sz="8" w:color="auto"/>
            </w:tcBorders>
            <w:shd w:val="clear" w:color="auto" w:fill="D9D9D9"/>
          </w:tcPr>
          <w:p>
            <w:pPr>
              <w:spacing w:after="0"/>
              <w:rPr>
                <w:sz w:val="12"/>
                <w:szCs w:val="12"/>
                <w:color w:val="auto"/>
              </w:rPr>
            </w:pPr>
          </w:p>
        </w:tc>
      </w:tr>
    </w:tbl>
    <w:p>
      <w:pPr>
        <w:spacing w:after="0" w:line="107" w:lineRule="exact"/>
        <w:rPr>
          <w:sz w:val="20"/>
          <w:szCs w:val="20"/>
          <w:color w:val="auto"/>
        </w:rPr>
      </w:pPr>
    </w:p>
    <w:p>
      <w:pPr>
        <w:jc w:val="both"/>
        <w:ind w:left="440" w:right="20" w:hanging="432"/>
        <w:spacing w:after="0" w:line="223" w:lineRule="auto"/>
        <w:tabs>
          <w:tab w:leader="none" w:pos="440" w:val="left"/>
        </w:tabs>
        <w:numPr>
          <w:ilvl w:val="0"/>
          <w:numId w:val="81"/>
        </w:numPr>
        <w:rPr>
          <w:rFonts w:ascii="Arial" w:cs="Arial" w:eastAsia="Arial" w:hAnsi="Arial"/>
          <w:sz w:val="11"/>
          <w:szCs w:val="11"/>
          <w:i w:val="1"/>
          <w:iCs w:val="1"/>
          <w:color w:val="auto"/>
        </w:rPr>
      </w:pPr>
      <w:r>
        <w:rPr>
          <w:rFonts w:ascii="Arial" w:cs="Arial" w:eastAsia="Arial" w:hAnsi="Arial"/>
          <w:sz w:val="14"/>
          <w:szCs w:val="14"/>
          <w:i w:val="1"/>
          <w:iCs w:val="1"/>
          <w:color w:val="auto"/>
        </w:rPr>
        <w:t>Present Value of Accumulated Benefit as of September 30, 2018 is determined assuming commencement of benefits at age 65 (or immediate commencement if over 65) with an interest adjustment during the deferral period from September 30, 2018 until age 65, but no pre-retirement mortality assumption. The present value for the Viacom Pension Plan reflects a discount rate of 4.39%, and the Viacom Excess Pension Plan reflects a discount rate of 4.36%. The mortality table used is the RP-2014 Mortality Table regressed to base year 2006, projected generationally from 2006 with Modified Scale MP-2017. The 0.75% ultimate level is reduced after age 85 to 0.60% at age 95, then to 0 by age 115. The Viacom Pension Plan payment form assumptions are that 70% of retirement eligible participants elect lump sums and 30% elect life annuities and that 75% of vested eligible participants elect lump sums and 25% elect life annuities. The Viacom Excess Pension Plan assumes the grandfathered benefit under Section 409A of the Code is payable in the same form of payment as the benefit under the Viacom Pension Plan. The benefit accumulated after the implementation of Section 409A of the Code assumes 100% of participants elect life annuities. The lump sum rate assumption is based on the Buck Above Median Yield Curve as of September 30, 2018 and the IRS Section 417(e) prescribed mortality for 2019 under the Pension Protection Act.</w:t>
      </w:r>
    </w:p>
    <w:p>
      <w:pPr>
        <w:spacing w:after="0" w:line="4" w:lineRule="exact"/>
        <w:rPr>
          <w:rFonts w:ascii="Arial" w:cs="Arial" w:eastAsia="Arial" w:hAnsi="Arial"/>
          <w:sz w:val="11"/>
          <w:szCs w:val="11"/>
          <w:i w:val="1"/>
          <w:iCs w:val="1"/>
          <w:color w:val="auto"/>
        </w:rPr>
      </w:pPr>
    </w:p>
    <w:p>
      <w:pPr>
        <w:ind w:left="440" w:hanging="432"/>
        <w:spacing w:after="0" w:line="221" w:lineRule="auto"/>
        <w:tabs>
          <w:tab w:leader="none" w:pos="440" w:val="left"/>
        </w:tabs>
        <w:numPr>
          <w:ilvl w:val="0"/>
          <w:numId w:val="81"/>
        </w:numPr>
        <w:rPr>
          <w:rFonts w:ascii="Arial" w:cs="Arial" w:eastAsia="Arial" w:hAnsi="Arial"/>
          <w:sz w:val="11"/>
          <w:szCs w:val="11"/>
          <w:i w:val="1"/>
          <w:iCs w:val="1"/>
          <w:color w:val="auto"/>
        </w:rPr>
      </w:pPr>
      <w:r>
        <w:rPr>
          <w:rFonts w:ascii="Arial" w:cs="Arial" w:eastAsia="Arial" w:hAnsi="Arial"/>
          <w:sz w:val="14"/>
          <w:szCs w:val="14"/>
          <w:i w:val="1"/>
          <w:iCs w:val="1"/>
          <w:color w:val="auto"/>
        </w:rPr>
        <w:t>Mr. Bakish commenced participation in the Viacom Pension Plan and the Viacom Excess Pension Plan on February 1, 1998.</w:t>
      </w:r>
    </w:p>
    <w:p>
      <w:pPr>
        <w:ind w:left="440" w:hanging="432"/>
        <w:spacing w:after="0" w:line="221" w:lineRule="auto"/>
        <w:tabs>
          <w:tab w:leader="none" w:pos="440" w:val="left"/>
        </w:tabs>
        <w:numPr>
          <w:ilvl w:val="0"/>
          <w:numId w:val="81"/>
        </w:numPr>
        <w:rPr>
          <w:rFonts w:ascii="Arial" w:cs="Arial" w:eastAsia="Arial" w:hAnsi="Arial"/>
          <w:sz w:val="11"/>
          <w:szCs w:val="11"/>
          <w:i w:val="1"/>
          <w:iCs w:val="1"/>
          <w:color w:val="auto"/>
        </w:rPr>
      </w:pPr>
      <w:r>
        <w:rPr>
          <w:rFonts w:ascii="Arial" w:cs="Arial" w:eastAsia="Arial" w:hAnsi="Arial"/>
          <w:sz w:val="14"/>
          <w:szCs w:val="14"/>
          <w:i w:val="1"/>
          <w:iCs w:val="1"/>
          <w:color w:val="auto"/>
        </w:rPr>
        <w:t>Mr. Davis commenced participation in the Viacom Pension Plan and the Viacom Excess Pension Plan on November 1, 2006.</w:t>
      </w:r>
    </w:p>
    <w:p>
      <w:pPr>
        <w:ind w:left="440" w:right="40" w:hanging="432"/>
        <w:spacing w:after="0" w:line="221" w:lineRule="auto"/>
        <w:tabs>
          <w:tab w:leader="none" w:pos="440" w:val="left"/>
        </w:tabs>
        <w:numPr>
          <w:ilvl w:val="0"/>
          <w:numId w:val="81"/>
        </w:numPr>
        <w:rPr>
          <w:rFonts w:ascii="Arial" w:cs="Arial" w:eastAsia="Arial" w:hAnsi="Arial"/>
          <w:sz w:val="11"/>
          <w:szCs w:val="11"/>
          <w:i w:val="1"/>
          <w:iCs w:val="1"/>
          <w:color w:val="auto"/>
        </w:rPr>
      </w:pPr>
      <w:r>
        <w:rPr>
          <w:rFonts w:ascii="Arial" w:cs="Arial" w:eastAsia="Arial" w:hAnsi="Arial"/>
          <w:sz w:val="14"/>
          <w:szCs w:val="14"/>
          <w:i w:val="1"/>
          <w:iCs w:val="1"/>
          <w:color w:val="auto"/>
        </w:rPr>
        <w:t>Ms. D’Alimonte did not become eligible to participate in the Viacom Pension Plan or the Viacom Excess Pension Plan before the plans were closed and frozen and, therefore, she does not have a pension benefit.</w:t>
      </w:r>
    </w:p>
    <w:p>
      <w:pPr>
        <w:ind w:left="440" w:hanging="432"/>
        <w:spacing w:after="0" w:line="221" w:lineRule="auto"/>
        <w:tabs>
          <w:tab w:leader="none" w:pos="440" w:val="left"/>
        </w:tabs>
        <w:numPr>
          <w:ilvl w:val="0"/>
          <w:numId w:val="81"/>
        </w:numPr>
        <w:rPr>
          <w:rFonts w:ascii="Arial" w:cs="Arial" w:eastAsia="Arial" w:hAnsi="Arial"/>
          <w:sz w:val="11"/>
          <w:szCs w:val="11"/>
          <w:i w:val="1"/>
          <w:iCs w:val="1"/>
          <w:color w:val="auto"/>
        </w:rPr>
      </w:pPr>
      <w:r>
        <w:rPr>
          <w:rFonts w:ascii="Arial" w:cs="Arial" w:eastAsia="Arial" w:hAnsi="Arial"/>
          <w:sz w:val="14"/>
          <w:szCs w:val="14"/>
          <w:i w:val="1"/>
          <w:iCs w:val="1"/>
          <w:color w:val="auto"/>
        </w:rPr>
        <w:t>Ms. Lea commenced participation in the Viacom Pension Plan and the Viacom Excess Pension Plan on November 1, 1998.</w:t>
      </w:r>
    </w:p>
    <w:p>
      <w:pPr>
        <w:ind w:left="440" w:hanging="432"/>
        <w:spacing w:after="0"/>
        <w:tabs>
          <w:tab w:leader="none" w:pos="440" w:val="left"/>
        </w:tabs>
        <w:numPr>
          <w:ilvl w:val="0"/>
          <w:numId w:val="81"/>
        </w:numPr>
        <w:rPr>
          <w:rFonts w:ascii="Arial" w:cs="Arial" w:eastAsia="Arial" w:hAnsi="Arial"/>
          <w:sz w:val="11"/>
          <w:szCs w:val="11"/>
          <w:i w:val="1"/>
          <w:iCs w:val="1"/>
          <w:color w:val="auto"/>
        </w:rPr>
      </w:pPr>
      <w:r>
        <w:rPr>
          <w:rFonts w:ascii="Arial" w:cs="Arial" w:eastAsia="Arial" w:hAnsi="Arial"/>
          <w:sz w:val="14"/>
          <w:szCs w:val="14"/>
          <w:i w:val="1"/>
          <w:iCs w:val="1"/>
          <w:color w:val="auto"/>
        </w:rPr>
        <w:t>Mr. Mills commenced participation in the Viacom Pension Plan on January 1, 2010.</w:t>
      </w:r>
    </w:p>
    <w:p>
      <w:pPr>
        <w:sectPr>
          <w:pgSz w:w="11900" w:h="16838" w:orient="portrait"/>
          <w:cols w:equalWidth="0" w:num="1">
            <w:col w:w="11440"/>
          </w:cols>
          <w:pgMar w:left="240" w:top="125" w:right="219" w:bottom="1440" w:gutter="0" w:footer="0" w:header="0"/>
        </w:sect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The Viacom Pension Plan</w:t>
      </w:r>
    </w:p>
    <w:p>
      <w:pPr>
        <w:spacing w:after="0" w:line="27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Viacom Pension Plan was frozen as of December 31, 2012. It had been established for all eligible Viacom employees who satisfied age and service requirements, including certain of the NEOs.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Pension Plan offers optional forms of annuity payments that a participant may elect upon retirement. The single life annuity is the normal form of payment for a single participant and the 50% joint and survivor annuity is the normal form of payment for a married participant. A reduction is applied to the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Benefit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 participant’s total benefit is equal to the sum of the following: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Benefits Accumulated On or Before December 31, 2009</w:t>
      </w:r>
    </w:p>
    <w:p>
      <w:pPr>
        <w:spacing w:after="0" w:line="26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As of December 31, 2009, all benefits determined under the existing benefit formula were frozen. On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single life annuity benefit if an optional form is elected. The 50% joint and survivor annuity and all optional forms of payment under the Pension Plan are the actuarial equivalent of the single life annuity benefit. The Pension Plan also offers a lump-sum distribution option and allows payment of benefits at any time following termination of employment regardless of age, with reduced benefits to reflect the participant’s age if under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before December 31, 2009, an eligible employee’s retirement benefit was calculated based upon the</w:t>
      </w:r>
    </w:p>
    <w:p>
      <w:pPr>
        <w:spacing w:after="0" w:line="7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57</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7"/>
          <w:szCs w:val="17"/>
          <w:color w:val="auto"/>
        </w:rPr>
        <w:t>employee’s years of benefit service (up to a maximum of 30 years), final average compensation and covered compensation amount, and using the plan formula in place, as of December 31, 2009. Final average compensation is eligible salary, commissions, overtime and eligible bonus for the highest 60 consecutive months out of the final 120 months of employment on the earlier of termination of employment or December 31, 2009. Covered compensation is the average of the Social Security Wage Bases during the 35-year period that ends with the year the employee reaches the Social Security Retirement age or December 31, 2009, if earlier. The pension plan formula as of December 31, 2009, which provides a monthly benefit payable in the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of a single life annuity at a normal retirement age of 65, was as follows:</w:t>
      </w:r>
    </w:p>
    <w:p>
      <w:pPr>
        <w:spacing w:after="0" w:line="75"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color w:val="auto"/>
        </w:rPr>
        <w:t>1.25% times final average compensation up to the covered compensation amount times benefit service (up to 30 years)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plus</w:t>
      </w:r>
    </w:p>
    <w:p>
      <w:pPr>
        <w:spacing w:after="0" w:line="80"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1.75% times final average compensation above the covered compensation amount times benefit service (up to 30 years).</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purposes of this benefit formula, under the Viacom Pension Plan certain participants receive credit for years of service under the Former Viacom pension plan.</w:t>
      </w:r>
    </w:p>
    <w:p>
      <w:pPr>
        <w:spacing w:after="0" w:line="323" w:lineRule="exact"/>
        <w:rPr>
          <w:sz w:val="20"/>
          <w:szCs w:val="20"/>
          <w:color w:val="auto"/>
        </w:rPr>
      </w:pPr>
    </w:p>
    <w:p>
      <w:pPr>
        <w:sectPr>
          <w:pgSz w:w="11900" w:h="16838" w:orient="portrait"/>
          <w:cols w:equalWidth="0" w:num="2">
            <w:col w:w="5480" w:space="460"/>
            <w:col w:w="5480"/>
          </w:cols>
          <w:pgMar w:left="240" w:top="125" w:right="23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Benefits Accumulated January 1, 2010 Through December 31, 2012</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For the period January 1, 2010 through December 31, 2012, pension benefits accumulated under a benefit formula that provided a single-sum benefit payable at the normal retirement age of 65, equal to 10% of the participant’s post-2009 accumulated compensation. Accumulated compensation is the total of the participant’s eligible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salary, eligible bonus, commissions and overtime from January 1, 2010 through December 31, 2012, adjusted annually during employment by a wage inflation factor. The wage inflation factor is based on the annual increase in the Social Security Wage Base, with an annual cap of 4%.</w:t>
      </w:r>
    </w:p>
    <w:p>
      <w:pPr>
        <w:spacing w:after="0" w:line="388"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Viacom Pension Plan Frozen on December 31, 2012</w:t>
      </w:r>
    </w:p>
    <w:p>
      <w:pPr>
        <w:spacing w:after="0" w:line="26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Pension Plan was frozen effective December 31, 2012. Participants as of December 31,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remained entitled to the benefits already earned and have not earned additional benefits since that date.</w:t>
      </w:r>
    </w:p>
    <w:p>
      <w:pPr>
        <w:spacing w:after="0" w:line="200"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The Viacom Excess Pension Plan</w:t>
      </w:r>
    </w:p>
    <w:p>
      <w:pPr>
        <w:spacing w:after="0" w:line="24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established the Viacom Excess Pension Plan to provide benefits to participants in the Pension Plan whose annual base salary exceeds the IRS’s annual compensation limit. Effective April 1, 2009, we discontinued further accruals under the Excess Pension Plan.</w:t>
      </w:r>
    </w:p>
    <w:p>
      <w:pPr>
        <w:spacing w:after="0" w:line="5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Benefits under the Excess Pension Plan are calculated using the Pension Plan formula and eligible compensation in excess of the annual compensation limit. The overall accrued benefit for each participant was calculated as of March 31, 2009, the date we ceased accruals under the plan. The maximum amount of total compensation earned on or before March 31, 2009 that was taken into account under the Pension Plan and the Excess Pension Plan was generally limited to $750,000.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58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Participants will receive the portion of their pension benefits accrued and vested under the Excess Pension Plan prior to January 1, 2005 coincident with and in the same form as their benefit from the Pension Plan. Payment of the portion of their benefit accrued and vested after December 31, 2004 will begin generally as of the later of the first day of the month coincident with or next following six months after termination of employment or the first day of the month coincident with or next following their attainment of age 55 and will be paid in the form of an annuity.</w:t>
      </w:r>
    </w:p>
    <w:p>
      <w:pPr>
        <w:spacing w:after="0" w:line="5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We generally do not grant employees extra years of benefit service under the Pension Plan or the Excess Pension Plan for purposes of calculating a pension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471170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Fiscal Year 2018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6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addition to our tax-qualified 401(k) Plan, we maintain certain nonqualified deferred compensation plans. The Viacom Excess 401(k) Plans and the Viacom Bonus Deferral Plans are available to certain employees whose income exceeds certain statutory limits for the 401(k) Plan.</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fiscal year 2018, Messrs. Bakish, Davis and Mills and Mses. D’Alimonte and Lea contributed to the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Excess 401(k) Plan, and Mr. Mills deferred bonus amounts under the Bonus Deferral Plan. Mr. Bakish and Ms. Lea previously deferred bonus amounts under the Bonus Deferral Plan. The table below presents, on an aggregate basis, contributions to these plans in fiscal year 2018, earnings in fiscal year 2018, and the balances in the plans as of September 30, 2018.</w:t>
      </w:r>
    </w:p>
    <w:p>
      <w:pPr>
        <w:spacing w:after="0" w:line="473"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269"/>
              <w:spacing w:after="0"/>
              <w:rPr>
                <w:sz w:val="20"/>
                <w:szCs w:val="20"/>
                <w:color w:val="auto"/>
              </w:rPr>
            </w:pPr>
            <w:r>
              <w:rPr>
                <w:rFonts w:ascii="Arial" w:cs="Arial" w:eastAsia="Arial" w:hAnsi="Arial"/>
                <w:sz w:val="14"/>
                <w:szCs w:val="14"/>
                <w:b w:val="1"/>
                <w:bCs w:val="1"/>
                <w:color w:val="auto"/>
              </w:rPr>
              <w:t>Executive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Company</w:t>
            </w:r>
          </w:p>
        </w:tc>
        <w:tc>
          <w:tcPr>
            <w:tcW w:w="80" w:type="dxa"/>
            <w:vAlign w:val="bottom"/>
          </w:tcPr>
          <w:p>
            <w:pPr>
              <w:spacing w:after="0"/>
              <w:rPr>
                <w:sz w:val="14"/>
                <w:szCs w:val="14"/>
                <w:color w:val="auto"/>
              </w:rPr>
            </w:pPr>
          </w:p>
        </w:tc>
        <w:tc>
          <w:tcPr>
            <w:tcW w:w="1160" w:type="dxa"/>
            <w:vAlign w:val="bottom"/>
          </w:tcPr>
          <w:p>
            <w:pPr>
              <w:jc w:val="center"/>
              <w:ind w:right="129"/>
              <w:spacing w:after="0"/>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Aggregate</w:t>
            </w:r>
          </w:p>
        </w:tc>
      </w:tr>
      <w:tr>
        <w:trPr>
          <w:trHeight w:val="159"/>
        </w:trPr>
        <w:tc>
          <w:tcPr>
            <w:tcW w:w="3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Contributions in</w:t>
            </w:r>
          </w:p>
        </w:tc>
        <w:tc>
          <w:tcPr>
            <w:tcW w:w="120" w:type="dxa"/>
            <w:vAlign w:val="bottom"/>
          </w:tcPr>
          <w:p>
            <w:pPr>
              <w:spacing w:after="0"/>
              <w:rPr>
                <w:sz w:val="13"/>
                <w:szCs w:val="13"/>
                <w:color w:val="auto"/>
              </w:rPr>
            </w:pPr>
          </w:p>
        </w:tc>
        <w:tc>
          <w:tcPr>
            <w:tcW w:w="136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Contributions in</w:t>
            </w:r>
          </w:p>
        </w:tc>
        <w:tc>
          <w:tcPr>
            <w:tcW w:w="80" w:type="dxa"/>
            <w:vAlign w:val="bottom"/>
          </w:tcPr>
          <w:p>
            <w:pPr>
              <w:spacing w:after="0"/>
              <w:rPr>
                <w:sz w:val="13"/>
                <w:szCs w:val="13"/>
                <w:color w:val="auto"/>
              </w:rPr>
            </w:pPr>
          </w:p>
        </w:tc>
        <w:tc>
          <w:tcPr>
            <w:tcW w:w="1160" w:type="dxa"/>
            <w:vAlign w:val="bottom"/>
          </w:tcPr>
          <w:p>
            <w:pPr>
              <w:jc w:val="center"/>
              <w:ind w:right="149"/>
              <w:spacing w:after="0" w:line="159" w:lineRule="exact"/>
              <w:rPr>
                <w:sz w:val="20"/>
                <w:szCs w:val="20"/>
                <w:color w:val="auto"/>
              </w:rPr>
            </w:pPr>
            <w:r>
              <w:rPr>
                <w:rFonts w:ascii="Arial" w:cs="Arial" w:eastAsia="Arial" w:hAnsi="Arial"/>
                <w:sz w:val="14"/>
                <w:szCs w:val="14"/>
                <w:b w:val="1"/>
                <w:bCs w:val="1"/>
                <w:color w:val="auto"/>
              </w:rPr>
              <w:t>Earnings in</w:t>
            </w:r>
          </w:p>
        </w:tc>
        <w:tc>
          <w:tcPr>
            <w:tcW w:w="220" w:type="dxa"/>
            <w:vAlign w:val="bottom"/>
          </w:tcPr>
          <w:p>
            <w:pPr>
              <w:spacing w:after="0"/>
              <w:rPr>
                <w:sz w:val="13"/>
                <w:szCs w:val="13"/>
                <w:color w:val="auto"/>
              </w:rPr>
            </w:pPr>
          </w:p>
        </w:tc>
        <w:tc>
          <w:tcPr>
            <w:tcW w:w="12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Withdrawals/</w:t>
            </w:r>
          </w:p>
        </w:tc>
        <w:tc>
          <w:tcPr>
            <w:tcW w:w="140" w:type="dxa"/>
            <w:vAlign w:val="bottom"/>
          </w:tcPr>
          <w:p>
            <w:pPr>
              <w:spacing w:after="0"/>
              <w:rPr>
                <w:sz w:val="13"/>
                <w:szCs w:val="13"/>
                <w:color w:val="auto"/>
              </w:rPr>
            </w:pPr>
          </w:p>
        </w:tc>
        <w:tc>
          <w:tcPr>
            <w:tcW w:w="110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Balance at</w:t>
            </w:r>
          </w:p>
        </w:tc>
      </w:tr>
      <w:tr>
        <w:trPr>
          <w:trHeight w:val="179"/>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Plan</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9"/>
              <w:spacing w:after="0" w:line="179" w:lineRule="exact"/>
              <w:rPr>
                <w:sz w:val="20"/>
                <w:szCs w:val="20"/>
                <w:color w:val="auto"/>
              </w:rPr>
            </w:pPr>
            <w:r>
              <w:rPr>
                <w:rFonts w:ascii="Arial" w:cs="Arial" w:eastAsia="Arial" w:hAnsi="Arial"/>
                <w:sz w:val="12"/>
                <w:szCs w:val="12"/>
                <w:b w:val="1"/>
                <w:bCs w:val="1"/>
                <w:color w:val="auto"/>
              </w:rPr>
              <w:t xml:space="preserve">FY 2018 ($) </w:t>
            </w:r>
            <w:r>
              <w:rPr>
                <w:rFonts w:ascii="Arial" w:cs="Arial" w:eastAsia="Arial" w:hAnsi="Arial"/>
                <w:sz w:val="20"/>
                <w:szCs w:val="20"/>
                <w:b w:val="1"/>
                <w:bCs w:val="1"/>
                <w:color w:val="auto"/>
                <w:vertAlign w:val="superscript"/>
              </w:rPr>
              <w:t>(1)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20"/>
              <w:spacing w:after="0" w:line="179" w:lineRule="exact"/>
              <w:rPr>
                <w:sz w:val="20"/>
                <w:szCs w:val="20"/>
                <w:color w:val="auto"/>
              </w:rPr>
            </w:pPr>
            <w:r>
              <w:rPr>
                <w:rFonts w:ascii="Arial" w:cs="Arial" w:eastAsia="Arial" w:hAnsi="Arial"/>
                <w:sz w:val="12"/>
                <w:szCs w:val="12"/>
                <w:b w:val="1"/>
                <w:bCs w:val="1"/>
                <w:color w:val="auto"/>
              </w:rPr>
              <w:t xml:space="preserve">FY 2018 ($) </w:t>
            </w:r>
            <w:r>
              <w:rPr>
                <w:rFonts w:ascii="Arial" w:cs="Arial" w:eastAsia="Arial" w:hAnsi="Arial"/>
                <w:sz w:val="20"/>
                <w:szCs w:val="20"/>
                <w:b w:val="1"/>
                <w:bCs w:val="1"/>
                <w:color w:val="auto"/>
                <w:vertAlign w:val="superscript"/>
              </w:rPr>
              <w:t>(2)</w:t>
            </w: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9"/>
              <w:spacing w:after="0" w:line="179" w:lineRule="exact"/>
              <w:rPr>
                <w:sz w:val="20"/>
                <w:szCs w:val="20"/>
                <w:color w:val="auto"/>
              </w:rPr>
            </w:pPr>
            <w:r>
              <w:rPr>
                <w:rFonts w:ascii="Arial" w:cs="Arial" w:eastAsia="Arial" w:hAnsi="Arial"/>
                <w:sz w:val="12"/>
                <w:szCs w:val="12"/>
                <w:b w:val="1"/>
                <w:bCs w:val="1"/>
                <w:color w:val="auto"/>
              </w:rPr>
              <w:t xml:space="preserve">FY 2018 ($) </w:t>
            </w:r>
            <w:r>
              <w:rPr>
                <w:rFonts w:ascii="Arial" w:cs="Arial" w:eastAsia="Arial" w:hAnsi="Arial"/>
                <w:sz w:val="20"/>
                <w:szCs w:val="20"/>
                <w:b w:val="1"/>
                <w:bCs w:val="1"/>
                <w:color w:val="auto"/>
                <w:vertAlign w:val="superscript"/>
              </w:rPr>
              <w:t>(3)</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Distributions ($)</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9/30/18 ($)</w:t>
            </w:r>
          </w:p>
        </w:tc>
      </w:tr>
      <w:tr>
        <w:trPr>
          <w:trHeight w:val="169"/>
        </w:trPr>
        <w:tc>
          <w:tcPr>
            <w:tcW w:w="3240" w:type="dxa"/>
            <w:vAlign w:val="bottom"/>
            <w:shd w:val="clear" w:color="auto" w:fill="DCDDDE"/>
          </w:tcPr>
          <w:p>
            <w:pPr>
              <w:spacing w:after="0"/>
              <w:rPr>
                <w:sz w:val="20"/>
                <w:szCs w:val="20"/>
                <w:color w:val="auto"/>
              </w:rPr>
            </w:pPr>
            <w:r>
              <w:rPr>
                <w:rFonts w:ascii="Arial" w:cs="Arial" w:eastAsia="Arial" w:hAnsi="Arial"/>
                <w:sz w:val="14"/>
                <w:szCs w:val="14"/>
                <w:color w:val="auto"/>
              </w:rPr>
              <w:t>Robert M. Bakish</w:t>
            </w:r>
          </w:p>
        </w:tc>
        <w:tc>
          <w:tcPr>
            <w:tcW w:w="1300" w:type="dxa"/>
            <w:vAlign w:val="bottom"/>
            <w:shd w:val="clear" w:color="auto" w:fill="DCDDDE"/>
          </w:tcPr>
          <w:p>
            <w:pPr>
              <w:ind w:left="140"/>
              <w:spacing w:after="0"/>
              <w:rPr>
                <w:sz w:val="20"/>
                <w:szCs w:val="20"/>
                <w:color w:val="auto"/>
              </w:rPr>
            </w:pPr>
            <w:r>
              <w:rPr>
                <w:rFonts w:ascii="Arial" w:cs="Arial" w:eastAsia="Arial" w:hAnsi="Arial"/>
                <w:sz w:val="14"/>
                <w:szCs w:val="14"/>
                <w:color w:val="auto"/>
              </w:rPr>
              <w:t>Excess 401(k)</w:t>
            </w:r>
          </w:p>
        </w:tc>
        <w:tc>
          <w:tcPr>
            <w:tcW w:w="280" w:type="dxa"/>
            <w:vAlign w:val="bottom"/>
            <w:gridSpan w:val="2"/>
            <w:shd w:val="clear" w:color="auto" w:fill="DCDDDE"/>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CDDDE"/>
          </w:tcPr>
          <w:p>
            <w:pPr>
              <w:jc w:val="right"/>
              <w:ind w:right="49"/>
              <w:spacing w:after="0"/>
              <w:rPr>
                <w:sz w:val="20"/>
                <w:szCs w:val="20"/>
                <w:color w:val="auto"/>
              </w:rPr>
            </w:pPr>
            <w:r>
              <w:rPr>
                <w:rFonts w:ascii="Arial" w:cs="Arial" w:eastAsia="Arial" w:hAnsi="Arial"/>
                <w:sz w:val="14"/>
                <w:szCs w:val="14"/>
                <w:color w:val="auto"/>
              </w:rPr>
              <w:t>431,500</w:t>
            </w:r>
          </w:p>
        </w:tc>
        <w:tc>
          <w:tcPr>
            <w:tcW w:w="200" w:type="dxa"/>
            <w:vAlign w:val="bottom"/>
            <w:gridSpan w:val="2"/>
            <w:shd w:val="clear" w:color="auto" w:fill="DCDDDE"/>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CDDDE"/>
          </w:tcPr>
          <w:p>
            <w:pPr>
              <w:jc w:val="right"/>
              <w:ind w:right="49"/>
              <w:spacing w:after="0"/>
              <w:rPr>
                <w:sz w:val="20"/>
                <w:szCs w:val="20"/>
                <w:color w:val="auto"/>
              </w:rPr>
            </w:pPr>
            <w:r>
              <w:rPr>
                <w:rFonts w:ascii="Arial" w:cs="Arial" w:eastAsia="Arial" w:hAnsi="Arial"/>
                <w:sz w:val="14"/>
                <w:szCs w:val="14"/>
                <w:color w:val="auto"/>
              </w:rPr>
              <w:t>13,183</w:t>
            </w:r>
          </w:p>
        </w:tc>
        <w:tc>
          <w:tcPr>
            <w:tcW w:w="120" w:type="dxa"/>
            <w:vAlign w:val="bottom"/>
            <w:shd w:val="clear" w:color="auto" w:fill="DCDDDE"/>
          </w:tcPr>
          <w:p>
            <w:pPr>
              <w:spacing w:after="0"/>
              <w:rPr>
                <w:sz w:val="14"/>
                <w:szCs w:val="14"/>
                <w:color w:val="auto"/>
              </w:rPr>
            </w:pPr>
          </w:p>
        </w:tc>
        <w:tc>
          <w:tcPr>
            <w:tcW w:w="80" w:type="dxa"/>
            <w:vAlign w:val="bottom"/>
            <w:shd w:val="clear" w:color="auto" w:fill="DCDDDE"/>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CDDDE"/>
          </w:tcPr>
          <w:p>
            <w:pPr>
              <w:jc w:val="right"/>
              <w:ind w:right="49"/>
              <w:spacing w:after="0"/>
              <w:rPr>
                <w:sz w:val="20"/>
                <w:szCs w:val="20"/>
                <w:color w:val="auto"/>
              </w:rPr>
            </w:pPr>
            <w:r>
              <w:rPr>
                <w:rFonts w:ascii="Arial" w:cs="Arial" w:eastAsia="Arial" w:hAnsi="Arial"/>
                <w:sz w:val="14"/>
                <w:szCs w:val="14"/>
                <w:color w:val="auto"/>
              </w:rPr>
              <w:t>1,147,058</w:t>
            </w:r>
          </w:p>
        </w:tc>
        <w:tc>
          <w:tcPr>
            <w:tcW w:w="220" w:type="dxa"/>
            <w:vAlign w:val="bottom"/>
            <w:shd w:val="clear" w:color="auto" w:fill="DCDDDE"/>
          </w:tcPr>
          <w:p>
            <w:pPr>
              <w:ind w:left="1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DCDDDE"/>
          </w:tcPr>
          <w:p>
            <w:pPr>
              <w:ind w:left="8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DDDE"/>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10,067,910</w:t>
            </w:r>
          </w:p>
        </w:tc>
      </w:tr>
      <w:tr>
        <w:trPr>
          <w:trHeight w:val="176"/>
        </w:trPr>
        <w:tc>
          <w:tcPr>
            <w:tcW w:w="3240" w:type="dxa"/>
            <w:vAlign w:val="bottom"/>
            <w:shd w:val="clear" w:color="auto" w:fill="DCDDDE"/>
          </w:tcPr>
          <w:p>
            <w:pPr>
              <w:spacing w:after="0"/>
              <w:rPr>
                <w:sz w:val="15"/>
                <w:szCs w:val="15"/>
                <w:color w:val="auto"/>
              </w:rPr>
            </w:pPr>
          </w:p>
        </w:tc>
        <w:tc>
          <w:tcPr>
            <w:tcW w:w="1300" w:type="dxa"/>
            <w:vAlign w:val="bottom"/>
            <w:shd w:val="clear" w:color="auto" w:fill="DCDDDE"/>
          </w:tcPr>
          <w:p>
            <w:pPr>
              <w:ind w:left="140"/>
              <w:spacing w:after="0"/>
              <w:rPr>
                <w:sz w:val="20"/>
                <w:szCs w:val="20"/>
                <w:color w:val="auto"/>
              </w:rPr>
            </w:pPr>
            <w:r>
              <w:rPr>
                <w:rFonts w:ascii="Arial" w:cs="Arial" w:eastAsia="Arial" w:hAnsi="Arial"/>
                <w:sz w:val="14"/>
                <w:szCs w:val="14"/>
                <w:color w:val="auto"/>
              </w:rPr>
              <w:t>Bonus Deferral</w:t>
            </w:r>
          </w:p>
        </w:tc>
        <w:tc>
          <w:tcPr>
            <w:tcW w:w="280" w:type="dxa"/>
            <w:vAlign w:val="bottom"/>
            <w:gridSpan w:val="2"/>
            <w:shd w:val="clear" w:color="auto" w:fill="DCDDDE"/>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CDDDE"/>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DCDDDE"/>
          </w:tcPr>
          <w:p>
            <w:pPr>
              <w:ind w:left="120"/>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DCDDDE"/>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DCDDDE"/>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CDDDE"/>
          </w:tcPr>
          <w:p>
            <w:pPr>
              <w:jc w:val="right"/>
              <w:ind w:right="49"/>
              <w:spacing w:after="0"/>
              <w:rPr>
                <w:sz w:val="20"/>
                <w:szCs w:val="20"/>
                <w:color w:val="auto"/>
              </w:rPr>
            </w:pPr>
            <w:r>
              <w:rPr>
                <w:rFonts w:ascii="Arial" w:cs="Arial" w:eastAsia="Arial" w:hAnsi="Arial"/>
                <w:sz w:val="14"/>
                <w:szCs w:val="14"/>
                <w:color w:val="auto"/>
              </w:rPr>
              <w:t>519,369</w:t>
            </w:r>
          </w:p>
        </w:tc>
        <w:tc>
          <w:tcPr>
            <w:tcW w:w="220" w:type="dxa"/>
            <w:vAlign w:val="bottom"/>
            <w:shd w:val="clear" w:color="auto" w:fill="DCDDDE"/>
          </w:tcPr>
          <w:p>
            <w:pPr>
              <w:ind w:left="1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DCDDDE"/>
          </w:tcPr>
          <w:p>
            <w:pPr>
              <w:ind w:left="8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CDDDE"/>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4,402,385</w:t>
            </w:r>
          </w:p>
        </w:tc>
      </w:tr>
      <w:tr>
        <w:trPr>
          <w:trHeight w:val="20"/>
        </w:trPr>
        <w:tc>
          <w:tcPr>
            <w:tcW w:w="3240" w:type="dxa"/>
            <w:vAlign w:val="bottom"/>
            <w:shd w:val="clear" w:color="auto" w:fill="DCDDDE"/>
          </w:tcPr>
          <w:p>
            <w:pPr>
              <w:spacing w:after="0" w:line="20" w:lineRule="exact"/>
              <w:rPr>
                <w:sz w:val="1"/>
                <w:szCs w:val="1"/>
                <w:color w:val="auto"/>
              </w:rPr>
            </w:pPr>
          </w:p>
        </w:tc>
        <w:tc>
          <w:tcPr>
            <w:tcW w:w="1300" w:type="dxa"/>
            <w:vAlign w:val="bottom"/>
            <w:shd w:val="clear" w:color="auto" w:fill="DCDDDE"/>
          </w:tcPr>
          <w:p>
            <w:pPr>
              <w:spacing w:after="0" w:line="20" w:lineRule="exact"/>
              <w:rPr>
                <w:sz w:val="1"/>
                <w:szCs w:val="1"/>
                <w:color w:val="auto"/>
              </w:rPr>
            </w:pPr>
          </w:p>
        </w:tc>
        <w:tc>
          <w:tcPr>
            <w:tcW w:w="200" w:type="dxa"/>
            <w:vAlign w:val="bottom"/>
            <w:shd w:val="clear" w:color="auto" w:fill="DCDDD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DCDDD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DCDDD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DCDDDE"/>
          </w:tcPr>
          <w:p>
            <w:pPr>
              <w:spacing w:after="0" w:line="20" w:lineRule="exact"/>
              <w:rPr>
                <w:sz w:val="1"/>
                <w:szCs w:val="1"/>
                <w:color w:val="auto"/>
              </w:rPr>
            </w:pPr>
          </w:p>
        </w:tc>
        <w:tc>
          <w:tcPr>
            <w:tcW w:w="1260" w:type="dxa"/>
            <w:vAlign w:val="bottom"/>
            <w:shd w:val="clear" w:color="auto" w:fill="DCDDD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169"/>
        </w:trPr>
        <w:tc>
          <w:tcPr>
            <w:tcW w:w="3240" w:type="dxa"/>
            <w:vAlign w:val="bottom"/>
            <w:tcBorders>
              <w:bottom w:val="single" w:sz="8" w:color="auto"/>
            </w:tcBorders>
            <w:shd w:val="clear" w:color="auto" w:fill="DCDDDE"/>
          </w:tcPr>
          <w:p>
            <w:pPr>
              <w:spacing w:after="0"/>
              <w:rPr>
                <w:sz w:val="14"/>
                <w:szCs w:val="14"/>
                <w:color w:val="auto"/>
              </w:rPr>
            </w:pPr>
          </w:p>
        </w:tc>
        <w:tc>
          <w:tcPr>
            <w:tcW w:w="1300" w:type="dxa"/>
            <w:vAlign w:val="bottom"/>
            <w:tcBorders>
              <w:bottom w:val="single" w:sz="8" w:color="auto"/>
            </w:tcBorders>
            <w:shd w:val="clear" w:color="auto" w:fill="DCDDDE"/>
          </w:tcPr>
          <w:p>
            <w:pPr>
              <w:spacing w:after="0"/>
              <w:rPr>
                <w:sz w:val="14"/>
                <w:szCs w:val="14"/>
                <w:color w:val="auto"/>
              </w:rPr>
            </w:pPr>
          </w:p>
        </w:tc>
        <w:tc>
          <w:tcPr>
            <w:tcW w:w="280" w:type="dxa"/>
            <w:vAlign w:val="bottom"/>
            <w:tcBorders>
              <w:bottom w:val="single" w:sz="8" w:color="auto"/>
            </w:tcBorders>
            <w:gridSpan w:val="2"/>
            <w:shd w:val="clear" w:color="auto" w:fill="DCDDDE"/>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CDDDE"/>
          </w:tcPr>
          <w:p>
            <w:pPr>
              <w:jc w:val="right"/>
              <w:ind w:right="49"/>
              <w:spacing w:after="0"/>
              <w:rPr>
                <w:sz w:val="20"/>
                <w:szCs w:val="20"/>
                <w:color w:val="auto"/>
              </w:rPr>
            </w:pPr>
            <w:r>
              <w:rPr>
                <w:rFonts w:ascii="Arial" w:cs="Arial" w:eastAsia="Arial" w:hAnsi="Arial"/>
                <w:sz w:val="14"/>
                <w:szCs w:val="14"/>
                <w:color w:val="auto"/>
              </w:rPr>
              <w:t>431,500</w:t>
            </w:r>
          </w:p>
        </w:tc>
        <w:tc>
          <w:tcPr>
            <w:tcW w:w="200" w:type="dxa"/>
            <w:vAlign w:val="bottom"/>
            <w:tcBorders>
              <w:bottom w:val="single" w:sz="8" w:color="auto"/>
            </w:tcBorders>
            <w:gridSpan w:val="2"/>
            <w:shd w:val="clear" w:color="auto" w:fill="DCDDDE"/>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CDDDE"/>
          </w:tcPr>
          <w:p>
            <w:pPr>
              <w:jc w:val="right"/>
              <w:ind w:right="49"/>
              <w:spacing w:after="0"/>
              <w:rPr>
                <w:sz w:val="20"/>
                <w:szCs w:val="20"/>
                <w:color w:val="auto"/>
              </w:rPr>
            </w:pPr>
            <w:r>
              <w:rPr>
                <w:rFonts w:ascii="Arial" w:cs="Arial" w:eastAsia="Arial" w:hAnsi="Arial"/>
                <w:sz w:val="14"/>
                <w:szCs w:val="14"/>
                <w:color w:val="auto"/>
              </w:rPr>
              <w:t>13,183</w:t>
            </w:r>
          </w:p>
        </w:tc>
        <w:tc>
          <w:tcPr>
            <w:tcW w:w="120" w:type="dxa"/>
            <w:vAlign w:val="bottom"/>
            <w:tcBorders>
              <w:bottom w:val="single" w:sz="8" w:color="auto"/>
            </w:tcBorders>
            <w:shd w:val="clear" w:color="auto" w:fill="DCDDDE"/>
          </w:tcPr>
          <w:p>
            <w:pPr>
              <w:spacing w:after="0"/>
              <w:rPr>
                <w:sz w:val="14"/>
                <w:szCs w:val="14"/>
                <w:color w:val="auto"/>
              </w:rPr>
            </w:pPr>
          </w:p>
        </w:tc>
        <w:tc>
          <w:tcPr>
            <w:tcW w:w="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CDDDE"/>
          </w:tcPr>
          <w:p>
            <w:pPr>
              <w:jc w:val="right"/>
              <w:ind w:right="49"/>
              <w:spacing w:after="0"/>
              <w:rPr>
                <w:sz w:val="20"/>
                <w:szCs w:val="20"/>
                <w:color w:val="auto"/>
              </w:rPr>
            </w:pPr>
            <w:r>
              <w:rPr>
                <w:rFonts w:ascii="Arial" w:cs="Arial" w:eastAsia="Arial" w:hAnsi="Arial"/>
                <w:sz w:val="14"/>
                <w:szCs w:val="14"/>
                <w:color w:val="auto"/>
              </w:rPr>
              <w:t>1,666,427</w:t>
            </w:r>
          </w:p>
        </w:tc>
        <w:tc>
          <w:tcPr>
            <w:tcW w:w="220" w:type="dxa"/>
            <w:vAlign w:val="bottom"/>
            <w:tcBorders>
              <w:bottom w:val="single" w:sz="8" w:color="auto"/>
            </w:tcBorders>
            <w:shd w:val="clear" w:color="auto" w:fill="DCDDDE"/>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CDDDE"/>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DCDDDE"/>
          </w:tcPr>
          <w:p>
            <w:pPr>
              <w:jc w:val="right"/>
              <w:ind w:right="48"/>
              <w:spacing w:after="0"/>
              <w:rPr>
                <w:sz w:val="20"/>
                <w:szCs w:val="20"/>
                <w:color w:val="auto"/>
              </w:rPr>
            </w:pPr>
            <w:r>
              <w:rPr>
                <w:rFonts w:ascii="Arial" w:cs="Arial" w:eastAsia="Arial" w:hAnsi="Arial"/>
                <w:sz w:val="14"/>
                <w:szCs w:val="14"/>
                <w:color w:val="auto"/>
              </w:rPr>
              <w:t>14,470,295</w:t>
            </w:r>
          </w:p>
        </w:tc>
      </w:tr>
      <w:tr>
        <w:trPr>
          <w:trHeight w:val="169"/>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Wade C. Davis</w:t>
            </w: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Excess 401(k)</w:t>
            </w:r>
          </w:p>
        </w:tc>
        <w:tc>
          <w:tcPr>
            <w:tcW w:w="2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244,000</w:t>
            </w:r>
          </w:p>
        </w:tc>
        <w:tc>
          <w:tcPr>
            <w:tcW w:w="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13,183</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2,487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2,616,843</w:t>
            </w:r>
          </w:p>
        </w:tc>
      </w:tr>
      <w:tr>
        <w:trPr>
          <w:trHeight w:val="169"/>
        </w:trPr>
        <w:tc>
          <w:tcPr>
            <w:tcW w:w="324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Christa A. D'Alimonte</w:t>
            </w:r>
          </w:p>
        </w:tc>
        <w:tc>
          <w:tcPr>
            <w:tcW w:w="1300" w:type="dxa"/>
            <w:vAlign w:val="bottom"/>
            <w:tcBorders>
              <w:bottom w:val="single" w:sz="8" w:color="auto"/>
            </w:tcBorders>
            <w:shd w:val="clear" w:color="auto" w:fill="DCDDDE"/>
          </w:tcPr>
          <w:p>
            <w:pPr>
              <w:ind w:left="140"/>
              <w:spacing w:after="0"/>
              <w:rPr>
                <w:sz w:val="20"/>
                <w:szCs w:val="20"/>
                <w:color w:val="auto"/>
              </w:rPr>
            </w:pPr>
            <w:r>
              <w:rPr>
                <w:rFonts w:ascii="Arial" w:cs="Arial" w:eastAsia="Arial" w:hAnsi="Arial"/>
                <w:sz w:val="14"/>
                <w:szCs w:val="14"/>
                <w:color w:val="auto"/>
              </w:rPr>
              <w:t>Excess 401(k)</w:t>
            </w:r>
          </w:p>
        </w:tc>
        <w:tc>
          <w:tcPr>
            <w:tcW w:w="280" w:type="dxa"/>
            <w:vAlign w:val="bottom"/>
            <w:tcBorders>
              <w:bottom w:val="single" w:sz="8" w:color="auto"/>
            </w:tcBorders>
            <w:gridSpan w:val="2"/>
            <w:shd w:val="clear" w:color="auto" w:fill="DCDDDE"/>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CDDDE"/>
          </w:tcPr>
          <w:p>
            <w:pPr>
              <w:jc w:val="right"/>
              <w:ind w:right="49"/>
              <w:spacing w:after="0"/>
              <w:rPr>
                <w:sz w:val="20"/>
                <w:szCs w:val="20"/>
                <w:color w:val="auto"/>
              </w:rPr>
            </w:pPr>
            <w:r>
              <w:rPr>
                <w:rFonts w:ascii="Arial" w:cs="Arial" w:eastAsia="Arial" w:hAnsi="Arial"/>
                <w:sz w:val="14"/>
                <w:szCs w:val="14"/>
                <w:color w:val="auto"/>
              </w:rPr>
              <w:t>95,135</w:t>
            </w:r>
          </w:p>
        </w:tc>
        <w:tc>
          <w:tcPr>
            <w:tcW w:w="200" w:type="dxa"/>
            <w:vAlign w:val="bottom"/>
            <w:tcBorders>
              <w:bottom w:val="single" w:sz="8" w:color="auto"/>
            </w:tcBorders>
            <w:gridSpan w:val="2"/>
            <w:shd w:val="clear" w:color="auto" w:fill="DCDDDE"/>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CDDDE"/>
          </w:tcPr>
          <w:p>
            <w:pPr>
              <w:jc w:val="right"/>
              <w:ind w:right="49"/>
              <w:spacing w:after="0"/>
              <w:rPr>
                <w:sz w:val="20"/>
                <w:szCs w:val="20"/>
                <w:color w:val="auto"/>
              </w:rPr>
            </w:pPr>
            <w:r>
              <w:rPr>
                <w:rFonts w:ascii="Arial" w:cs="Arial" w:eastAsia="Arial" w:hAnsi="Arial"/>
                <w:sz w:val="14"/>
                <w:szCs w:val="14"/>
                <w:color w:val="auto"/>
              </w:rPr>
              <w:t>14,263</w:t>
            </w:r>
          </w:p>
        </w:tc>
        <w:tc>
          <w:tcPr>
            <w:tcW w:w="120" w:type="dxa"/>
            <w:vAlign w:val="bottom"/>
            <w:tcBorders>
              <w:bottom w:val="single" w:sz="8" w:color="auto"/>
            </w:tcBorders>
            <w:shd w:val="clear" w:color="auto" w:fill="DCDDDE"/>
          </w:tcPr>
          <w:p>
            <w:pPr>
              <w:spacing w:after="0"/>
              <w:rPr>
                <w:sz w:val="14"/>
                <w:szCs w:val="14"/>
                <w:color w:val="auto"/>
              </w:rPr>
            </w:pPr>
          </w:p>
        </w:tc>
        <w:tc>
          <w:tcPr>
            <w:tcW w:w="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CDDDE"/>
          </w:tcPr>
          <w:p>
            <w:pPr>
              <w:jc w:val="right"/>
              <w:ind w:right="49"/>
              <w:spacing w:after="0"/>
              <w:rPr>
                <w:sz w:val="20"/>
                <w:szCs w:val="20"/>
                <w:color w:val="auto"/>
              </w:rPr>
            </w:pPr>
            <w:r>
              <w:rPr>
                <w:rFonts w:ascii="Arial" w:cs="Arial" w:eastAsia="Arial" w:hAnsi="Arial"/>
                <w:sz w:val="14"/>
                <w:szCs w:val="14"/>
                <w:color w:val="auto"/>
              </w:rPr>
              <w:t>30,650</w:t>
            </w:r>
          </w:p>
        </w:tc>
        <w:tc>
          <w:tcPr>
            <w:tcW w:w="220" w:type="dxa"/>
            <w:vAlign w:val="bottom"/>
            <w:tcBorders>
              <w:bottom w:val="single" w:sz="8" w:color="auto"/>
            </w:tcBorders>
            <w:shd w:val="clear" w:color="auto" w:fill="DCDDDE"/>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CDDDE"/>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DCDDDE"/>
          </w:tcPr>
          <w:p>
            <w:pPr>
              <w:jc w:val="right"/>
              <w:ind w:right="48"/>
              <w:spacing w:after="0"/>
              <w:rPr>
                <w:sz w:val="20"/>
                <w:szCs w:val="20"/>
                <w:color w:val="auto"/>
              </w:rPr>
            </w:pPr>
            <w:r>
              <w:rPr>
                <w:rFonts w:ascii="Arial" w:cs="Arial" w:eastAsia="Arial" w:hAnsi="Arial"/>
                <w:sz w:val="14"/>
                <w:szCs w:val="14"/>
                <w:color w:val="auto"/>
              </w:rPr>
              <w:t>564,042</w:t>
            </w:r>
          </w:p>
        </w:tc>
      </w:tr>
      <w:tr>
        <w:trPr>
          <w:trHeight w:val="184"/>
        </w:trPr>
        <w:tc>
          <w:tcPr>
            <w:tcW w:w="3240" w:type="dxa"/>
            <w:vAlign w:val="bottom"/>
          </w:tcPr>
          <w:p>
            <w:pPr>
              <w:spacing w:after="0"/>
              <w:rPr>
                <w:sz w:val="20"/>
                <w:szCs w:val="20"/>
                <w:color w:val="auto"/>
              </w:rPr>
            </w:pPr>
            <w:r>
              <w:rPr>
                <w:rFonts w:ascii="Arial" w:cs="Arial" w:eastAsia="Arial" w:hAnsi="Arial"/>
                <w:sz w:val="14"/>
                <w:szCs w:val="14"/>
                <w:color w:val="auto"/>
              </w:rPr>
              <w:t>Doretha (DeDe) F. Lea</w:t>
            </w:r>
          </w:p>
        </w:tc>
        <w:tc>
          <w:tcPr>
            <w:tcW w:w="1300" w:type="dxa"/>
            <w:vAlign w:val="bottom"/>
          </w:tcPr>
          <w:p>
            <w:pPr>
              <w:ind w:left="140"/>
              <w:spacing w:after="0"/>
              <w:rPr>
                <w:sz w:val="20"/>
                <w:szCs w:val="20"/>
                <w:color w:val="auto"/>
              </w:rPr>
            </w:pPr>
            <w:r>
              <w:rPr>
                <w:rFonts w:ascii="Arial" w:cs="Arial" w:eastAsia="Arial" w:hAnsi="Arial"/>
                <w:sz w:val="14"/>
                <w:szCs w:val="14"/>
                <w:color w:val="auto"/>
              </w:rPr>
              <w:t>Excess 401(k)</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32,006</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7,071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83,875</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715,580</w:t>
            </w:r>
          </w:p>
        </w:tc>
      </w:tr>
      <w:tr>
        <w:trPr>
          <w:trHeight w:val="161"/>
        </w:trPr>
        <w:tc>
          <w:tcPr>
            <w:tcW w:w="3240" w:type="dxa"/>
            <w:vAlign w:val="bottom"/>
          </w:tcPr>
          <w:p>
            <w:pPr>
              <w:spacing w:after="0"/>
              <w:rPr>
                <w:sz w:val="13"/>
                <w:szCs w:val="13"/>
                <w:color w:val="auto"/>
              </w:rPr>
            </w:pPr>
          </w:p>
        </w:tc>
        <w:tc>
          <w:tcPr>
            <w:tcW w:w="1300" w:type="dxa"/>
            <w:vAlign w:val="bottom"/>
          </w:tcPr>
          <w:p>
            <w:pPr>
              <w:ind w:left="140"/>
              <w:spacing w:after="0"/>
              <w:rPr>
                <w:sz w:val="20"/>
                <w:szCs w:val="20"/>
                <w:color w:val="auto"/>
              </w:rPr>
            </w:pPr>
            <w:r>
              <w:rPr>
                <w:rFonts w:ascii="Arial" w:cs="Arial" w:eastAsia="Arial" w:hAnsi="Arial"/>
                <w:sz w:val="14"/>
                <w:szCs w:val="14"/>
                <w:color w:val="auto"/>
              </w:rPr>
              <w:t>Bonus Deferral</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3,176</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26,818</w:t>
            </w:r>
          </w:p>
        </w:tc>
      </w:tr>
      <w:tr>
        <w:trPr>
          <w:trHeight w:val="20"/>
        </w:trPr>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169"/>
        </w:trPr>
        <w:tc>
          <w:tcPr>
            <w:tcW w:w="3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32,006</w:t>
            </w:r>
          </w:p>
        </w:tc>
        <w:tc>
          <w:tcPr>
            <w:tcW w:w="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7,071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87,051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742,398</w:t>
            </w:r>
          </w:p>
        </w:tc>
      </w:tr>
      <w:tr>
        <w:trPr>
          <w:trHeight w:val="169"/>
        </w:trPr>
        <w:tc>
          <w:tcPr>
            <w:tcW w:w="3240" w:type="dxa"/>
            <w:vAlign w:val="bottom"/>
            <w:shd w:val="clear" w:color="auto" w:fill="D9D9D9"/>
          </w:tcPr>
          <w:p>
            <w:pPr>
              <w:spacing w:after="0"/>
              <w:rPr>
                <w:sz w:val="20"/>
                <w:szCs w:val="20"/>
                <w:color w:val="auto"/>
              </w:rPr>
            </w:pPr>
            <w:r>
              <w:rPr>
                <w:rFonts w:ascii="Arial" w:cs="Arial" w:eastAsia="Arial" w:hAnsi="Arial"/>
                <w:sz w:val="14"/>
                <w:szCs w:val="14"/>
                <w:color w:val="auto"/>
              </w:rPr>
              <w:t>Scott M. Mills</w:t>
            </w:r>
          </w:p>
        </w:tc>
        <w:tc>
          <w:tcPr>
            <w:tcW w:w="13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Excess 401(k)</w:t>
            </w:r>
          </w:p>
        </w:tc>
        <w:tc>
          <w:tcPr>
            <w:tcW w:w="280" w:type="dxa"/>
            <w:vAlign w:val="bottom"/>
            <w:gridSpan w:val="2"/>
            <w:shd w:val="clear" w:color="auto" w:fill="D9D9D9"/>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222,857</w:t>
            </w:r>
          </w:p>
        </w:tc>
        <w:tc>
          <w:tcPr>
            <w:tcW w:w="200" w:type="dxa"/>
            <w:vAlign w:val="bottom"/>
            <w:gridSpan w:val="2"/>
            <w:shd w:val="clear" w:color="auto" w:fill="D9D9D9"/>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8,250</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89,693</w:t>
            </w:r>
          </w:p>
        </w:tc>
        <w:tc>
          <w:tcPr>
            <w:tcW w:w="220" w:type="dxa"/>
            <w:vAlign w:val="bottom"/>
            <w:shd w:val="clear" w:color="auto" w:fill="D9D9D9"/>
          </w:tcPr>
          <w:p>
            <w:pPr>
              <w:ind w:left="1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D9D9D9"/>
          </w:tcPr>
          <w:p>
            <w:pPr>
              <w:ind w:left="8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1,766,154</w:t>
            </w:r>
          </w:p>
        </w:tc>
      </w:tr>
      <w:tr>
        <w:trPr>
          <w:trHeight w:val="176"/>
        </w:trPr>
        <w:tc>
          <w:tcPr>
            <w:tcW w:w="3240" w:type="dxa"/>
            <w:vAlign w:val="bottom"/>
            <w:shd w:val="clear" w:color="auto" w:fill="D9D9D9"/>
          </w:tcPr>
          <w:p>
            <w:pPr>
              <w:spacing w:after="0"/>
              <w:rPr>
                <w:sz w:val="15"/>
                <w:szCs w:val="15"/>
                <w:color w:val="auto"/>
              </w:rPr>
            </w:pPr>
          </w:p>
        </w:tc>
        <w:tc>
          <w:tcPr>
            <w:tcW w:w="13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Bonus Deferral</w:t>
            </w:r>
          </w:p>
        </w:tc>
        <w:tc>
          <w:tcPr>
            <w:tcW w:w="280" w:type="dxa"/>
            <w:vAlign w:val="bottom"/>
            <w:gridSpan w:val="2"/>
            <w:shd w:val="clear" w:color="auto" w:fill="D9D9D9"/>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375,000</w:t>
            </w:r>
          </w:p>
        </w:tc>
        <w:tc>
          <w:tcPr>
            <w:tcW w:w="200" w:type="dxa"/>
            <w:vAlign w:val="bottom"/>
            <w:gridSpan w:val="2"/>
            <w:shd w:val="clear" w:color="auto" w:fill="D9D9D9"/>
          </w:tcPr>
          <w:p>
            <w:pPr>
              <w:ind w:left="120"/>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D9D9D9"/>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70,035</w:t>
            </w:r>
          </w:p>
        </w:tc>
        <w:tc>
          <w:tcPr>
            <w:tcW w:w="220" w:type="dxa"/>
            <w:vAlign w:val="bottom"/>
            <w:shd w:val="clear" w:color="auto" w:fill="D9D9D9"/>
          </w:tcPr>
          <w:p>
            <w:pPr>
              <w:ind w:left="1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D9D9D9"/>
          </w:tcPr>
          <w:p>
            <w:pPr>
              <w:ind w:left="8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1,493,736</w:t>
            </w:r>
          </w:p>
        </w:tc>
      </w:tr>
      <w:tr>
        <w:trPr>
          <w:trHeight w:val="20"/>
        </w:trPr>
        <w:tc>
          <w:tcPr>
            <w:tcW w:w="3240" w:type="dxa"/>
            <w:vAlign w:val="bottom"/>
            <w:shd w:val="clear" w:color="auto" w:fill="D9D9D9"/>
          </w:tcPr>
          <w:p>
            <w:pPr>
              <w:spacing w:after="0" w:line="20" w:lineRule="exact"/>
              <w:rPr>
                <w:sz w:val="1"/>
                <w:szCs w:val="1"/>
                <w:color w:val="auto"/>
              </w:rPr>
            </w:pPr>
          </w:p>
        </w:tc>
        <w:tc>
          <w:tcPr>
            <w:tcW w:w="1300" w:type="dxa"/>
            <w:vAlign w:val="bottom"/>
            <w:shd w:val="clear" w:color="auto" w:fill="D9D9D9"/>
          </w:tcPr>
          <w:p>
            <w:pPr>
              <w:spacing w:after="0" w:line="20" w:lineRule="exact"/>
              <w:rPr>
                <w:sz w:val="1"/>
                <w:szCs w:val="1"/>
                <w:color w:val="auto"/>
              </w:rPr>
            </w:pPr>
          </w:p>
        </w:tc>
        <w:tc>
          <w:tcPr>
            <w:tcW w:w="20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26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169"/>
        </w:trPr>
        <w:tc>
          <w:tcPr>
            <w:tcW w:w="3240" w:type="dxa"/>
            <w:vAlign w:val="bottom"/>
            <w:tcBorders>
              <w:bottom w:val="single" w:sz="8" w:color="auto"/>
            </w:tcBorders>
            <w:shd w:val="clear" w:color="auto" w:fill="D9D9D9"/>
          </w:tcPr>
          <w:p>
            <w:pPr>
              <w:spacing w:after="0"/>
              <w:rPr>
                <w:sz w:val="14"/>
                <w:szCs w:val="14"/>
                <w:color w:val="auto"/>
              </w:rPr>
            </w:pPr>
          </w:p>
        </w:tc>
        <w:tc>
          <w:tcPr>
            <w:tcW w:w="1300" w:type="dxa"/>
            <w:vAlign w:val="bottom"/>
            <w:tcBorders>
              <w:bottom w:val="single" w:sz="8" w:color="auto"/>
            </w:tcBorders>
            <w:shd w:val="clear" w:color="auto" w:fill="D9D9D9"/>
          </w:tcPr>
          <w:p>
            <w:pPr>
              <w:spacing w:after="0"/>
              <w:rPr>
                <w:sz w:val="14"/>
                <w:szCs w:val="14"/>
                <w:color w:val="auto"/>
              </w:rPr>
            </w:pPr>
          </w:p>
        </w:tc>
        <w:tc>
          <w:tcPr>
            <w:tcW w:w="280" w:type="dxa"/>
            <w:vAlign w:val="bottom"/>
            <w:tcBorders>
              <w:bottom w:val="single" w:sz="8" w:color="auto"/>
            </w:tcBorders>
            <w:gridSpan w:val="2"/>
            <w:shd w:val="clear" w:color="auto" w:fill="D9D9D9"/>
          </w:tcPr>
          <w:p>
            <w:pPr>
              <w:ind w:left="20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9D9D9"/>
          </w:tcPr>
          <w:p>
            <w:pPr>
              <w:jc w:val="right"/>
              <w:ind w:right="49"/>
              <w:spacing w:after="0"/>
              <w:rPr>
                <w:sz w:val="20"/>
                <w:szCs w:val="20"/>
                <w:color w:val="auto"/>
              </w:rPr>
            </w:pPr>
            <w:r>
              <w:rPr>
                <w:rFonts w:ascii="Arial" w:cs="Arial" w:eastAsia="Arial" w:hAnsi="Arial"/>
                <w:sz w:val="14"/>
                <w:szCs w:val="14"/>
                <w:color w:val="auto"/>
              </w:rPr>
              <w:t>597,857</w:t>
            </w:r>
          </w:p>
        </w:tc>
        <w:tc>
          <w:tcPr>
            <w:tcW w:w="200" w:type="dxa"/>
            <w:vAlign w:val="bottom"/>
            <w:tcBorders>
              <w:bottom w:val="single" w:sz="8" w:color="auto"/>
            </w:tcBorders>
            <w:gridSpan w:val="2"/>
            <w:shd w:val="clear" w:color="auto" w:fill="D9D9D9"/>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9D9D9"/>
          </w:tcPr>
          <w:p>
            <w:pPr>
              <w:jc w:val="right"/>
              <w:ind w:right="49"/>
              <w:spacing w:after="0"/>
              <w:rPr>
                <w:sz w:val="20"/>
                <w:szCs w:val="20"/>
                <w:color w:val="auto"/>
              </w:rPr>
            </w:pPr>
            <w:r>
              <w:rPr>
                <w:rFonts w:ascii="Arial" w:cs="Arial" w:eastAsia="Arial" w:hAnsi="Arial"/>
                <w:sz w:val="14"/>
                <w:szCs w:val="14"/>
                <w:color w:val="auto"/>
              </w:rPr>
              <w:t>8,250</w:t>
            </w:r>
          </w:p>
        </w:tc>
        <w:tc>
          <w:tcPr>
            <w:tcW w:w="120" w:type="dxa"/>
            <w:vAlign w:val="bottom"/>
            <w:tcBorders>
              <w:bottom w:val="single" w:sz="8" w:color="auto"/>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9D9D9"/>
          </w:tcPr>
          <w:p>
            <w:pPr>
              <w:jc w:val="right"/>
              <w:ind w:right="49"/>
              <w:spacing w:after="0"/>
              <w:rPr>
                <w:sz w:val="20"/>
                <w:szCs w:val="20"/>
                <w:color w:val="auto"/>
              </w:rPr>
            </w:pPr>
            <w:r>
              <w:rPr>
                <w:rFonts w:ascii="Arial" w:cs="Arial" w:eastAsia="Arial" w:hAnsi="Arial"/>
                <w:sz w:val="14"/>
                <w:szCs w:val="14"/>
                <w:color w:val="auto"/>
              </w:rPr>
              <w:t>159,728</w:t>
            </w:r>
          </w:p>
        </w:tc>
        <w:tc>
          <w:tcPr>
            <w:tcW w:w="220" w:type="dxa"/>
            <w:vAlign w:val="bottom"/>
            <w:tcBorders>
              <w:bottom w:val="single" w:sz="8" w:color="auto"/>
            </w:tcBorders>
            <w:shd w:val="clear" w:color="auto" w:fill="D9D9D9"/>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9D9D9"/>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color w:val="auto"/>
              </w:rPr>
              <w:t>3,259,890</w:t>
            </w:r>
          </w:p>
        </w:tc>
      </w:tr>
    </w:tbl>
    <w:p>
      <w:pPr>
        <w:spacing w:after="0" w:line="66" w:lineRule="exact"/>
        <w:rPr>
          <w:sz w:val="20"/>
          <w:szCs w:val="20"/>
          <w:color w:val="auto"/>
        </w:rPr>
      </w:pPr>
    </w:p>
    <w:p>
      <w:pPr>
        <w:ind w:left="440" w:right="20" w:hanging="432"/>
        <w:spacing w:after="0" w:line="244" w:lineRule="auto"/>
        <w:tabs>
          <w:tab w:leader="none" w:pos="44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contributions by Messrs. Bakish, Davis and Mills and Mses. D’Alimonte and Lea under our Excess 401(k) Plan for Designated Senior Executives and bonus amounts deferred by Mr. Mills under our Bonus Deferral Plan, all of which are also reflected in the Fiscal Year 2018 Summary Compensation Table.</w:t>
      </w:r>
    </w:p>
    <w:p>
      <w:pPr>
        <w:spacing w:after="0" w:line="10" w:lineRule="exact"/>
        <w:rPr>
          <w:rFonts w:ascii="Arial" w:cs="Arial" w:eastAsia="Arial" w:hAnsi="Arial"/>
          <w:sz w:val="14"/>
          <w:szCs w:val="14"/>
          <w:i w:val="1"/>
          <w:iCs w:val="1"/>
          <w:color w:val="auto"/>
        </w:rPr>
      </w:pPr>
    </w:p>
    <w:p>
      <w:pPr>
        <w:ind w:left="440" w:right="20" w:hanging="432"/>
        <w:spacing w:after="0" w:line="244" w:lineRule="auto"/>
        <w:tabs>
          <w:tab w:leader="none" w:pos="44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company match under the Excess 401(k) Plan for Designated Senior Executives. These amounts are also included in the “All Other Compensation” column in the Fiscal Year 2018 Summary Compensation Table.</w:t>
      </w:r>
    </w:p>
    <w:p>
      <w:pPr>
        <w:spacing w:after="0" w:line="10" w:lineRule="exact"/>
        <w:rPr>
          <w:rFonts w:ascii="Arial" w:cs="Arial" w:eastAsia="Arial" w:hAnsi="Arial"/>
          <w:sz w:val="14"/>
          <w:szCs w:val="14"/>
          <w:i w:val="1"/>
          <w:iCs w:val="1"/>
          <w:color w:val="auto"/>
        </w:rPr>
      </w:pPr>
    </w:p>
    <w:p>
      <w:pPr>
        <w:jc w:val="both"/>
        <w:ind w:left="440" w:right="20" w:hanging="432"/>
        <w:spacing w:after="0" w:line="235" w:lineRule="auto"/>
        <w:tabs>
          <w:tab w:leader="none" w:pos="44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Except as otherwise noted, amounts deferred under our Deferral Plans are deemed invested in the same investment alternatives that the NEO has elected for his or her tax-qualified 401(k) plan or, if no election has been made, in the 401(k) plan’s default investment option. Amounts are net of deductions for annual fees. Since these amounts are not preferential, they are not included in the Fiscal Year 2018 Summary Compensation Table.</w:t>
      </w:r>
    </w:p>
    <w:p>
      <w:pPr>
        <w:sectPr>
          <w:pgSz w:w="11900" w:h="16838" w:orient="portrait"/>
          <w:cols w:equalWidth="0" w:num="1">
            <w:col w:w="11440"/>
          </w:cols>
          <w:pgMar w:left="240" w:top="125" w:right="219" w:bottom="1440" w:gutter="0" w:footer="0" w:header="0"/>
          <w:type w:val="continuous"/>
        </w:sect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The Viacom Excess 401(k) Plans</w:t>
      </w:r>
    </w:p>
    <w:p>
      <w:pPr>
        <w:spacing w:after="0" w:line="24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have established Excess 401(k) Plans to provide benefits to employees who are participants in the tax-qualified 401(k) Plan and whose annual base salary exceeds the annual compensation limit set forth in the Code. For calendar year 2018, the compensation limit for the tax-qualified 401(k) Plan was $275,000. We maintain an account in the name of each participant and that account is credited with the amount of the participant’s deferral. A participant may elect to defer between 1% and 15% of eligible compensation on a before-tax basis. Eligible compensation for Excess 401(k) Plan participants is, in general, a participant’s base pay including all pre-tax elective contributions made on behalf of a participant either to a company “qualified cash or deferred arrangement” (as defined under Section 401(k) of the Code and applicable regulations), a “cafeteria plan” (as defined under Section 125 of the Code and applicable regulations), or a “qualified transportation fringe” (as defined under Section 132(f) of the Code and the applicable regulations). Eligible compensation does not include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deferred compensation or cash bonuses under our STIP. Deferrals to the Excess 401(k) Plans begin once Code limits have been reached in the tax-qualified 401(k) Plan.</w:t>
      </w:r>
    </w:p>
    <w:p>
      <w:pPr>
        <w:spacing w:after="0" w:line="53"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In fiscal year 2018, we matched 100% of the first 1% and 50% of the next 5% of eligible compensation contributed by a participant on a pre-tax basis. Matching contributions credited under the Excess 401(k) Plans in the aggregate for any participant were subject to an eligible compensation limit of $500,000. Participants become fully vested in the matching contribution after two years of service. Participant accounts under the Excess 401(k) Plans are credited (or charged) with earnings, gains or losses based on the investment performance of the funds selected by the participant for amounts contributed to the qualified 401(k) Plan. For purposes of vesting, participants receive credit for years of service credited under the Former Viacom 401(k) plan.</w:t>
      </w:r>
    </w:p>
    <w:p>
      <w:pPr>
        <w:spacing w:after="0" w:line="514"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59</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The Bonus Deferral Plans</w:t>
      </w:r>
    </w:p>
    <w:p>
      <w:pPr>
        <w:spacing w:after="0" w:line="32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Bonus Deferral Plans are voluntary unfunded nonqualified deferred compensation plans for the benefit of senior executives who are designated as eligible to participate in the Excess 401(k) Plans (whose annual base salary exceeds the annual compensation limit applicable to the tax-qualified 401(k) Plan). A participant can elect before the end of each fiscal year to defer a portion (from 1% to 15%) of his or her annual bonus amount earned during the next succeeding fiscal year. We maintain an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in the name of each participant and that account is credited with the amount of the participant’s bonus deferral. Participant accounts under the Bonus Deferral Plans are credited (or charged) with earnings, gains or losses based on the investment performance of the funds selected by the participant for amounts contributed to the tax-qualified 401(k) Plan. We do not make matching contributions in the Bonus Deferral Plans.</w:t>
      </w:r>
    </w:p>
    <w:p>
      <w:pPr>
        <w:spacing w:after="0" w:line="576" w:lineRule="exact"/>
        <w:rPr>
          <w:sz w:val="20"/>
          <w:szCs w:val="20"/>
          <w:color w:val="auto"/>
        </w:rPr>
      </w:pPr>
    </w:p>
    <w:p>
      <w:pPr>
        <w:sectPr>
          <w:pgSz w:w="11900" w:h="16838" w:orient="portrait"/>
          <w:cols w:equalWidth="0" w:num="2">
            <w:col w:w="5480" w:space="460"/>
            <w:col w:w="5500"/>
          </w:cols>
          <w:pgMar w:left="240" w:top="125" w:right="21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1CB6EA"/>
        </w:rPr>
        <w:t>Distributions and Withdrawals under the Excess 401(k) Plans and Bonus Deferral Plans</w:t>
      </w:r>
    </w:p>
    <w:p>
      <w:pPr>
        <w:sectPr>
          <w:pgSz w:w="11900" w:h="16838" w:orient="portrait"/>
          <w:cols w:equalWidth="0" w:num="1">
            <w:col w:w="11440"/>
          </w:cols>
          <w:pgMar w:left="240" w:top="125" w:right="219" w:bottom="1440" w:gutter="0" w:footer="0" w:header="0"/>
          <w:type w:val="continuous"/>
        </w:sectPr>
      </w:pPr>
    </w:p>
    <w:p>
      <w:pPr>
        <w:spacing w:after="0" w:line="25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vested portion of each participant’s accounts in the Excess 401(k) Plans and the Bonus Deferral Plans is distributed in cash after termination of employment in accordance with the participant’s payment election. Participants are required to make a joint payment election for all amounts deferred under the plans.</w:t>
      </w:r>
    </w:p>
    <w:p>
      <w:pPr>
        <w:spacing w:after="0" w:line="5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amounts earned, deferred and vested prior to January 1, 2005, participants elected to have these amounts paid in a single lump sum in January of the first, second, third, fourth or fifth year following termination of employment, or in up to five annual installments in amounts designated by the participants beginning in the January following the year of termination. If no election is made, a participant is deemed to have elected a lump sum payment in January of the year following termination of employment. If a participant elects to receive annual installment payments over a period of two or more years, the annual payments will be made in substantially equal annual installments, unless the participant designates at the time of making his or her payment option election a specific percentage of his or her account to be distributed in each year. All specified percentages must be a whole multiple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10%, and the total of all designated percentages must be equal to 100%. For all amounts earned, deferred and vested prior to January 1, 2005, participants can change their payment elections up to three times during their term of employment. Payments of pre-2005 amounts will be made in accordance with the most recent payment election made more than six months before termination of employment.</w:t>
      </w:r>
    </w:p>
    <w:p>
      <w:pPr>
        <w:spacing w:after="0" w:line="54"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For amounts earned, deferred or vested after December 31, 2004, the payment options are the same as those set forth above, except that a participant will not be able to receive any payment from post-2004 accounts until the later of the January 31 following his or her termination of employment or six months following termination of employment. No changes can be made to the joint payment election made for post-2004 deferrals.</w:t>
      </w:r>
    </w:p>
    <w:p>
      <w:pPr>
        <w:spacing w:after="0" w:line="5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 participant who suffers an unforeseeable emergency as defined in Section 409A of the Code may receive a withdrawal of all or part of the vested portion of his or her accounts in the Excess 401(k) Plans and/or the Bonus Deferral Plans to the extent permitted under Section 409A of the Code.</w:t>
      </w:r>
    </w:p>
    <w:p>
      <w:pPr>
        <w:spacing w:after="0" w:line="319"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The Deferred Compensation Plan</w:t>
      </w:r>
    </w:p>
    <w:p>
      <w:pPr>
        <w:spacing w:after="0" w:line="32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Deferred Compensation Plan was established for employees who have a deferred compensation arrangement in their employment contract. The amounts deferred are dictated by the specific employment contract. Participant accounts under the deferred compensation plan are credited (or charged) with earnings, gains or losses based on the investment performance of the funds selected by the participant for amounts contributed to the qualified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401(k) Plan. We do not make matching contributions in the Deferred Compensation Plan. Payment of amounts accrued under the Deferred Compensation Plan are made in accordance with the participant’s employment agreement, which generally provides that the amounts be paid after the participant ceases to be an employee in a timeframe designed to comply with the requirements of Section 409A of the Code unless a grandfather provision applies.</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60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Overview</w:t>
      </w:r>
    </w:p>
    <w:p>
      <w:pPr>
        <w:sectPr>
          <w:pgSz w:w="11900" w:h="16838" w:orient="portrait"/>
          <w:cols w:equalWidth="0" w:num="1">
            <w:col w:w="11440"/>
          </w:cols>
          <w:pgMar w:left="240" w:top="125" w:right="219" w:bottom="1440" w:gutter="0" w:footer="0" w:header="0"/>
        </w:sect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employment agreements and certain of our plans require us to provide compensation and other benefits to our NEOs if their employment terminates under certain circumstances. Specifically:</w:t>
      </w:r>
    </w:p>
    <w:p>
      <w:pPr>
        <w:spacing w:after="0" w:line="53" w:lineRule="exact"/>
        <w:rPr>
          <w:sz w:val="20"/>
          <w:szCs w:val="20"/>
          <w:color w:val="auto"/>
        </w:rPr>
      </w:pPr>
    </w:p>
    <w:p>
      <w:pPr>
        <w:ind w:left="140" w:right="20" w:hanging="132"/>
        <w:spacing w:after="0" w:line="243" w:lineRule="auto"/>
        <w:tabs>
          <w:tab w:leader="none" w:pos="140" w:val="left"/>
        </w:tabs>
        <w:numPr>
          <w:ilvl w:val="0"/>
          <w:numId w:val="83"/>
        </w:numPr>
        <w:rPr>
          <w:rFonts w:ascii="Arial" w:cs="Arial" w:eastAsia="Arial" w:hAnsi="Arial"/>
          <w:sz w:val="17"/>
          <w:szCs w:val="17"/>
          <w:color w:val="1CB6EA"/>
        </w:rPr>
      </w:pPr>
      <w:r>
        <w:rPr>
          <w:rFonts w:ascii="Arial" w:cs="Arial" w:eastAsia="Arial" w:hAnsi="Arial"/>
          <w:sz w:val="17"/>
          <w:szCs w:val="17"/>
          <w:color w:val="auto"/>
        </w:rPr>
        <w:t>we limit cash severance to 2x the sum of the annual base salary and target bonus amount;</w:t>
      </w:r>
    </w:p>
    <w:p>
      <w:pPr>
        <w:spacing w:after="0" w:line="49" w:lineRule="exact"/>
        <w:rPr>
          <w:rFonts w:ascii="Arial" w:cs="Arial" w:eastAsia="Arial" w:hAnsi="Arial"/>
          <w:sz w:val="17"/>
          <w:szCs w:val="17"/>
          <w:color w:val="1CB6EA"/>
        </w:rPr>
      </w:pPr>
    </w:p>
    <w:p>
      <w:pPr>
        <w:ind w:left="140" w:right="20" w:hanging="132"/>
        <w:spacing w:after="0" w:line="243" w:lineRule="auto"/>
        <w:tabs>
          <w:tab w:leader="none" w:pos="140" w:val="left"/>
        </w:tabs>
        <w:numPr>
          <w:ilvl w:val="0"/>
          <w:numId w:val="83"/>
        </w:numPr>
        <w:rPr>
          <w:rFonts w:ascii="Arial" w:cs="Arial" w:eastAsia="Arial" w:hAnsi="Arial"/>
          <w:sz w:val="17"/>
          <w:szCs w:val="17"/>
          <w:color w:val="1CB6EA"/>
        </w:rPr>
      </w:pPr>
      <w:r>
        <w:rPr>
          <w:rFonts w:ascii="Arial" w:cs="Arial" w:eastAsia="Arial" w:hAnsi="Arial"/>
          <w:sz w:val="17"/>
          <w:szCs w:val="17"/>
          <w:color w:val="auto"/>
        </w:rPr>
        <w:t>we do not have any “single trigger” plans or other arrangements that provide for benefits, payments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138" w:right="20"/>
        <w:spacing w:after="0" w:line="243" w:lineRule="auto"/>
        <w:rPr>
          <w:sz w:val="20"/>
          <w:szCs w:val="20"/>
          <w:color w:val="auto"/>
        </w:rPr>
      </w:pPr>
      <w:r>
        <w:rPr>
          <w:rFonts w:ascii="Arial" w:cs="Arial" w:eastAsia="Arial" w:hAnsi="Arial"/>
          <w:sz w:val="17"/>
          <w:szCs w:val="17"/>
          <w:color w:val="auto"/>
        </w:rPr>
        <w:t>or accelerated vesting of equity awards solely upon a change-in-control; and</w:t>
      </w:r>
    </w:p>
    <w:p>
      <w:pPr>
        <w:spacing w:after="0" w:line="50" w:lineRule="exact"/>
        <w:rPr>
          <w:sz w:val="20"/>
          <w:szCs w:val="20"/>
          <w:color w:val="auto"/>
        </w:rPr>
      </w:pPr>
    </w:p>
    <w:p>
      <w:pPr>
        <w:jc w:val="both"/>
        <w:ind w:left="138" w:right="40" w:hanging="138"/>
        <w:spacing w:after="0" w:line="238" w:lineRule="auto"/>
        <w:tabs>
          <w:tab w:leader="none" w:pos="138" w:val="left"/>
        </w:tabs>
        <w:numPr>
          <w:ilvl w:val="0"/>
          <w:numId w:val="84"/>
        </w:numPr>
        <w:rPr>
          <w:rFonts w:ascii="Arial" w:cs="Arial" w:eastAsia="Arial" w:hAnsi="Arial"/>
          <w:sz w:val="17"/>
          <w:szCs w:val="17"/>
          <w:color w:val="1CB6EA"/>
        </w:rPr>
      </w:pPr>
      <w:r>
        <w:rPr>
          <w:rFonts w:ascii="Arial" w:cs="Arial" w:eastAsia="Arial" w:hAnsi="Arial"/>
          <w:sz w:val="17"/>
          <w:szCs w:val="17"/>
          <w:color w:val="auto"/>
        </w:rPr>
        <w:t>our employment agreements specify that we may terminate the executive with or without “cause” and define certain events that may permit the executive to resign for “good reason.”</w:t>
      </w:r>
    </w:p>
    <w:p>
      <w:pPr>
        <w:spacing w:after="0" w:line="649" w:lineRule="exact"/>
        <w:rPr>
          <w:sz w:val="20"/>
          <w:szCs w:val="20"/>
          <w:color w:val="auto"/>
        </w:rPr>
      </w:pPr>
    </w:p>
    <w:p>
      <w:pPr>
        <w:sectPr>
          <w:pgSz w:w="11900" w:h="16838" w:orient="portrait"/>
          <w:cols w:equalWidth="0" w:num="2">
            <w:col w:w="5480" w:space="462"/>
            <w:col w:w="5498"/>
          </w:cols>
          <w:pgMar w:left="240" w:top="125" w:right="219" w:bottom="1440" w:gutter="0" w:footer="0" w:header="0"/>
          <w:type w:val="continuous"/>
        </w:sectPr>
      </w:pPr>
    </w:p>
    <w:p>
      <w:pPr>
        <w:spacing w:after="0" w:line="7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following table summarizes our general approach to contractual severance upon the occurrence of various events. Individual NEO employment agreements may contain variations to the general approach. See “Specific Employment Agreement Provisions” below for additional detail.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ind w:left="460"/>
              <w:spacing w:after="0"/>
              <w:rPr>
                <w:sz w:val="20"/>
                <w:szCs w:val="20"/>
                <w:color w:val="auto"/>
              </w:rPr>
            </w:pPr>
            <w:r>
              <w:rPr>
                <w:rFonts w:ascii="Arial" w:cs="Arial" w:eastAsia="Arial" w:hAnsi="Arial"/>
                <w:sz w:val="14"/>
                <w:szCs w:val="14"/>
                <w:b w:val="1"/>
                <w:bCs w:val="1"/>
                <w:color w:val="auto"/>
              </w:rPr>
              <w:t>Unvested</w:t>
            </w:r>
          </w:p>
        </w:tc>
        <w:tc>
          <w:tcPr>
            <w:tcW w:w="2440" w:type="dxa"/>
            <w:vAlign w:val="bottom"/>
          </w:tcPr>
          <w:p>
            <w:pPr>
              <w:ind w:left="500"/>
              <w:spacing w:after="0"/>
              <w:rPr>
                <w:sz w:val="20"/>
                <w:szCs w:val="20"/>
                <w:color w:val="auto"/>
              </w:rPr>
            </w:pPr>
            <w:r>
              <w:rPr>
                <w:rFonts w:ascii="Arial" w:cs="Arial" w:eastAsia="Arial" w:hAnsi="Arial"/>
                <w:sz w:val="14"/>
                <w:szCs w:val="14"/>
                <w:b w:val="1"/>
                <w:bCs w:val="1"/>
                <w:color w:val="auto"/>
              </w:rPr>
              <w:t>Vested Equity</w:t>
            </w:r>
          </w:p>
        </w:tc>
        <w:tc>
          <w:tcPr>
            <w:tcW w:w="1980" w:type="dxa"/>
            <w:vAlign w:val="bottom"/>
          </w:tcPr>
          <w:p>
            <w:pPr>
              <w:spacing w:after="0"/>
              <w:rPr>
                <w:sz w:val="14"/>
                <w:szCs w:val="14"/>
                <w:color w:val="auto"/>
              </w:rPr>
            </w:pPr>
          </w:p>
        </w:tc>
        <w:tc>
          <w:tcPr>
            <w:tcW w:w="2000" w:type="dxa"/>
            <w:vAlign w:val="bottom"/>
          </w:tcPr>
          <w:p>
            <w:pPr>
              <w:ind w:left="100"/>
              <w:spacing w:after="0"/>
              <w:rPr>
                <w:sz w:val="20"/>
                <w:szCs w:val="20"/>
                <w:color w:val="auto"/>
              </w:rPr>
            </w:pPr>
            <w:r>
              <w:rPr>
                <w:rFonts w:ascii="Arial" w:cs="Arial" w:eastAsia="Arial" w:hAnsi="Arial"/>
                <w:sz w:val="14"/>
                <w:szCs w:val="14"/>
                <w:b w:val="1"/>
                <w:bCs w:val="1"/>
                <w:color w:val="auto"/>
              </w:rPr>
              <w:t>Accrued</w:t>
            </w:r>
          </w:p>
        </w:tc>
      </w:tr>
      <w:tr>
        <w:trPr>
          <w:trHeight w:val="183"/>
        </w:trPr>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Cash Severance</w:t>
            </w:r>
          </w:p>
        </w:tc>
        <w:tc>
          <w:tcPr>
            <w:tcW w:w="19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Equity Awards</w:t>
            </w:r>
          </w:p>
        </w:tc>
        <w:tc>
          <w:tcPr>
            <w:tcW w:w="24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Awards</w:t>
            </w:r>
          </w:p>
        </w:tc>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Other Benefits</w:t>
            </w:r>
          </w:p>
        </w:tc>
        <w:tc>
          <w:tcPr>
            <w:tcW w:w="2000" w:type="dxa"/>
            <w:vAlign w:val="bottom"/>
            <w:tcBorders>
              <w:bottom w:val="single" w:sz="8" w:color="auto"/>
            </w:tcBorders>
          </w:tcPr>
          <w:p>
            <w:pPr>
              <w:ind w:left="100"/>
              <w:spacing w:after="0" w:line="177" w:lineRule="exact"/>
              <w:rPr>
                <w:sz w:val="20"/>
                <w:szCs w:val="20"/>
                <w:color w:val="auto"/>
              </w:rPr>
            </w:pPr>
            <w:r>
              <w:rPr>
                <w:rFonts w:ascii="Arial" w:cs="Arial" w:eastAsia="Arial" w:hAnsi="Arial"/>
                <w:sz w:val="14"/>
                <w:szCs w:val="14"/>
                <w:b w:val="1"/>
                <w:bCs w:val="1"/>
                <w:color w:val="auto"/>
              </w:rPr>
              <w:t xml:space="preserve">Benefits </w:t>
            </w:r>
            <w:r>
              <w:rPr>
                <w:rFonts w:ascii="Arial" w:cs="Arial" w:eastAsia="Arial" w:hAnsi="Arial"/>
                <w:sz w:val="20"/>
                <w:szCs w:val="20"/>
                <w:b w:val="1"/>
                <w:bCs w:val="1"/>
                <w:color w:val="auto"/>
                <w:vertAlign w:val="superscript"/>
              </w:rPr>
              <w:t>(1)</w:t>
            </w:r>
          </w:p>
        </w:tc>
      </w:tr>
      <w:tr>
        <w:trPr>
          <w:trHeight w:val="149"/>
        </w:trPr>
        <w:tc>
          <w:tcPr>
            <w:tcW w:w="1440" w:type="dxa"/>
            <w:vAlign w:val="bottom"/>
            <w:gridSpan w:val="2"/>
            <w:shd w:val="clear" w:color="auto" w:fill="DCDDDE"/>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600" w:type="dxa"/>
            <w:vAlign w:val="bottom"/>
            <w:shd w:val="clear" w:color="auto" w:fill="DCDDDE"/>
          </w:tcPr>
          <w:p>
            <w:pPr>
              <w:ind w:left="60"/>
              <w:spacing w:after="0" w:line="149" w:lineRule="exact"/>
              <w:rPr>
                <w:sz w:val="20"/>
                <w:szCs w:val="20"/>
                <w:color w:val="auto"/>
              </w:rPr>
            </w:pPr>
            <w:r>
              <w:rPr>
                <w:rFonts w:ascii="Arial" w:cs="Arial" w:eastAsia="Arial" w:hAnsi="Arial"/>
                <w:sz w:val="14"/>
                <w:szCs w:val="14"/>
                <w:color w:val="auto"/>
              </w:rPr>
              <w:t>None</w:t>
            </w:r>
          </w:p>
        </w:tc>
        <w:tc>
          <w:tcPr>
            <w:tcW w:w="1960" w:type="dxa"/>
            <w:vAlign w:val="bottom"/>
            <w:shd w:val="clear" w:color="auto" w:fill="DCDDDE"/>
          </w:tcPr>
          <w:p>
            <w:pPr>
              <w:ind w:left="460"/>
              <w:spacing w:after="0" w:line="149" w:lineRule="exact"/>
              <w:rPr>
                <w:sz w:val="20"/>
                <w:szCs w:val="20"/>
                <w:color w:val="auto"/>
              </w:rPr>
            </w:pPr>
            <w:r>
              <w:rPr>
                <w:rFonts w:ascii="Arial" w:cs="Arial" w:eastAsia="Arial" w:hAnsi="Arial"/>
                <w:sz w:val="14"/>
                <w:szCs w:val="14"/>
                <w:color w:val="auto"/>
              </w:rPr>
              <w:t>Forfeited</w:t>
            </w:r>
          </w:p>
        </w:tc>
        <w:tc>
          <w:tcPr>
            <w:tcW w:w="2440" w:type="dxa"/>
            <w:vAlign w:val="bottom"/>
            <w:shd w:val="clear" w:color="auto" w:fill="DCDDDE"/>
          </w:tcPr>
          <w:p>
            <w:pPr>
              <w:ind w:left="500"/>
              <w:spacing w:after="0" w:line="149" w:lineRule="exact"/>
              <w:rPr>
                <w:sz w:val="20"/>
                <w:szCs w:val="20"/>
                <w:color w:val="auto"/>
              </w:rPr>
            </w:pPr>
            <w:r>
              <w:rPr>
                <w:rFonts w:ascii="Arial" w:cs="Arial" w:eastAsia="Arial" w:hAnsi="Arial"/>
                <w:sz w:val="14"/>
                <w:szCs w:val="14"/>
                <w:color w:val="auto"/>
              </w:rPr>
              <w:t>Stock options forfeited if</w:t>
            </w:r>
          </w:p>
        </w:tc>
        <w:tc>
          <w:tcPr>
            <w:tcW w:w="1980" w:type="dxa"/>
            <w:vAlign w:val="bottom"/>
            <w:shd w:val="clear" w:color="auto" w:fill="DCDDDE"/>
          </w:tcPr>
          <w:p>
            <w:pPr>
              <w:ind w:left="80"/>
              <w:spacing w:after="0" w:line="149" w:lineRule="exact"/>
              <w:rPr>
                <w:sz w:val="20"/>
                <w:szCs w:val="20"/>
                <w:color w:val="auto"/>
              </w:rPr>
            </w:pPr>
            <w:r>
              <w:rPr>
                <w:rFonts w:ascii="Arial" w:cs="Arial" w:eastAsia="Arial" w:hAnsi="Arial"/>
                <w:sz w:val="14"/>
                <w:szCs w:val="14"/>
                <w:color w:val="auto"/>
              </w:rPr>
              <w:t>None, except as required by</w:t>
            </w:r>
          </w:p>
        </w:tc>
        <w:tc>
          <w:tcPr>
            <w:tcW w:w="2000" w:type="dxa"/>
            <w:vAlign w:val="bottom"/>
            <w:shd w:val="clear" w:color="auto" w:fill="DCDDDE"/>
          </w:tcPr>
          <w:p>
            <w:pPr>
              <w:ind w:left="100"/>
              <w:spacing w:after="0" w:line="149" w:lineRule="exact"/>
              <w:rPr>
                <w:sz w:val="20"/>
                <w:szCs w:val="20"/>
                <w:color w:val="auto"/>
              </w:rPr>
            </w:pPr>
            <w:r>
              <w:rPr>
                <w:rFonts w:ascii="Arial" w:cs="Arial" w:eastAsia="Arial" w:hAnsi="Arial"/>
                <w:sz w:val="14"/>
                <w:szCs w:val="14"/>
                <w:color w:val="auto"/>
              </w:rPr>
              <w:t>Payable</w:t>
            </w:r>
          </w:p>
        </w:tc>
      </w:tr>
      <w:tr>
        <w:trPr>
          <w:trHeight w:val="162"/>
        </w:trPr>
        <w:tc>
          <w:tcPr>
            <w:tcW w:w="700" w:type="dxa"/>
            <w:vAlign w:val="bottom"/>
            <w:shd w:val="clear" w:color="auto" w:fill="DCDDDE"/>
          </w:tcPr>
          <w:p>
            <w:pPr>
              <w:spacing w:after="0"/>
              <w:rPr>
                <w:sz w:val="20"/>
                <w:szCs w:val="20"/>
                <w:color w:val="auto"/>
              </w:rPr>
            </w:pPr>
            <w:r>
              <w:rPr>
                <w:rFonts w:ascii="Arial" w:cs="Arial" w:eastAsia="Arial" w:hAnsi="Arial"/>
                <w:sz w:val="14"/>
                <w:szCs w:val="14"/>
                <w:b w:val="1"/>
                <w:bCs w:val="1"/>
                <w:color w:val="auto"/>
              </w:rPr>
              <w:t>for</w:t>
            </w:r>
          </w:p>
        </w:tc>
        <w:tc>
          <w:tcPr>
            <w:tcW w:w="740" w:type="dxa"/>
            <w:vAlign w:val="bottom"/>
            <w:shd w:val="clear" w:color="auto" w:fill="DCDDDE"/>
          </w:tcPr>
          <w:p>
            <w:pPr>
              <w:ind w:left="100"/>
              <w:spacing w:after="0"/>
              <w:rPr>
                <w:sz w:val="20"/>
                <w:szCs w:val="20"/>
                <w:color w:val="auto"/>
              </w:rPr>
            </w:pPr>
            <w:r>
              <w:rPr>
                <w:rFonts w:ascii="Arial" w:cs="Arial" w:eastAsia="Arial" w:hAnsi="Arial"/>
                <w:sz w:val="14"/>
                <w:szCs w:val="14"/>
                <w:b w:val="1"/>
                <w:bCs w:val="1"/>
                <w:color w:val="auto"/>
              </w:rPr>
              <w:t>“Cause”</w:t>
            </w:r>
          </w:p>
        </w:tc>
        <w:tc>
          <w:tcPr>
            <w:tcW w:w="1600" w:type="dxa"/>
            <w:vAlign w:val="bottom"/>
            <w:shd w:val="clear" w:color="auto" w:fill="DCDDDE"/>
          </w:tcPr>
          <w:p>
            <w:pPr>
              <w:spacing w:after="0"/>
              <w:rPr>
                <w:sz w:val="14"/>
                <w:szCs w:val="14"/>
                <w:color w:val="auto"/>
              </w:rPr>
            </w:pPr>
          </w:p>
        </w:tc>
        <w:tc>
          <w:tcPr>
            <w:tcW w:w="1960" w:type="dxa"/>
            <w:vAlign w:val="bottom"/>
            <w:shd w:val="clear" w:color="auto" w:fill="DCDDDE"/>
          </w:tcPr>
          <w:p>
            <w:pPr>
              <w:spacing w:after="0"/>
              <w:rPr>
                <w:sz w:val="14"/>
                <w:szCs w:val="14"/>
                <w:color w:val="auto"/>
              </w:rPr>
            </w:pPr>
          </w:p>
        </w:tc>
        <w:tc>
          <w:tcPr>
            <w:tcW w:w="2440" w:type="dxa"/>
            <w:vAlign w:val="bottom"/>
            <w:shd w:val="clear" w:color="auto" w:fill="DCDDDE"/>
          </w:tcPr>
          <w:p>
            <w:pPr>
              <w:ind w:left="500"/>
              <w:spacing w:after="0"/>
              <w:rPr>
                <w:sz w:val="20"/>
                <w:szCs w:val="20"/>
                <w:color w:val="auto"/>
              </w:rPr>
            </w:pPr>
            <w:r>
              <w:rPr>
                <w:rFonts w:ascii="Arial" w:cs="Arial" w:eastAsia="Arial" w:hAnsi="Arial"/>
                <w:sz w:val="14"/>
                <w:szCs w:val="14"/>
                <w:color w:val="auto"/>
              </w:rPr>
              <w:t>termination “for cause” and</w:t>
            </w:r>
          </w:p>
        </w:tc>
        <w:tc>
          <w:tcPr>
            <w:tcW w:w="1980" w:type="dxa"/>
            <w:vAlign w:val="bottom"/>
            <w:shd w:val="clear" w:color="auto" w:fill="DCDDDE"/>
          </w:tcPr>
          <w:p>
            <w:pPr>
              <w:ind w:left="80"/>
              <w:spacing w:after="0"/>
              <w:rPr>
                <w:sz w:val="20"/>
                <w:szCs w:val="20"/>
                <w:color w:val="auto"/>
              </w:rPr>
            </w:pPr>
            <w:r>
              <w:rPr>
                <w:rFonts w:ascii="Arial" w:cs="Arial" w:eastAsia="Arial" w:hAnsi="Arial"/>
                <w:sz w:val="14"/>
                <w:szCs w:val="14"/>
                <w:color w:val="auto"/>
              </w:rPr>
              <w:t>law; retiree medical if certain</w:t>
            </w:r>
          </w:p>
        </w:tc>
        <w:tc>
          <w:tcPr>
            <w:tcW w:w="2000" w:type="dxa"/>
            <w:vAlign w:val="bottom"/>
            <w:shd w:val="clear" w:color="auto" w:fill="DCDDDE"/>
          </w:tcPr>
          <w:p>
            <w:pPr>
              <w:ind w:left="100"/>
              <w:spacing w:after="0"/>
              <w:rPr>
                <w:sz w:val="20"/>
                <w:szCs w:val="20"/>
                <w:color w:val="auto"/>
              </w:rPr>
            </w:pPr>
            <w:r>
              <w:rPr>
                <w:rFonts w:ascii="Arial" w:cs="Arial" w:eastAsia="Arial" w:hAnsi="Arial"/>
                <w:sz w:val="14"/>
                <w:szCs w:val="14"/>
                <w:color w:val="auto"/>
              </w:rPr>
              <w:t>through date of</w:t>
            </w:r>
          </w:p>
        </w:tc>
      </w:tr>
      <w:tr>
        <w:trPr>
          <w:trHeight w:val="162"/>
        </w:trPr>
        <w:tc>
          <w:tcPr>
            <w:tcW w:w="1440" w:type="dxa"/>
            <w:vAlign w:val="bottom"/>
            <w:gridSpan w:val="2"/>
            <w:shd w:val="clear" w:color="auto" w:fill="DCDDDE"/>
          </w:tcPr>
          <w:p>
            <w:pPr>
              <w:spacing w:after="0"/>
              <w:rPr>
                <w:sz w:val="20"/>
                <w:szCs w:val="20"/>
                <w:color w:val="auto"/>
              </w:rPr>
            </w:pPr>
            <w:r>
              <w:rPr>
                <w:rFonts w:ascii="Arial" w:cs="Arial" w:eastAsia="Arial" w:hAnsi="Arial"/>
                <w:sz w:val="14"/>
                <w:szCs w:val="14"/>
                <w:b w:val="1"/>
                <w:bCs w:val="1"/>
                <w:color w:val="auto"/>
              </w:rPr>
              <w:t>or Resignation</w:t>
            </w:r>
          </w:p>
        </w:tc>
        <w:tc>
          <w:tcPr>
            <w:tcW w:w="1600" w:type="dxa"/>
            <w:vAlign w:val="bottom"/>
            <w:shd w:val="clear" w:color="auto" w:fill="DCDDDE"/>
          </w:tcPr>
          <w:p>
            <w:pPr>
              <w:spacing w:after="0"/>
              <w:rPr>
                <w:sz w:val="14"/>
                <w:szCs w:val="14"/>
                <w:color w:val="auto"/>
              </w:rPr>
            </w:pPr>
          </w:p>
        </w:tc>
        <w:tc>
          <w:tcPr>
            <w:tcW w:w="1960" w:type="dxa"/>
            <w:vAlign w:val="bottom"/>
            <w:shd w:val="clear" w:color="auto" w:fill="DCDDDE"/>
          </w:tcPr>
          <w:p>
            <w:pPr>
              <w:spacing w:after="0"/>
              <w:rPr>
                <w:sz w:val="14"/>
                <w:szCs w:val="14"/>
                <w:color w:val="auto"/>
              </w:rPr>
            </w:pPr>
          </w:p>
        </w:tc>
        <w:tc>
          <w:tcPr>
            <w:tcW w:w="2440" w:type="dxa"/>
            <w:vAlign w:val="bottom"/>
            <w:shd w:val="clear" w:color="auto" w:fill="DCDDDE"/>
          </w:tcPr>
          <w:p>
            <w:pPr>
              <w:ind w:left="500"/>
              <w:spacing w:after="0"/>
              <w:rPr>
                <w:sz w:val="20"/>
                <w:szCs w:val="20"/>
                <w:color w:val="auto"/>
              </w:rPr>
            </w:pPr>
            <w:r>
              <w:rPr>
                <w:rFonts w:ascii="Arial" w:cs="Arial" w:eastAsia="Arial" w:hAnsi="Arial"/>
                <w:sz w:val="14"/>
                <w:szCs w:val="14"/>
                <w:color w:val="auto"/>
              </w:rPr>
              <w:t>generally exercisable for a</w:t>
            </w:r>
          </w:p>
        </w:tc>
        <w:tc>
          <w:tcPr>
            <w:tcW w:w="1980" w:type="dxa"/>
            <w:vAlign w:val="bottom"/>
            <w:shd w:val="clear" w:color="auto" w:fill="DCDDDE"/>
          </w:tcPr>
          <w:p>
            <w:pPr>
              <w:ind w:left="80"/>
              <w:spacing w:after="0"/>
              <w:rPr>
                <w:sz w:val="20"/>
                <w:szCs w:val="20"/>
                <w:color w:val="auto"/>
              </w:rPr>
            </w:pPr>
            <w:r>
              <w:rPr>
                <w:rFonts w:ascii="Arial" w:cs="Arial" w:eastAsia="Arial" w:hAnsi="Arial"/>
                <w:sz w:val="14"/>
                <w:szCs w:val="14"/>
                <w:color w:val="auto"/>
              </w:rPr>
              <w:t>conditions met</w:t>
            </w:r>
          </w:p>
        </w:tc>
        <w:tc>
          <w:tcPr>
            <w:tcW w:w="2000" w:type="dxa"/>
            <w:vAlign w:val="bottom"/>
            <w:shd w:val="clear" w:color="auto" w:fill="DCDDDE"/>
          </w:tcPr>
          <w:p>
            <w:pPr>
              <w:ind w:left="100"/>
              <w:spacing w:after="0"/>
              <w:rPr>
                <w:sz w:val="20"/>
                <w:szCs w:val="20"/>
                <w:color w:val="auto"/>
              </w:rPr>
            </w:pPr>
            <w:r>
              <w:rPr>
                <w:rFonts w:ascii="Arial" w:cs="Arial" w:eastAsia="Arial" w:hAnsi="Arial"/>
                <w:sz w:val="14"/>
                <w:szCs w:val="14"/>
                <w:color w:val="auto"/>
              </w:rPr>
              <w:t>termination</w:t>
            </w:r>
          </w:p>
        </w:tc>
      </w:tr>
      <w:tr>
        <w:trPr>
          <w:trHeight w:val="162"/>
        </w:trPr>
        <w:tc>
          <w:tcPr>
            <w:tcW w:w="1440" w:type="dxa"/>
            <w:vAlign w:val="bottom"/>
            <w:gridSpan w:val="2"/>
            <w:shd w:val="clear" w:color="auto" w:fill="DCDDDE"/>
          </w:tcPr>
          <w:p>
            <w:pPr>
              <w:spacing w:after="0"/>
              <w:rPr>
                <w:sz w:val="20"/>
                <w:szCs w:val="20"/>
                <w:color w:val="auto"/>
              </w:rPr>
            </w:pPr>
            <w:r>
              <w:rPr>
                <w:rFonts w:ascii="Arial" w:cs="Arial" w:eastAsia="Arial" w:hAnsi="Arial"/>
                <w:sz w:val="14"/>
                <w:szCs w:val="14"/>
                <w:b w:val="1"/>
                <w:bCs w:val="1"/>
                <w:color w:val="auto"/>
              </w:rPr>
              <w:t>without “Good</w:t>
            </w:r>
          </w:p>
        </w:tc>
        <w:tc>
          <w:tcPr>
            <w:tcW w:w="1600" w:type="dxa"/>
            <w:vAlign w:val="bottom"/>
            <w:shd w:val="clear" w:color="auto" w:fill="DCDDDE"/>
          </w:tcPr>
          <w:p>
            <w:pPr>
              <w:spacing w:after="0"/>
              <w:rPr>
                <w:sz w:val="14"/>
                <w:szCs w:val="14"/>
                <w:color w:val="auto"/>
              </w:rPr>
            </w:pPr>
          </w:p>
        </w:tc>
        <w:tc>
          <w:tcPr>
            <w:tcW w:w="1960" w:type="dxa"/>
            <w:vAlign w:val="bottom"/>
            <w:shd w:val="clear" w:color="auto" w:fill="DCDDDE"/>
          </w:tcPr>
          <w:p>
            <w:pPr>
              <w:spacing w:after="0"/>
              <w:rPr>
                <w:sz w:val="14"/>
                <w:szCs w:val="14"/>
                <w:color w:val="auto"/>
              </w:rPr>
            </w:pPr>
          </w:p>
        </w:tc>
        <w:tc>
          <w:tcPr>
            <w:tcW w:w="2440" w:type="dxa"/>
            <w:vAlign w:val="bottom"/>
            <w:shd w:val="clear" w:color="auto" w:fill="DCDDDE"/>
          </w:tcPr>
          <w:p>
            <w:pPr>
              <w:ind w:left="500"/>
              <w:spacing w:after="0"/>
              <w:rPr>
                <w:sz w:val="20"/>
                <w:szCs w:val="20"/>
                <w:color w:val="auto"/>
              </w:rPr>
            </w:pPr>
            <w:r>
              <w:rPr>
                <w:rFonts w:ascii="Arial" w:cs="Arial" w:eastAsia="Arial" w:hAnsi="Arial"/>
                <w:sz w:val="14"/>
                <w:szCs w:val="14"/>
                <w:color w:val="auto"/>
              </w:rPr>
              <w:t>set time if resignation without</w:t>
            </w:r>
          </w:p>
        </w:tc>
        <w:tc>
          <w:tcPr>
            <w:tcW w:w="1980" w:type="dxa"/>
            <w:vAlign w:val="bottom"/>
            <w:shd w:val="clear" w:color="auto" w:fill="DCDDDE"/>
          </w:tcPr>
          <w:p>
            <w:pPr>
              <w:spacing w:after="0"/>
              <w:rPr>
                <w:sz w:val="14"/>
                <w:szCs w:val="14"/>
                <w:color w:val="auto"/>
              </w:rPr>
            </w:pPr>
          </w:p>
        </w:tc>
        <w:tc>
          <w:tcPr>
            <w:tcW w:w="2000" w:type="dxa"/>
            <w:vAlign w:val="bottom"/>
            <w:shd w:val="clear" w:color="auto" w:fill="DCDDDE"/>
          </w:tcPr>
          <w:p>
            <w:pPr>
              <w:spacing w:after="0"/>
              <w:rPr>
                <w:sz w:val="14"/>
                <w:szCs w:val="14"/>
                <w:color w:val="auto"/>
              </w:rPr>
            </w:pPr>
          </w:p>
        </w:tc>
      </w:tr>
      <w:tr>
        <w:trPr>
          <w:trHeight w:val="175"/>
        </w:trPr>
        <w:tc>
          <w:tcPr>
            <w:tcW w:w="700" w:type="dxa"/>
            <w:vAlign w:val="bottom"/>
            <w:shd w:val="clear" w:color="auto" w:fill="DCDDDE"/>
          </w:tcPr>
          <w:p>
            <w:pPr>
              <w:spacing w:after="0"/>
              <w:rPr>
                <w:sz w:val="20"/>
                <w:szCs w:val="20"/>
                <w:color w:val="auto"/>
              </w:rPr>
            </w:pPr>
            <w:r>
              <w:rPr>
                <w:rFonts w:ascii="Arial" w:cs="Arial" w:eastAsia="Arial" w:hAnsi="Arial"/>
                <w:sz w:val="14"/>
                <w:szCs w:val="14"/>
                <w:b w:val="1"/>
                <w:bCs w:val="1"/>
                <w:color w:val="auto"/>
              </w:rPr>
              <w:t>Reason”</w:t>
            </w:r>
          </w:p>
        </w:tc>
        <w:tc>
          <w:tcPr>
            <w:tcW w:w="740" w:type="dxa"/>
            <w:vAlign w:val="bottom"/>
            <w:shd w:val="clear" w:color="auto" w:fill="DCDDDE"/>
          </w:tcPr>
          <w:p>
            <w:pPr>
              <w:spacing w:after="0"/>
              <w:rPr>
                <w:sz w:val="15"/>
                <w:szCs w:val="15"/>
                <w:color w:val="auto"/>
              </w:rPr>
            </w:pPr>
          </w:p>
        </w:tc>
        <w:tc>
          <w:tcPr>
            <w:tcW w:w="1600" w:type="dxa"/>
            <w:vAlign w:val="bottom"/>
            <w:shd w:val="clear" w:color="auto" w:fill="DCDDDE"/>
          </w:tcPr>
          <w:p>
            <w:pPr>
              <w:spacing w:after="0"/>
              <w:rPr>
                <w:sz w:val="15"/>
                <w:szCs w:val="15"/>
                <w:color w:val="auto"/>
              </w:rPr>
            </w:pPr>
          </w:p>
        </w:tc>
        <w:tc>
          <w:tcPr>
            <w:tcW w:w="1960" w:type="dxa"/>
            <w:vAlign w:val="bottom"/>
            <w:shd w:val="clear" w:color="auto" w:fill="DCDDDE"/>
          </w:tcPr>
          <w:p>
            <w:pPr>
              <w:spacing w:after="0"/>
              <w:rPr>
                <w:sz w:val="15"/>
                <w:szCs w:val="15"/>
                <w:color w:val="auto"/>
              </w:rPr>
            </w:pPr>
          </w:p>
        </w:tc>
        <w:tc>
          <w:tcPr>
            <w:tcW w:w="2440" w:type="dxa"/>
            <w:vAlign w:val="bottom"/>
            <w:shd w:val="clear" w:color="auto" w:fill="DCDDDE"/>
          </w:tcPr>
          <w:p>
            <w:pPr>
              <w:ind w:left="500"/>
              <w:spacing w:after="0"/>
              <w:rPr>
                <w:sz w:val="20"/>
                <w:szCs w:val="20"/>
                <w:color w:val="auto"/>
              </w:rPr>
            </w:pPr>
            <w:r>
              <w:rPr>
                <w:rFonts w:ascii="Arial" w:cs="Arial" w:eastAsia="Arial" w:hAnsi="Arial"/>
                <w:sz w:val="14"/>
                <w:szCs w:val="14"/>
                <w:color w:val="auto"/>
              </w:rPr>
              <w:t>“good reason”</w:t>
            </w:r>
          </w:p>
        </w:tc>
        <w:tc>
          <w:tcPr>
            <w:tcW w:w="1980" w:type="dxa"/>
            <w:vAlign w:val="bottom"/>
            <w:shd w:val="clear" w:color="auto" w:fill="DCDDDE"/>
          </w:tcPr>
          <w:p>
            <w:pPr>
              <w:spacing w:after="0"/>
              <w:rPr>
                <w:sz w:val="15"/>
                <w:szCs w:val="15"/>
                <w:color w:val="auto"/>
              </w:rPr>
            </w:pPr>
          </w:p>
        </w:tc>
        <w:tc>
          <w:tcPr>
            <w:tcW w:w="2000" w:type="dxa"/>
            <w:vAlign w:val="bottom"/>
            <w:shd w:val="clear" w:color="auto" w:fill="DCDDDE"/>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440"/>
          </w:cols>
          <w:pgMar w:left="240" w:top="125" w:right="2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Generally capped at 2x base</w:t>
            </w: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rPr>
              <w:t>Generally accelerated</w:t>
            </w:r>
          </w:p>
        </w:tc>
        <w:tc>
          <w:tcPr>
            <w:tcW w:w="1660" w:type="dxa"/>
            <w:vAlign w:val="bottom"/>
          </w:tcPr>
          <w:p>
            <w:pPr>
              <w:ind w:left="60"/>
              <w:spacing w:after="0" w:line="149" w:lineRule="exact"/>
              <w:rPr>
                <w:sz w:val="20"/>
                <w:szCs w:val="20"/>
                <w:color w:val="auto"/>
              </w:rPr>
            </w:pPr>
            <w:r>
              <w:rPr>
                <w:rFonts w:ascii="Arial" w:cs="Arial" w:eastAsia="Arial" w:hAnsi="Arial"/>
                <w:sz w:val="14"/>
                <w:szCs w:val="14"/>
                <w:color w:val="auto"/>
              </w:rPr>
              <w:t>Stock options generally</w:t>
            </w:r>
          </w:p>
        </w:tc>
      </w:tr>
      <w:tr>
        <w:trPr>
          <w:trHeight w:val="162"/>
        </w:trPr>
        <w:tc>
          <w:tcPr>
            <w:tcW w:w="1320" w:type="dxa"/>
            <w:vAlign w:val="bottom"/>
          </w:tcPr>
          <w:p>
            <w:pPr>
              <w:spacing w:after="0"/>
              <w:rPr>
                <w:sz w:val="20"/>
                <w:szCs w:val="20"/>
                <w:color w:val="auto"/>
              </w:rPr>
            </w:pPr>
            <w:r>
              <w:rPr>
                <w:rFonts w:ascii="Arial" w:cs="Arial" w:eastAsia="Arial" w:hAnsi="Arial"/>
                <w:sz w:val="14"/>
                <w:szCs w:val="14"/>
                <w:b w:val="1"/>
                <w:bCs w:val="1"/>
                <w:color w:val="auto"/>
              </w:rPr>
              <w:t>without “Cause”</w:t>
            </w:r>
          </w:p>
        </w:tc>
        <w:tc>
          <w:tcPr>
            <w:tcW w:w="2080" w:type="dxa"/>
            <w:vAlign w:val="bottom"/>
          </w:tcPr>
          <w:p>
            <w:pPr>
              <w:ind w:left="180"/>
              <w:spacing w:after="0"/>
              <w:rPr>
                <w:sz w:val="20"/>
                <w:szCs w:val="20"/>
                <w:color w:val="auto"/>
              </w:rPr>
            </w:pPr>
            <w:r>
              <w:rPr>
                <w:rFonts w:ascii="Arial" w:cs="Arial" w:eastAsia="Arial" w:hAnsi="Arial"/>
                <w:sz w:val="14"/>
                <w:szCs w:val="14"/>
                <w:color w:val="auto"/>
              </w:rPr>
              <w:t>and bonus amount; benefits</w:t>
            </w:r>
          </w:p>
        </w:tc>
        <w:tc>
          <w:tcPr>
            <w:tcW w:w="2040" w:type="dxa"/>
            <w:vAlign w:val="bottom"/>
          </w:tcPr>
          <w:p>
            <w:pPr>
              <w:ind w:left="100"/>
              <w:spacing w:after="0"/>
              <w:rPr>
                <w:sz w:val="20"/>
                <w:szCs w:val="20"/>
                <w:color w:val="auto"/>
              </w:rPr>
            </w:pPr>
            <w:r>
              <w:rPr>
                <w:rFonts w:ascii="Arial" w:cs="Arial" w:eastAsia="Arial" w:hAnsi="Arial"/>
                <w:sz w:val="14"/>
                <w:szCs w:val="14"/>
                <w:color w:val="auto"/>
              </w:rPr>
              <w:t>vesting of at least a portion of</w:t>
            </w:r>
          </w:p>
        </w:tc>
        <w:tc>
          <w:tcPr>
            <w:tcW w:w="1660" w:type="dxa"/>
            <w:vAlign w:val="bottom"/>
          </w:tcPr>
          <w:p>
            <w:pPr>
              <w:ind w:left="60"/>
              <w:spacing w:after="0"/>
              <w:rPr>
                <w:sz w:val="20"/>
                <w:szCs w:val="20"/>
                <w:color w:val="auto"/>
              </w:rPr>
            </w:pPr>
            <w:r>
              <w:rPr>
                <w:rFonts w:ascii="Arial" w:cs="Arial" w:eastAsia="Arial" w:hAnsi="Arial"/>
                <w:sz w:val="14"/>
                <w:szCs w:val="14"/>
                <w:color w:val="auto"/>
              </w:rPr>
              <w:t>exercisable for a set time</w:t>
            </w:r>
          </w:p>
        </w:tc>
      </w:tr>
      <w:tr>
        <w:trPr>
          <w:trHeight w:val="162"/>
        </w:trPr>
        <w:tc>
          <w:tcPr>
            <w:tcW w:w="1320" w:type="dxa"/>
            <w:vAlign w:val="bottom"/>
          </w:tcPr>
          <w:p>
            <w:pPr>
              <w:spacing w:after="0"/>
              <w:rPr>
                <w:sz w:val="20"/>
                <w:szCs w:val="20"/>
                <w:color w:val="auto"/>
              </w:rPr>
            </w:pPr>
            <w:r>
              <w:rPr>
                <w:rFonts w:ascii="Arial" w:cs="Arial" w:eastAsia="Arial" w:hAnsi="Arial"/>
                <w:sz w:val="14"/>
                <w:szCs w:val="14"/>
                <w:b w:val="1"/>
                <w:bCs w:val="1"/>
                <w:color w:val="auto"/>
              </w:rPr>
              <w:t>or Resignation</w:t>
            </w:r>
          </w:p>
        </w:tc>
        <w:tc>
          <w:tcPr>
            <w:tcW w:w="2080" w:type="dxa"/>
            <w:vAlign w:val="bottom"/>
          </w:tcPr>
          <w:p>
            <w:pPr>
              <w:ind w:left="180"/>
              <w:spacing w:after="0"/>
              <w:rPr>
                <w:sz w:val="20"/>
                <w:szCs w:val="20"/>
                <w:color w:val="auto"/>
              </w:rPr>
            </w:pPr>
            <w:r>
              <w:rPr>
                <w:rFonts w:ascii="Arial" w:cs="Arial" w:eastAsia="Arial" w:hAnsi="Arial"/>
                <w:sz w:val="14"/>
                <w:szCs w:val="14"/>
                <w:color w:val="auto"/>
              </w:rPr>
              <w:t>may be reduced if less than</w:t>
            </w:r>
          </w:p>
        </w:tc>
        <w:tc>
          <w:tcPr>
            <w:tcW w:w="2040" w:type="dxa"/>
            <w:vAlign w:val="bottom"/>
          </w:tcPr>
          <w:p>
            <w:pPr>
              <w:ind w:left="100"/>
              <w:spacing w:after="0"/>
              <w:rPr>
                <w:sz w:val="20"/>
                <w:szCs w:val="20"/>
                <w:color w:val="auto"/>
              </w:rPr>
            </w:pPr>
            <w:r>
              <w:rPr>
                <w:rFonts w:ascii="Arial" w:cs="Arial" w:eastAsia="Arial" w:hAnsi="Arial"/>
                <w:sz w:val="14"/>
                <w:szCs w:val="14"/>
                <w:color w:val="auto"/>
              </w:rPr>
              <w:t>awards</w:t>
            </w:r>
          </w:p>
        </w:tc>
        <w:tc>
          <w:tcPr>
            <w:tcW w:w="1660" w:type="dxa"/>
            <w:vAlign w:val="bottom"/>
          </w:tcPr>
          <w:p>
            <w:pPr>
              <w:spacing w:after="0"/>
              <w:rPr>
                <w:sz w:val="14"/>
                <w:szCs w:val="14"/>
                <w:color w:val="auto"/>
              </w:rPr>
            </w:pPr>
          </w:p>
        </w:tc>
      </w:tr>
      <w:tr>
        <w:trPr>
          <w:trHeight w:val="162"/>
        </w:trPr>
        <w:tc>
          <w:tcPr>
            <w:tcW w:w="1320" w:type="dxa"/>
            <w:vAlign w:val="bottom"/>
          </w:tcPr>
          <w:p>
            <w:pPr>
              <w:spacing w:after="0"/>
              <w:rPr>
                <w:sz w:val="20"/>
                <w:szCs w:val="20"/>
                <w:color w:val="auto"/>
              </w:rPr>
            </w:pPr>
            <w:r>
              <w:rPr>
                <w:rFonts w:ascii="Arial" w:cs="Arial" w:eastAsia="Arial" w:hAnsi="Arial"/>
                <w:sz w:val="14"/>
                <w:szCs w:val="14"/>
                <w:b w:val="1"/>
                <w:bCs w:val="1"/>
                <w:color w:val="auto"/>
              </w:rPr>
              <w:t>for “Good</w:t>
            </w:r>
          </w:p>
        </w:tc>
        <w:tc>
          <w:tcPr>
            <w:tcW w:w="2080" w:type="dxa"/>
            <w:vAlign w:val="bottom"/>
          </w:tcPr>
          <w:p>
            <w:pPr>
              <w:ind w:left="180"/>
              <w:spacing w:after="0"/>
              <w:rPr>
                <w:sz w:val="20"/>
                <w:szCs w:val="20"/>
                <w:color w:val="auto"/>
              </w:rPr>
            </w:pPr>
            <w:r>
              <w:rPr>
                <w:rFonts w:ascii="Arial" w:cs="Arial" w:eastAsia="Arial" w:hAnsi="Arial"/>
                <w:sz w:val="14"/>
                <w:szCs w:val="14"/>
                <w:color w:val="auto"/>
              </w:rPr>
              <w:t>2 years remain in contract</w:t>
            </w:r>
          </w:p>
        </w:tc>
        <w:tc>
          <w:tcPr>
            <w:tcW w:w="20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3"/>
        </w:trPr>
        <w:tc>
          <w:tcPr>
            <w:tcW w:w="1320" w:type="dxa"/>
            <w:vAlign w:val="bottom"/>
          </w:tcPr>
          <w:p>
            <w:pPr>
              <w:spacing w:after="0"/>
              <w:rPr>
                <w:sz w:val="20"/>
                <w:szCs w:val="20"/>
                <w:color w:val="auto"/>
              </w:rPr>
            </w:pPr>
            <w:r>
              <w:rPr>
                <w:rFonts w:ascii="Arial" w:cs="Arial" w:eastAsia="Arial" w:hAnsi="Arial"/>
                <w:sz w:val="14"/>
                <w:szCs w:val="14"/>
                <w:b w:val="1"/>
                <w:bCs w:val="1"/>
                <w:color w:val="auto"/>
              </w:rPr>
              <w:t>Reason”</w:t>
            </w:r>
          </w:p>
        </w:tc>
        <w:tc>
          <w:tcPr>
            <w:tcW w:w="2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tabs>
          <w:tab w:leader="none" w:pos="1980" w:val="left"/>
        </w:tabs>
        <w:rPr>
          <w:sz w:val="20"/>
          <w:szCs w:val="20"/>
          <w:color w:val="auto"/>
        </w:rPr>
      </w:pPr>
      <w:r>
        <w:rPr>
          <w:rFonts w:ascii="Arial" w:cs="Arial" w:eastAsia="Arial" w:hAnsi="Arial"/>
          <w:sz w:val="14"/>
          <w:szCs w:val="14"/>
          <w:color w:val="auto"/>
        </w:rPr>
        <w:t>Company-paid health and</w:t>
      </w:r>
      <w:r>
        <w:rPr>
          <w:sz w:val="20"/>
          <w:szCs w:val="20"/>
          <w:color w:val="auto"/>
        </w:rPr>
        <w:tab/>
      </w:r>
      <w:r>
        <w:rPr>
          <w:rFonts w:ascii="Arial" w:cs="Arial" w:eastAsia="Arial" w:hAnsi="Arial"/>
          <w:sz w:val="14"/>
          <w:szCs w:val="14"/>
          <w:color w:val="auto"/>
        </w:rPr>
        <w:t>Payable</w:t>
      </w:r>
    </w:p>
    <w:p>
      <w:pPr>
        <w:spacing w:after="0" w:line="1"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welfare and life insurance</w:t>
      </w:r>
      <w:r>
        <w:rPr>
          <w:sz w:val="20"/>
          <w:szCs w:val="20"/>
          <w:color w:val="auto"/>
        </w:rPr>
        <w:tab/>
      </w:r>
      <w:r>
        <w:rPr>
          <w:rFonts w:ascii="Arial" w:cs="Arial" w:eastAsia="Arial" w:hAnsi="Arial"/>
          <w:sz w:val="14"/>
          <w:szCs w:val="14"/>
          <w:color w:val="auto"/>
        </w:rPr>
        <w:t>through date of</w:t>
      </w:r>
    </w:p>
    <w:p>
      <w:pPr>
        <w:spacing w:after="0" w:line="1"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benefits for a set period;</w:t>
      </w:r>
      <w:r>
        <w:rPr>
          <w:sz w:val="20"/>
          <w:szCs w:val="20"/>
          <w:color w:val="auto"/>
        </w:rPr>
        <w:tab/>
      </w:r>
      <w:r>
        <w:rPr>
          <w:rFonts w:ascii="Arial" w:cs="Arial" w:eastAsia="Arial" w:hAnsi="Arial"/>
          <w:sz w:val="14"/>
          <w:szCs w:val="14"/>
          <w:color w:val="auto"/>
        </w:rPr>
        <w:t>termination/</w:t>
      </w:r>
    </w:p>
    <w:p>
      <w:pPr>
        <w:spacing w:after="0" w:line="1"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retiree medical possible</w:t>
      </w:r>
      <w:r>
        <w:rPr>
          <w:sz w:val="20"/>
          <w:szCs w:val="20"/>
          <w:color w:val="auto"/>
        </w:rPr>
        <w:tab/>
      </w:r>
      <w:r>
        <w:rPr>
          <w:rFonts w:ascii="Arial" w:cs="Arial" w:eastAsia="Arial" w:hAnsi="Arial"/>
          <w:sz w:val="14"/>
          <w:szCs w:val="14"/>
          <w:color w:val="auto"/>
        </w:rPr>
        <w:t>resignation</w:t>
      </w:r>
    </w:p>
    <w:p>
      <w:pPr>
        <w:spacing w:after="0" w:line="164" w:lineRule="exact"/>
        <w:rPr>
          <w:sz w:val="20"/>
          <w:szCs w:val="20"/>
          <w:color w:val="auto"/>
        </w:rPr>
      </w:pPr>
    </w:p>
    <w:p>
      <w:pPr>
        <w:sectPr>
          <w:pgSz w:w="11900" w:h="16838" w:orient="portrait"/>
          <w:cols w:equalWidth="0" w:num="2">
            <w:col w:w="7100" w:space="420"/>
            <w:col w:w="3920"/>
          </w:cols>
          <w:pgMar w:left="240" w:top="125" w:right="2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120" w:type="dxa"/>
            <w:vAlign w:val="bottom"/>
            <w:shd w:val="clear" w:color="auto" w:fill="DCDDDE"/>
          </w:tcPr>
          <w:p>
            <w:pPr>
              <w:spacing w:after="0"/>
              <w:rPr>
                <w:sz w:val="20"/>
                <w:szCs w:val="20"/>
                <w:color w:val="auto"/>
              </w:rPr>
            </w:pPr>
            <w:r>
              <w:rPr>
                <w:rFonts w:ascii="Arial" w:cs="Arial" w:eastAsia="Arial" w:hAnsi="Arial"/>
                <w:sz w:val="14"/>
                <w:szCs w:val="14"/>
                <w:b w:val="1"/>
                <w:bCs w:val="1"/>
                <w:color w:val="auto"/>
              </w:rPr>
              <w:t>Retirement</w:t>
            </w:r>
          </w:p>
        </w:tc>
        <w:tc>
          <w:tcPr>
            <w:tcW w:w="1540" w:type="dxa"/>
            <w:vAlign w:val="bottom"/>
            <w:shd w:val="clear" w:color="auto" w:fill="DCDDDE"/>
          </w:tcPr>
          <w:p>
            <w:pPr>
              <w:ind w:left="380"/>
              <w:spacing w:after="0"/>
              <w:rPr>
                <w:sz w:val="20"/>
                <w:szCs w:val="20"/>
                <w:color w:val="auto"/>
              </w:rPr>
            </w:pPr>
            <w:r>
              <w:rPr>
                <w:rFonts w:ascii="Arial" w:cs="Arial" w:eastAsia="Arial" w:hAnsi="Arial"/>
                <w:sz w:val="14"/>
                <w:szCs w:val="14"/>
                <w:color w:val="auto"/>
              </w:rPr>
              <w:t>None</w:t>
            </w:r>
          </w:p>
        </w:tc>
        <w:tc>
          <w:tcPr>
            <w:tcW w:w="2700" w:type="dxa"/>
            <w:vAlign w:val="bottom"/>
            <w:shd w:val="clear" w:color="auto" w:fill="DCDDDE"/>
          </w:tcPr>
          <w:p>
            <w:pPr>
              <w:ind w:left="840"/>
              <w:spacing w:after="0"/>
              <w:rPr>
                <w:sz w:val="20"/>
                <w:szCs w:val="20"/>
                <w:color w:val="auto"/>
              </w:rPr>
            </w:pPr>
            <w:r>
              <w:rPr>
                <w:rFonts w:ascii="Arial" w:cs="Arial" w:eastAsia="Arial" w:hAnsi="Arial"/>
                <w:sz w:val="14"/>
                <w:szCs w:val="14"/>
                <w:color w:val="auto"/>
              </w:rPr>
              <w:t>Stock options and RSUs</w:t>
            </w:r>
          </w:p>
        </w:tc>
        <w:tc>
          <w:tcPr>
            <w:tcW w:w="1900" w:type="dxa"/>
            <w:vAlign w:val="bottom"/>
            <w:shd w:val="clear" w:color="auto" w:fill="DCDDDE"/>
          </w:tcPr>
          <w:p>
            <w:pPr>
              <w:ind w:left="140"/>
              <w:spacing w:after="0"/>
              <w:rPr>
                <w:sz w:val="20"/>
                <w:szCs w:val="20"/>
                <w:color w:val="auto"/>
              </w:rPr>
            </w:pPr>
            <w:r>
              <w:rPr>
                <w:rFonts w:ascii="Arial" w:cs="Arial" w:eastAsia="Arial" w:hAnsi="Arial"/>
                <w:sz w:val="14"/>
                <w:szCs w:val="14"/>
                <w:color w:val="auto"/>
              </w:rPr>
              <w:t>Stock options generally</w:t>
            </w:r>
          </w:p>
        </w:tc>
        <w:tc>
          <w:tcPr>
            <w:tcW w:w="2180" w:type="dxa"/>
            <w:vAlign w:val="bottom"/>
            <w:shd w:val="clear" w:color="auto" w:fill="DCDDDE"/>
          </w:tcPr>
          <w:p>
            <w:pPr>
              <w:ind w:left="260"/>
              <w:spacing w:after="0"/>
              <w:rPr>
                <w:sz w:val="20"/>
                <w:szCs w:val="20"/>
                <w:color w:val="auto"/>
              </w:rPr>
            </w:pPr>
            <w:r>
              <w:rPr>
                <w:rFonts w:ascii="Arial" w:cs="Arial" w:eastAsia="Arial" w:hAnsi="Arial"/>
                <w:sz w:val="14"/>
                <w:szCs w:val="14"/>
                <w:color w:val="auto"/>
              </w:rPr>
              <w:t>Retiree medical if certain</w:t>
            </w:r>
          </w:p>
        </w:tc>
        <w:tc>
          <w:tcPr>
            <w:tcW w:w="1980" w:type="dxa"/>
            <w:vAlign w:val="bottom"/>
            <w:shd w:val="clear" w:color="auto" w:fill="DCDDDE"/>
          </w:tcPr>
          <w:p>
            <w:pPr>
              <w:ind w:left="80"/>
              <w:spacing w:after="0"/>
              <w:rPr>
                <w:sz w:val="20"/>
                <w:szCs w:val="20"/>
                <w:color w:val="auto"/>
              </w:rPr>
            </w:pPr>
            <w:r>
              <w:rPr>
                <w:rFonts w:ascii="Arial" w:cs="Arial" w:eastAsia="Arial" w:hAnsi="Arial"/>
                <w:sz w:val="14"/>
                <w:szCs w:val="14"/>
                <w:color w:val="auto"/>
              </w:rPr>
              <w:t>Payable</w:t>
            </w:r>
          </w:p>
        </w:tc>
      </w:tr>
      <w:tr>
        <w:trPr>
          <w:trHeight w:val="162"/>
        </w:trPr>
        <w:tc>
          <w:tcPr>
            <w:tcW w:w="1120" w:type="dxa"/>
            <w:vAlign w:val="bottom"/>
            <w:shd w:val="clear" w:color="auto" w:fill="DCDDDE"/>
          </w:tcPr>
          <w:p>
            <w:pPr>
              <w:spacing w:after="0"/>
              <w:rPr>
                <w:sz w:val="14"/>
                <w:szCs w:val="14"/>
                <w:color w:val="auto"/>
              </w:rPr>
            </w:pPr>
          </w:p>
        </w:tc>
        <w:tc>
          <w:tcPr>
            <w:tcW w:w="1540" w:type="dxa"/>
            <w:vAlign w:val="bottom"/>
            <w:shd w:val="clear" w:color="auto" w:fill="DCDDDE"/>
          </w:tcPr>
          <w:p>
            <w:pPr>
              <w:spacing w:after="0"/>
              <w:rPr>
                <w:sz w:val="14"/>
                <w:szCs w:val="14"/>
                <w:color w:val="auto"/>
              </w:rPr>
            </w:pPr>
          </w:p>
        </w:tc>
        <w:tc>
          <w:tcPr>
            <w:tcW w:w="2700" w:type="dxa"/>
            <w:vAlign w:val="bottom"/>
            <w:shd w:val="clear" w:color="auto" w:fill="DCDDDE"/>
          </w:tcPr>
          <w:p>
            <w:pPr>
              <w:ind w:left="840"/>
              <w:spacing w:after="0"/>
              <w:rPr>
                <w:sz w:val="20"/>
                <w:szCs w:val="20"/>
                <w:color w:val="auto"/>
              </w:rPr>
            </w:pPr>
            <w:r>
              <w:rPr>
                <w:rFonts w:ascii="Arial" w:cs="Arial" w:eastAsia="Arial" w:hAnsi="Arial"/>
                <w:sz w:val="14"/>
                <w:szCs w:val="14"/>
                <w:color w:val="auto"/>
              </w:rPr>
              <w:t>forfeited; PSUs paid in</w:t>
            </w:r>
          </w:p>
        </w:tc>
        <w:tc>
          <w:tcPr>
            <w:tcW w:w="1900" w:type="dxa"/>
            <w:vAlign w:val="bottom"/>
            <w:shd w:val="clear" w:color="auto" w:fill="DCDDDE"/>
          </w:tcPr>
          <w:p>
            <w:pPr>
              <w:ind w:left="140"/>
              <w:spacing w:after="0"/>
              <w:rPr>
                <w:sz w:val="20"/>
                <w:szCs w:val="20"/>
                <w:color w:val="auto"/>
              </w:rPr>
            </w:pPr>
            <w:r>
              <w:rPr>
                <w:rFonts w:ascii="Arial" w:cs="Arial" w:eastAsia="Arial" w:hAnsi="Arial"/>
                <w:sz w:val="14"/>
                <w:szCs w:val="14"/>
                <w:color w:val="auto"/>
              </w:rPr>
              <w:t>exercisable for 3 years</w:t>
            </w:r>
          </w:p>
        </w:tc>
        <w:tc>
          <w:tcPr>
            <w:tcW w:w="2180" w:type="dxa"/>
            <w:vAlign w:val="bottom"/>
            <w:shd w:val="clear" w:color="auto" w:fill="DCDDDE"/>
          </w:tcPr>
          <w:p>
            <w:pPr>
              <w:ind w:left="260"/>
              <w:spacing w:after="0"/>
              <w:rPr>
                <w:sz w:val="20"/>
                <w:szCs w:val="20"/>
                <w:color w:val="auto"/>
              </w:rPr>
            </w:pPr>
            <w:r>
              <w:rPr>
                <w:rFonts w:ascii="Arial" w:cs="Arial" w:eastAsia="Arial" w:hAnsi="Arial"/>
                <w:sz w:val="14"/>
                <w:szCs w:val="14"/>
                <w:color w:val="auto"/>
              </w:rPr>
              <w:t>conditions met</w:t>
            </w:r>
          </w:p>
        </w:tc>
        <w:tc>
          <w:tcPr>
            <w:tcW w:w="1980" w:type="dxa"/>
            <w:vAlign w:val="bottom"/>
            <w:shd w:val="clear" w:color="auto" w:fill="DCDDDE"/>
          </w:tcPr>
          <w:p>
            <w:pPr>
              <w:ind w:left="80"/>
              <w:spacing w:after="0"/>
              <w:rPr>
                <w:sz w:val="20"/>
                <w:szCs w:val="20"/>
                <w:color w:val="auto"/>
              </w:rPr>
            </w:pPr>
            <w:r>
              <w:rPr>
                <w:rFonts w:ascii="Arial" w:cs="Arial" w:eastAsia="Arial" w:hAnsi="Arial"/>
                <w:sz w:val="14"/>
                <w:szCs w:val="14"/>
                <w:color w:val="auto"/>
              </w:rPr>
              <w:t>through date of</w:t>
            </w:r>
          </w:p>
        </w:tc>
      </w:tr>
      <w:tr>
        <w:trPr>
          <w:trHeight w:val="162"/>
        </w:trPr>
        <w:tc>
          <w:tcPr>
            <w:tcW w:w="1120" w:type="dxa"/>
            <w:vAlign w:val="bottom"/>
            <w:shd w:val="clear" w:color="auto" w:fill="DCDDDE"/>
          </w:tcPr>
          <w:p>
            <w:pPr>
              <w:spacing w:after="0"/>
              <w:rPr>
                <w:sz w:val="14"/>
                <w:szCs w:val="14"/>
                <w:color w:val="auto"/>
              </w:rPr>
            </w:pPr>
          </w:p>
        </w:tc>
        <w:tc>
          <w:tcPr>
            <w:tcW w:w="1540" w:type="dxa"/>
            <w:vAlign w:val="bottom"/>
            <w:shd w:val="clear" w:color="auto" w:fill="DCDDDE"/>
          </w:tcPr>
          <w:p>
            <w:pPr>
              <w:spacing w:after="0"/>
              <w:rPr>
                <w:sz w:val="14"/>
                <w:szCs w:val="14"/>
                <w:color w:val="auto"/>
              </w:rPr>
            </w:pPr>
          </w:p>
        </w:tc>
        <w:tc>
          <w:tcPr>
            <w:tcW w:w="2700" w:type="dxa"/>
            <w:vAlign w:val="bottom"/>
            <w:shd w:val="clear" w:color="auto" w:fill="DCDDDE"/>
          </w:tcPr>
          <w:p>
            <w:pPr>
              <w:ind w:left="840"/>
              <w:spacing w:after="0"/>
              <w:rPr>
                <w:sz w:val="20"/>
                <w:szCs w:val="20"/>
                <w:color w:val="auto"/>
              </w:rPr>
            </w:pPr>
            <w:r>
              <w:rPr>
                <w:rFonts w:ascii="Arial" w:cs="Arial" w:eastAsia="Arial" w:hAnsi="Arial"/>
                <w:sz w:val="14"/>
                <w:szCs w:val="14"/>
                <w:color w:val="auto"/>
              </w:rPr>
              <w:t>accordance with terms and</w:t>
            </w:r>
          </w:p>
        </w:tc>
        <w:tc>
          <w:tcPr>
            <w:tcW w:w="1900" w:type="dxa"/>
            <w:vAlign w:val="bottom"/>
            <w:shd w:val="clear" w:color="auto" w:fill="DCDDDE"/>
          </w:tcPr>
          <w:p>
            <w:pPr>
              <w:spacing w:after="0"/>
              <w:rPr>
                <w:sz w:val="14"/>
                <w:szCs w:val="14"/>
                <w:color w:val="auto"/>
              </w:rPr>
            </w:pPr>
          </w:p>
        </w:tc>
        <w:tc>
          <w:tcPr>
            <w:tcW w:w="2180" w:type="dxa"/>
            <w:vAlign w:val="bottom"/>
            <w:shd w:val="clear" w:color="auto" w:fill="DCDDDE"/>
          </w:tcPr>
          <w:p>
            <w:pPr>
              <w:spacing w:after="0"/>
              <w:rPr>
                <w:sz w:val="14"/>
                <w:szCs w:val="14"/>
                <w:color w:val="auto"/>
              </w:rPr>
            </w:pPr>
          </w:p>
        </w:tc>
        <w:tc>
          <w:tcPr>
            <w:tcW w:w="1980" w:type="dxa"/>
            <w:vAlign w:val="bottom"/>
            <w:shd w:val="clear" w:color="auto" w:fill="DCDDDE"/>
          </w:tcPr>
          <w:p>
            <w:pPr>
              <w:ind w:left="80"/>
              <w:spacing w:after="0"/>
              <w:rPr>
                <w:sz w:val="20"/>
                <w:szCs w:val="20"/>
                <w:color w:val="auto"/>
              </w:rPr>
            </w:pPr>
            <w:r>
              <w:rPr>
                <w:rFonts w:ascii="Arial" w:cs="Arial" w:eastAsia="Arial" w:hAnsi="Arial"/>
                <w:sz w:val="14"/>
                <w:szCs w:val="14"/>
                <w:color w:val="auto"/>
              </w:rPr>
              <w:t>retirement</w:t>
            </w:r>
          </w:p>
        </w:tc>
      </w:tr>
      <w:tr>
        <w:trPr>
          <w:trHeight w:val="157"/>
        </w:trPr>
        <w:tc>
          <w:tcPr>
            <w:tcW w:w="1120" w:type="dxa"/>
            <w:vAlign w:val="bottom"/>
            <w:shd w:val="clear" w:color="auto" w:fill="DCDDDE"/>
          </w:tcPr>
          <w:p>
            <w:pPr>
              <w:spacing w:after="0"/>
              <w:rPr>
                <w:sz w:val="13"/>
                <w:szCs w:val="13"/>
                <w:color w:val="auto"/>
              </w:rPr>
            </w:pPr>
          </w:p>
        </w:tc>
        <w:tc>
          <w:tcPr>
            <w:tcW w:w="1540" w:type="dxa"/>
            <w:vAlign w:val="bottom"/>
            <w:shd w:val="clear" w:color="auto" w:fill="DCDDDE"/>
          </w:tcPr>
          <w:p>
            <w:pPr>
              <w:spacing w:after="0"/>
              <w:rPr>
                <w:sz w:val="13"/>
                <w:szCs w:val="13"/>
                <w:color w:val="auto"/>
              </w:rPr>
            </w:pPr>
          </w:p>
        </w:tc>
        <w:tc>
          <w:tcPr>
            <w:tcW w:w="2700" w:type="dxa"/>
            <w:vAlign w:val="bottom"/>
            <w:shd w:val="clear" w:color="auto" w:fill="DCDDDE"/>
          </w:tcPr>
          <w:p>
            <w:pPr>
              <w:ind w:left="840"/>
              <w:spacing w:after="0" w:line="157" w:lineRule="exact"/>
              <w:rPr>
                <w:sz w:val="20"/>
                <w:szCs w:val="20"/>
                <w:color w:val="auto"/>
              </w:rPr>
            </w:pPr>
            <w:r>
              <w:rPr>
                <w:rFonts w:ascii="Arial" w:cs="Arial" w:eastAsia="Arial" w:hAnsi="Arial"/>
                <w:sz w:val="14"/>
                <w:szCs w:val="14"/>
                <w:color w:val="auto"/>
              </w:rPr>
              <w:t>conditions</w:t>
            </w:r>
          </w:p>
        </w:tc>
        <w:tc>
          <w:tcPr>
            <w:tcW w:w="1900" w:type="dxa"/>
            <w:vAlign w:val="bottom"/>
            <w:shd w:val="clear" w:color="auto" w:fill="DCDDDE"/>
          </w:tcPr>
          <w:p>
            <w:pPr>
              <w:spacing w:after="0"/>
              <w:rPr>
                <w:sz w:val="13"/>
                <w:szCs w:val="13"/>
                <w:color w:val="auto"/>
              </w:rPr>
            </w:pPr>
          </w:p>
        </w:tc>
        <w:tc>
          <w:tcPr>
            <w:tcW w:w="2180" w:type="dxa"/>
            <w:vAlign w:val="bottom"/>
            <w:shd w:val="clear" w:color="auto" w:fill="DCDDDE"/>
          </w:tcPr>
          <w:p>
            <w:pPr>
              <w:spacing w:after="0"/>
              <w:rPr>
                <w:sz w:val="13"/>
                <w:szCs w:val="13"/>
                <w:color w:val="auto"/>
              </w:rPr>
            </w:pPr>
          </w:p>
        </w:tc>
        <w:tc>
          <w:tcPr>
            <w:tcW w:w="1980" w:type="dxa"/>
            <w:vAlign w:val="bottom"/>
            <w:shd w:val="clear" w:color="auto" w:fill="DCDDDE"/>
          </w:tcPr>
          <w:p>
            <w:pPr>
              <w:spacing w:after="0"/>
              <w:rPr>
                <w:sz w:val="13"/>
                <w:szCs w:val="13"/>
                <w:color w:val="auto"/>
              </w:rPr>
            </w:pPr>
          </w:p>
        </w:tc>
      </w:tr>
      <w:tr>
        <w:trPr>
          <w:trHeight w:val="167"/>
        </w:trPr>
        <w:tc>
          <w:tcPr>
            <w:tcW w:w="1120" w:type="dxa"/>
            <w:vAlign w:val="bottom"/>
          </w:tcPr>
          <w:p>
            <w:pPr>
              <w:spacing w:after="0"/>
              <w:rPr>
                <w:sz w:val="20"/>
                <w:szCs w:val="20"/>
                <w:color w:val="auto"/>
              </w:rPr>
            </w:pPr>
            <w:r>
              <w:rPr>
                <w:rFonts w:ascii="Arial" w:cs="Arial" w:eastAsia="Arial" w:hAnsi="Arial"/>
                <w:sz w:val="14"/>
                <w:szCs w:val="14"/>
                <w:b w:val="1"/>
                <w:bCs w:val="1"/>
                <w:color w:val="auto"/>
              </w:rPr>
              <w:t>Death</w:t>
            </w:r>
          </w:p>
        </w:tc>
        <w:tc>
          <w:tcPr>
            <w:tcW w:w="1540" w:type="dxa"/>
            <w:vAlign w:val="bottom"/>
          </w:tcPr>
          <w:p>
            <w:pPr>
              <w:ind w:left="380"/>
              <w:spacing w:after="0"/>
              <w:rPr>
                <w:sz w:val="20"/>
                <w:szCs w:val="20"/>
                <w:color w:val="auto"/>
              </w:rPr>
            </w:pPr>
            <w:r>
              <w:rPr>
                <w:rFonts w:ascii="Arial" w:cs="Arial" w:eastAsia="Arial" w:hAnsi="Arial"/>
                <w:sz w:val="14"/>
                <w:szCs w:val="14"/>
                <w:color w:val="auto"/>
              </w:rPr>
              <w:t>None</w:t>
            </w:r>
          </w:p>
        </w:tc>
        <w:tc>
          <w:tcPr>
            <w:tcW w:w="2700" w:type="dxa"/>
            <w:vAlign w:val="bottom"/>
          </w:tcPr>
          <w:p>
            <w:pPr>
              <w:ind w:left="840"/>
              <w:spacing w:after="0"/>
              <w:rPr>
                <w:sz w:val="20"/>
                <w:szCs w:val="20"/>
                <w:color w:val="auto"/>
              </w:rPr>
            </w:pPr>
            <w:r>
              <w:rPr>
                <w:rFonts w:ascii="Arial" w:cs="Arial" w:eastAsia="Arial" w:hAnsi="Arial"/>
                <w:sz w:val="14"/>
                <w:szCs w:val="14"/>
                <w:color w:val="auto"/>
              </w:rPr>
              <w:t>Stock options and RSUs</w:t>
            </w:r>
          </w:p>
        </w:tc>
        <w:tc>
          <w:tcPr>
            <w:tcW w:w="190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2180" w:type="dxa"/>
            <w:vAlign w:val="bottom"/>
          </w:tcPr>
          <w:p>
            <w:pPr>
              <w:ind w:left="260"/>
              <w:spacing w:after="0"/>
              <w:rPr>
                <w:sz w:val="20"/>
                <w:szCs w:val="20"/>
                <w:color w:val="auto"/>
              </w:rPr>
            </w:pPr>
            <w:r>
              <w:rPr>
                <w:rFonts w:ascii="Arial" w:cs="Arial" w:eastAsia="Arial" w:hAnsi="Arial"/>
                <w:sz w:val="14"/>
                <w:szCs w:val="14"/>
                <w:color w:val="auto"/>
              </w:rPr>
              <w:t>Life insurance at specified</w:t>
            </w:r>
          </w:p>
        </w:tc>
        <w:tc>
          <w:tcPr>
            <w:tcW w:w="1980" w:type="dxa"/>
            <w:vAlign w:val="bottom"/>
          </w:tcPr>
          <w:p>
            <w:pPr>
              <w:ind w:left="80"/>
              <w:spacing w:after="0"/>
              <w:rPr>
                <w:sz w:val="20"/>
                <w:szCs w:val="20"/>
                <w:color w:val="auto"/>
              </w:rPr>
            </w:pPr>
            <w:r>
              <w:rPr>
                <w:rFonts w:ascii="Arial" w:cs="Arial" w:eastAsia="Arial" w:hAnsi="Arial"/>
                <w:sz w:val="14"/>
                <w:szCs w:val="14"/>
                <w:color w:val="auto"/>
              </w:rPr>
              <w:t>Payable</w:t>
            </w:r>
          </w:p>
        </w:tc>
      </w:tr>
      <w:tr>
        <w:trPr>
          <w:trHeight w:val="162"/>
        </w:trPr>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00" w:type="dxa"/>
            <w:vAlign w:val="bottom"/>
          </w:tcPr>
          <w:p>
            <w:pPr>
              <w:ind w:left="840"/>
              <w:spacing w:after="0"/>
              <w:rPr>
                <w:sz w:val="20"/>
                <w:szCs w:val="20"/>
                <w:color w:val="auto"/>
              </w:rPr>
            </w:pPr>
            <w:r>
              <w:rPr>
                <w:rFonts w:ascii="Arial" w:cs="Arial" w:eastAsia="Arial" w:hAnsi="Arial"/>
                <w:sz w:val="14"/>
                <w:szCs w:val="14"/>
                <w:color w:val="auto"/>
              </w:rPr>
              <w:t>forfeited; PSUs paid in</w:t>
            </w:r>
          </w:p>
        </w:tc>
        <w:tc>
          <w:tcPr>
            <w:tcW w:w="1900" w:type="dxa"/>
            <w:vAlign w:val="bottom"/>
          </w:tcPr>
          <w:p>
            <w:pPr>
              <w:ind w:left="140"/>
              <w:spacing w:after="0"/>
              <w:rPr>
                <w:sz w:val="20"/>
                <w:szCs w:val="20"/>
                <w:color w:val="auto"/>
              </w:rPr>
            </w:pPr>
            <w:r>
              <w:rPr>
                <w:rFonts w:ascii="Arial" w:cs="Arial" w:eastAsia="Arial" w:hAnsi="Arial"/>
                <w:sz w:val="14"/>
                <w:szCs w:val="14"/>
                <w:color w:val="auto"/>
              </w:rPr>
              <w:t>generally exercisable</w:t>
            </w:r>
          </w:p>
        </w:tc>
        <w:tc>
          <w:tcPr>
            <w:tcW w:w="2180" w:type="dxa"/>
            <w:vAlign w:val="bottom"/>
          </w:tcPr>
          <w:p>
            <w:pPr>
              <w:ind w:left="260"/>
              <w:spacing w:after="0"/>
              <w:rPr>
                <w:sz w:val="20"/>
                <w:szCs w:val="20"/>
                <w:color w:val="auto"/>
              </w:rPr>
            </w:pPr>
            <w:r>
              <w:rPr>
                <w:rFonts w:ascii="Arial" w:cs="Arial" w:eastAsia="Arial" w:hAnsi="Arial"/>
                <w:sz w:val="14"/>
                <w:szCs w:val="14"/>
                <w:color w:val="auto"/>
              </w:rPr>
              <w:t>amounts paid by our insurer</w:t>
            </w:r>
          </w:p>
        </w:tc>
        <w:tc>
          <w:tcPr>
            <w:tcW w:w="1980" w:type="dxa"/>
            <w:vAlign w:val="bottom"/>
          </w:tcPr>
          <w:p>
            <w:pPr>
              <w:ind w:left="80"/>
              <w:spacing w:after="0"/>
              <w:rPr>
                <w:sz w:val="20"/>
                <w:szCs w:val="20"/>
                <w:color w:val="auto"/>
              </w:rPr>
            </w:pPr>
            <w:r>
              <w:rPr>
                <w:rFonts w:ascii="Arial" w:cs="Arial" w:eastAsia="Arial" w:hAnsi="Arial"/>
                <w:sz w:val="14"/>
                <w:szCs w:val="14"/>
                <w:color w:val="auto"/>
              </w:rPr>
              <w:t>through date of</w:t>
            </w:r>
          </w:p>
        </w:tc>
      </w:tr>
      <w:tr>
        <w:trPr>
          <w:trHeight w:val="162"/>
        </w:trPr>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00" w:type="dxa"/>
            <w:vAlign w:val="bottom"/>
          </w:tcPr>
          <w:p>
            <w:pPr>
              <w:ind w:left="840"/>
              <w:spacing w:after="0"/>
              <w:rPr>
                <w:sz w:val="20"/>
                <w:szCs w:val="20"/>
                <w:color w:val="auto"/>
              </w:rPr>
            </w:pPr>
            <w:r>
              <w:rPr>
                <w:rFonts w:ascii="Arial" w:cs="Arial" w:eastAsia="Arial" w:hAnsi="Arial"/>
                <w:sz w:val="14"/>
                <w:szCs w:val="14"/>
                <w:color w:val="auto"/>
              </w:rPr>
              <w:t>accordance with terms and</w:t>
            </w:r>
          </w:p>
        </w:tc>
        <w:tc>
          <w:tcPr>
            <w:tcW w:w="1900" w:type="dxa"/>
            <w:vAlign w:val="bottom"/>
          </w:tcPr>
          <w:p>
            <w:pPr>
              <w:ind w:left="140"/>
              <w:spacing w:after="0"/>
              <w:rPr>
                <w:sz w:val="20"/>
                <w:szCs w:val="20"/>
                <w:color w:val="auto"/>
              </w:rPr>
            </w:pPr>
            <w:r>
              <w:rPr>
                <w:rFonts w:ascii="Arial" w:cs="Arial" w:eastAsia="Arial" w:hAnsi="Arial"/>
                <w:sz w:val="14"/>
                <w:szCs w:val="14"/>
                <w:color w:val="auto"/>
              </w:rPr>
              <w:t>for a set time</w:t>
            </w:r>
          </w:p>
        </w:tc>
        <w:tc>
          <w:tcPr>
            <w:tcW w:w="2180" w:type="dxa"/>
            <w:vAlign w:val="bottom"/>
          </w:tcPr>
          <w:p>
            <w:pPr>
              <w:spacing w:after="0"/>
              <w:rPr>
                <w:sz w:val="14"/>
                <w:szCs w:val="14"/>
                <w:color w:val="auto"/>
              </w:rPr>
            </w:pPr>
          </w:p>
        </w:tc>
        <w:tc>
          <w:tcPr>
            <w:tcW w:w="1980" w:type="dxa"/>
            <w:vAlign w:val="bottom"/>
          </w:tcPr>
          <w:p>
            <w:pPr>
              <w:ind w:left="80"/>
              <w:spacing w:after="0"/>
              <w:rPr>
                <w:sz w:val="20"/>
                <w:szCs w:val="20"/>
                <w:color w:val="auto"/>
              </w:rPr>
            </w:pPr>
            <w:r>
              <w:rPr>
                <w:rFonts w:ascii="Arial" w:cs="Arial" w:eastAsia="Arial" w:hAnsi="Arial"/>
                <w:sz w:val="14"/>
                <w:szCs w:val="14"/>
                <w:color w:val="auto"/>
              </w:rPr>
              <w:t>death</w:t>
            </w:r>
          </w:p>
        </w:tc>
      </w:tr>
      <w:tr>
        <w:trPr>
          <w:trHeight w:val="157"/>
        </w:trPr>
        <w:tc>
          <w:tcPr>
            <w:tcW w:w="1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700" w:type="dxa"/>
            <w:vAlign w:val="bottom"/>
          </w:tcPr>
          <w:p>
            <w:pPr>
              <w:ind w:left="840"/>
              <w:spacing w:after="0" w:line="157" w:lineRule="exact"/>
              <w:rPr>
                <w:sz w:val="20"/>
                <w:szCs w:val="20"/>
                <w:color w:val="auto"/>
              </w:rPr>
            </w:pPr>
            <w:r>
              <w:rPr>
                <w:rFonts w:ascii="Arial" w:cs="Arial" w:eastAsia="Arial" w:hAnsi="Arial"/>
                <w:sz w:val="14"/>
                <w:szCs w:val="14"/>
                <w:color w:val="auto"/>
              </w:rPr>
              <w:t>conditions</w:t>
            </w:r>
          </w:p>
        </w:tc>
        <w:tc>
          <w:tcPr>
            <w:tcW w:w="1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49"/>
        </w:trPr>
        <w:tc>
          <w:tcPr>
            <w:tcW w:w="1120" w:type="dxa"/>
            <w:vAlign w:val="bottom"/>
            <w:shd w:val="clear" w:color="auto" w:fill="DCDDDE"/>
          </w:tcPr>
          <w:p>
            <w:pPr>
              <w:spacing w:after="0" w:line="149" w:lineRule="exact"/>
              <w:rPr>
                <w:sz w:val="20"/>
                <w:szCs w:val="20"/>
                <w:color w:val="auto"/>
              </w:rPr>
            </w:pPr>
            <w:r>
              <w:rPr>
                <w:rFonts w:ascii="Arial" w:cs="Arial" w:eastAsia="Arial" w:hAnsi="Arial"/>
                <w:sz w:val="14"/>
                <w:szCs w:val="14"/>
                <w:b w:val="1"/>
                <w:bCs w:val="1"/>
                <w:color w:val="auto"/>
              </w:rPr>
              <w:t>Long-term</w:t>
            </w:r>
          </w:p>
        </w:tc>
        <w:tc>
          <w:tcPr>
            <w:tcW w:w="1540" w:type="dxa"/>
            <w:vAlign w:val="bottom"/>
            <w:shd w:val="clear" w:color="auto" w:fill="DCDDDE"/>
          </w:tcPr>
          <w:p>
            <w:pPr>
              <w:ind w:left="380"/>
              <w:spacing w:after="0" w:line="149" w:lineRule="exact"/>
              <w:rPr>
                <w:sz w:val="20"/>
                <w:szCs w:val="20"/>
                <w:color w:val="auto"/>
              </w:rPr>
            </w:pPr>
            <w:r>
              <w:rPr>
                <w:rFonts w:ascii="Arial" w:cs="Arial" w:eastAsia="Arial" w:hAnsi="Arial"/>
                <w:sz w:val="14"/>
                <w:szCs w:val="14"/>
                <w:color w:val="auto"/>
              </w:rPr>
              <w:t>None</w:t>
            </w:r>
          </w:p>
        </w:tc>
        <w:tc>
          <w:tcPr>
            <w:tcW w:w="2700" w:type="dxa"/>
            <w:vAlign w:val="bottom"/>
            <w:shd w:val="clear" w:color="auto" w:fill="DCDDDE"/>
          </w:tcPr>
          <w:p>
            <w:pPr>
              <w:ind w:left="840"/>
              <w:spacing w:after="0" w:line="149" w:lineRule="exact"/>
              <w:rPr>
                <w:sz w:val="20"/>
                <w:szCs w:val="20"/>
                <w:color w:val="auto"/>
              </w:rPr>
            </w:pPr>
            <w:r>
              <w:rPr>
                <w:rFonts w:ascii="Arial" w:cs="Arial" w:eastAsia="Arial" w:hAnsi="Arial"/>
                <w:sz w:val="14"/>
                <w:szCs w:val="14"/>
                <w:color w:val="auto"/>
              </w:rPr>
              <w:t>No impact</w:t>
            </w:r>
          </w:p>
        </w:tc>
        <w:tc>
          <w:tcPr>
            <w:tcW w:w="1900" w:type="dxa"/>
            <w:vAlign w:val="bottom"/>
            <w:shd w:val="clear" w:color="auto" w:fill="DCDDDE"/>
          </w:tcPr>
          <w:p>
            <w:pPr>
              <w:ind w:left="140"/>
              <w:spacing w:after="0" w:line="149" w:lineRule="exact"/>
              <w:rPr>
                <w:sz w:val="20"/>
                <w:szCs w:val="20"/>
                <w:color w:val="auto"/>
              </w:rPr>
            </w:pPr>
            <w:r>
              <w:rPr>
                <w:rFonts w:ascii="Arial" w:cs="Arial" w:eastAsia="Arial" w:hAnsi="Arial"/>
                <w:sz w:val="14"/>
                <w:szCs w:val="14"/>
                <w:color w:val="auto"/>
              </w:rPr>
              <w:t>No impact</w:t>
            </w:r>
          </w:p>
        </w:tc>
        <w:tc>
          <w:tcPr>
            <w:tcW w:w="2180" w:type="dxa"/>
            <w:vAlign w:val="bottom"/>
            <w:shd w:val="clear" w:color="auto" w:fill="DCDDDE"/>
          </w:tcPr>
          <w:p>
            <w:pPr>
              <w:ind w:left="260"/>
              <w:spacing w:after="0" w:line="149" w:lineRule="exact"/>
              <w:rPr>
                <w:sz w:val="20"/>
                <w:szCs w:val="20"/>
                <w:color w:val="auto"/>
              </w:rPr>
            </w:pPr>
            <w:r>
              <w:rPr>
                <w:rFonts w:ascii="Arial" w:cs="Arial" w:eastAsia="Arial" w:hAnsi="Arial"/>
                <w:sz w:val="14"/>
                <w:szCs w:val="14"/>
                <w:color w:val="auto"/>
              </w:rPr>
              <w:t>Long-term disability amounts</w:t>
            </w:r>
          </w:p>
        </w:tc>
        <w:tc>
          <w:tcPr>
            <w:tcW w:w="1980" w:type="dxa"/>
            <w:vAlign w:val="bottom"/>
            <w:shd w:val="clear" w:color="auto" w:fill="DCDDDE"/>
          </w:tcPr>
          <w:p>
            <w:pPr>
              <w:ind w:left="80"/>
              <w:spacing w:after="0" w:line="149" w:lineRule="exact"/>
              <w:rPr>
                <w:sz w:val="20"/>
                <w:szCs w:val="20"/>
                <w:color w:val="auto"/>
              </w:rPr>
            </w:pPr>
            <w:r>
              <w:rPr>
                <w:rFonts w:ascii="Arial" w:cs="Arial" w:eastAsia="Arial" w:hAnsi="Arial"/>
                <w:sz w:val="14"/>
                <w:szCs w:val="14"/>
                <w:color w:val="auto"/>
              </w:rPr>
              <w:t>Payable</w:t>
            </w:r>
          </w:p>
        </w:tc>
      </w:tr>
      <w:tr>
        <w:trPr>
          <w:trHeight w:val="180"/>
        </w:trPr>
        <w:tc>
          <w:tcPr>
            <w:tcW w:w="1120" w:type="dxa"/>
            <w:vAlign w:val="bottom"/>
            <w:shd w:val="clear" w:color="auto" w:fill="DCDDDE"/>
          </w:tcPr>
          <w:p>
            <w:pPr>
              <w:spacing w:after="0"/>
              <w:rPr>
                <w:sz w:val="20"/>
                <w:szCs w:val="20"/>
                <w:color w:val="auto"/>
              </w:rPr>
            </w:pPr>
            <w:r>
              <w:rPr>
                <w:rFonts w:ascii="Arial" w:cs="Arial" w:eastAsia="Arial" w:hAnsi="Arial"/>
                <w:sz w:val="14"/>
                <w:szCs w:val="14"/>
                <w:b w:val="1"/>
                <w:bCs w:val="1"/>
                <w:color w:val="auto"/>
              </w:rPr>
              <w:t>Disability</w:t>
            </w:r>
          </w:p>
        </w:tc>
        <w:tc>
          <w:tcPr>
            <w:tcW w:w="1540" w:type="dxa"/>
            <w:vAlign w:val="bottom"/>
            <w:shd w:val="clear" w:color="auto" w:fill="DCDDDE"/>
          </w:tcPr>
          <w:p>
            <w:pPr>
              <w:spacing w:after="0"/>
              <w:rPr>
                <w:sz w:val="15"/>
                <w:szCs w:val="15"/>
                <w:color w:val="auto"/>
              </w:rPr>
            </w:pPr>
          </w:p>
        </w:tc>
        <w:tc>
          <w:tcPr>
            <w:tcW w:w="2700" w:type="dxa"/>
            <w:vAlign w:val="bottom"/>
            <w:shd w:val="clear" w:color="auto" w:fill="DCDDDE"/>
          </w:tcPr>
          <w:p>
            <w:pPr>
              <w:spacing w:after="0"/>
              <w:rPr>
                <w:sz w:val="15"/>
                <w:szCs w:val="15"/>
                <w:color w:val="auto"/>
              </w:rPr>
            </w:pPr>
          </w:p>
        </w:tc>
        <w:tc>
          <w:tcPr>
            <w:tcW w:w="1900" w:type="dxa"/>
            <w:vAlign w:val="bottom"/>
            <w:shd w:val="clear" w:color="auto" w:fill="DCDDDE"/>
          </w:tcPr>
          <w:p>
            <w:pPr>
              <w:spacing w:after="0"/>
              <w:rPr>
                <w:sz w:val="15"/>
                <w:szCs w:val="15"/>
                <w:color w:val="auto"/>
              </w:rPr>
            </w:pPr>
          </w:p>
        </w:tc>
        <w:tc>
          <w:tcPr>
            <w:tcW w:w="2180" w:type="dxa"/>
            <w:vAlign w:val="bottom"/>
            <w:shd w:val="clear" w:color="auto" w:fill="DCDDDE"/>
          </w:tcPr>
          <w:p>
            <w:pPr>
              <w:ind w:left="260"/>
              <w:spacing w:after="0" w:line="180" w:lineRule="exact"/>
              <w:rPr>
                <w:sz w:val="20"/>
                <w:szCs w:val="20"/>
                <w:color w:val="auto"/>
              </w:rPr>
            </w:pPr>
            <w:r>
              <w:rPr>
                <w:rFonts w:ascii="Arial" w:cs="Arial" w:eastAsia="Arial" w:hAnsi="Arial"/>
                <w:sz w:val="14"/>
                <w:szCs w:val="14"/>
                <w:color w:val="auto"/>
              </w:rPr>
              <w:t xml:space="preserve">paid </w:t>
            </w:r>
            <w:r>
              <w:rPr>
                <w:rFonts w:ascii="Arial" w:cs="Arial" w:eastAsia="Arial" w:hAnsi="Arial"/>
                <w:sz w:val="20"/>
                <w:szCs w:val="20"/>
                <w:color w:val="auto"/>
                <w:vertAlign w:val="superscript"/>
              </w:rPr>
              <w:t>(2)</w:t>
            </w:r>
          </w:p>
        </w:tc>
        <w:tc>
          <w:tcPr>
            <w:tcW w:w="1980" w:type="dxa"/>
            <w:vAlign w:val="bottom"/>
            <w:shd w:val="clear" w:color="auto" w:fill="DCDDDE"/>
          </w:tcPr>
          <w:p>
            <w:pPr>
              <w:ind w:left="80"/>
              <w:spacing w:after="0"/>
              <w:rPr>
                <w:sz w:val="20"/>
                <w:szCs w:val="20"/>
                <w:color w:val="auto"/>
              </w:rPr>
            </w:pPr>
            <w:r>
              <w:rPr>
                <w:rFonts w:ascii="Arial" w:cs="Arial" w:eastAsia="Arial" w:hAnsi="Arial"/>
                <w:sz w:val="14"/>
                <w:szCs w:val="14"/>
                <w:color w:val="auto"/>
              </w:rPr>
              <w:t>through date of</w:t>
            </w:r>
          </w:p>
        </w:tc>
      </w:tr>
      <w:tr>
        <w:trPr>
          <w:trHeight w:val="164"/>
        </w:trPr>
        <w:tc>
          <w:tcPr>
            <w:tcW w:w="1120" w:type="dxa"/>
            <w:vAlign w:val="bottom"/>
            <w:tcBorders>
              <w:bottom w:val="single" w:sz="8" w:color="auto"/>
            </w:tcBorders>
            <w:shd w:val="clear" w:color="auto" w:fill="DCDDDE"/>
          </w:tcPr>
          <w:p>
            <w:pPr>
              <w:spacing w:after="0"/>
              <w:rPr>
                <w:sz w:val="14"/>
                <w:szCs w:val="14"/>
                <w:color w:val="auto"/>
              </w:rPr>
            </w:pPr>
          </w:p>
        </w:tc>
        <w:tc>
          <w:tcPr>
            <w:tcW w:w="1540" w:type="dxa"/>
            <w:vAlign w:val="bottom"/>
            <w:tcBorders>
              <w:bottom w:val="single" w:sz="8" w:color="auto"/>
            </w:tcBorders>
            <w:shd w:val="clear" w:color="auto" w:fill="DCDDDE"/>
          </w:tcPr>
          <w:p>
            <w:pPr>
              <w:spacing w:after="0"/>
              <w:rPr>
                <w:sz w:val="14"/>
                <w:szCs w:val="14"/>
                <w:color w:val="auto"/>
              </w:rPr>
            </w:pPr>
          </w:p>
        </w:tc>
        <w:tc>
          <w:tcPr>
            <w:tcW w:w="2700" w:type="dxa"/>
            <w:vAlign w:val="bottom"/>
            <w:tcBorders>
              <w:bottom w:val="single" w:sz="8" w:color="auto"/>
            </w:tcBorders>
            <w:shd w:val="clear" w:color="auto" w:fill="DCDDDE"/>
          </w:tcPr>
          <w:p>
            <w:pPr>
              <w:spacing w:after="0"/>
              <w:rPr>
                <w:sz w:val="14"/>
                <w:szCs w:val="14"/>
                <w:color w:val="auto"/>
              </w:rPr>
            </w:pPr>
          </w:p>
        </w:tc>
        <w:tc>
          <w:tcPr>
            <w:tcW w:w="1900" w:type="dxa"/>
            <w:vAlign w:val="bottom"/>
            <w:tcBorders>
              <w:bottom w:val="single" w:sz="8" w:color="auto"/>
            </w:tcBorders>
            <w:shd w:val="clear" w:color="auto" w:fill="DCDDDE"/>
          </w:tcPr>
          <w:p>
            <w:pPr>
              <w:spacing w:after="0"/>
              <w:rPr>
                <w:sz w:val="14"/>
                <w:szCs w:val="14"/>
                <w:color w:val="auto"/>
              </w:rPr>
            </w:pPr>
          </w:p>
        </w:tc>
        <w:tc>
          <w:tcPr>
            <w:tcW w:w="2180" w:type="dxa"/>
            <w:vAlign w:val="bottom"/>
            <w:tcBorders>
              <w:bottom w:val="single" w:sz="8" w:color="auto"/>
            </w:tcBorders>
            <w:shd w:val="clear" w:color="auto" w:fill="DCDDDE"/>
          </w:tcPr>
          <w:p>
            <w:pPr>
              <w:spacing w:after="0"/>
              <w:rPr>
                <w:sz w:val="14"/>
                <w:szCs w:val="14"/>
                <w:color w:val="auto"/>
              </w:rPr>
            </w:pPr>
          </w:p>
        </w:tc>
        <w:tc>
          <w:tcPr>
            <w:tcW w:w="1980" w:type="dxa"/>
            <w:vAlign w:val="bottom"/>
            <w:tcBorders>
              <w:bottom w:val="single" w:sz="8" w:color="auto"/>
            </w:tcBorders>
            <w:shd w:val="clear" w:color="auto" w:fill="DCDDDE"/>
          </w:tcPr>
          <w:p>
            <w:pPr>
              <w:ind w:left="80"/>
              <w:spacing w:after="0" w:line="157" w:lineRule="exact"/>
              <w:rPr>
                <w:sz w:val="20"/>
                <w:szCs w:val="20"/>
                <w:color w:val="auto"/>
              </w:rPr>
            </w:pPr>
            <w:r>
              <w:rPr>
                <w:rFonts w:ascii="Arial" w:cs="Arial" w:eastAsia="Arial" w:hAnsi="Arial"/>
                <w:sz w:val="14"/>
                <w:szCs w:val="14"/>
                <w:color w:val="auto"/>
              </w:rPr>
              <w:t>disability</w:t>
            </w:r>
          </w:p>
        </w:tc>
      </w:tr>
    </w:tbl>
    <w:p>
      <w:pPr>
        <w:spacing w:after="0" w:line="53" w:lineRule="exact"/>
        <w:rPr>
          <w:sz w:val="20"/>
          <w:szCs w:val="20"/>
          <w:color w:val="auto"/>
        </w:rPr>
      </w:pPr>
    </w:p>
    <w:p>
      <w:pPr>
        <w:ind w:left="440" w:right="20" w:hanging="432"/>
        <w:spacing w:after="0" w:line="270" w:lineRule="auto"/>
        <w:tabs>
          <w:tab w:leader="none" w:pos="440" w:val="left"/>
        </w:tabs>
        <w:numPr>
          <w:ilvl w:val="0"/>
          <w:numId w:val="85"/>
        </w:numPr>
        <w:rPr>
          <w:rFonts w:ascii="Arial" w:cs="Arial" w:eastAsia="Arial" w:hAnsi="Arial"/>
          <w:sz w:val="11"/>
          <w:szCs w:val="11"/>
          <w:i w:val="1"/>
          <w:iCs w:val="1"/>
          <w:color w:val="auto"/>
        </w:rPr>
      </w:pPr>
      <w:r>
        <w:rPr>
          <w:rFonts w:ascii="Arial" w:cs="Arial" w:eastAsia="Arial" w:hAnsi="Arial"/>
          <w:sz w:val="12"/>
          <w:szCs w:val="12"/>
          <w:i w:val="1"/>
          <w:iCs w:val="1"/>
          <w:color w:val="auto"/>
        </w:rPr>
        <w:t>Reflects accrued salary and bonus amounts, retirement plan obligations and other accrued amounts that were fully earned and vested, and not otherwise forfeited, as of the executive’s termination date. Certain of these accrued obligations are discussed in the “Fiscal Year 2018 Pension Benefits” and “Fiscal Year 2018 Nonqualified Deferred Compensation” tables.</w:t>
      </w:r>
    </w:p>
    <w:p>
      <w:pPr>
        <w:ind w:left="440" w:hanging="432"/>
        <w:spacing w:after="0"/>
        <w:tabs>
          <w:tab w:leader="none" w:pos="440" w:val="left"/>
        </w:tabs>
        <w:numPr>
          <w:ilvl w:val="0"/>
          <w:numId w:val="85"/>
        </w:numPr>
        <w:rPr>
          <w:rFonts w:ascii="Arial" w:cs="Arial" w:eastAsia="Arial" w:hAnsi="Arial"/>
          <w:sz w:val="11"/>
          <w:szCs w:val="11"/>
          <w:i w:val="1"/>
          <w:iCs w:val="1"/>
          <w:color w:val="auto"/>
        </w:rPr>
      </w:pPr>
      <w:r>
        <w:rPr>
          <w:rFonts w:ascii="Arial" w:cs="Arial" w:eastAsia="Arial" w:hAnsi="Arial"/>
          <w:sz w:val="14"/>
          <w:szCs w:val="14"/>
          <w:i w:val="1"/>
          <w:iCs w:val="1"/>
          <w:color w:val="auto"/>
        </w:rPr>
        <w:t>See “Disability Benefits” below for additional detail.</w:t>
      </w:r>
    </w:p>
    <w:p>
      <w:pPr>
        <w:spacing w:after="0" w:line="131" w:lineRule="exact"/>
        <w:rPr>
          <w:sz w:val="20"/>
          <w:szCs w:val="20"/>
          <w:color w:val="auto"/>
        </w:rPr>
      </w:pPr>
    </w:p>
    <w:p>
      <w:pPr>
        <w:ind w:right="400"/>
        <w:spacing w:after="0" w:line="261" w:lineRule="auto"/>
        <w:rPr>
          <w:sz w:val="20"/>
          <w:szCs w:val="20"/>
          <w:color w:val="auto"/>
        </w:rPr>
      </w:pPr>
      <w:r>
        <w:rPr>
          <w:rFonts w:ascii="Arial" w:cs="Arial" w:eastAsia="Arial" w:hAnsi="Arial"/>
          <w:sz w:val="22"/>
          <w:szCs w:val="22"/>
          <w:b w:val="1"/>
          <w:bCs w:val="1"/>
          <w:color w:val="1CB6EA"/>
        </w:rPr>
        <w:t>Potential Payments as of September 30, 2018, Upon Termination Without “Cause” or Resignation for “Good Reason”</w:t>
      </w:r>
    </w:p>
    <w:p>
      <w:pPr>
        <w:sectPr>
          <w:pgSz w:w="11900" w:h="16838" w:orient="portrait"/>
          <w:cols w:equalWidth="0" w:num="1">
            <w:col w:w="11440"/>
          </w:cols>
          <w:pgMar w:left="240" w:top="125" w:right="219" w:bottom="1440" w:gutter="0" w:footer="0" w:header="0"/>
          <w:type w:val="continuous"/>
        </w:sectPr>
      </w:pPr>
    </w:p>
    <w:p>
      <w:pPr>
        <w:spacing w:after="0" w:line="35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following table sets forth the maximum cash amounts and the value of other benefits that each of our NEOs who were employed as of September 30, 2018 would have received from the company if a termination without “cause” or resignation for “good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reason” had occurred effective September 30, 2018. Any actual amounts the NEOs would receive would vary depending on any actual date of termination or resignation, the company’s performance and other factors.</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8200" w:type="dxa"/>
            <w:vAlign w:val="bottom"/>
            <w:vMerge w:val="restart"/>
          </w:tcPr>
          <w:p>
            <w:pPr>
              <w:ind w:left="6920"/>
              <w:spacing w:after="0"/>
              <w:rPr>
                <w:sz w:val="20"/>
                <w:szCs w:val="20"/>
                <w:color w:val="auto"/>
              </w:rPr>
            </w:pPr>
            <w:r>
              <w:rPr>
                <w:rFonts w:ascii="Arial" w:cs="Arial" w:eastAsia="Arial" w:hAnsi="Arial"/>
                <w:sz w:val="18"/>
                <w:szCs w:val="18"/>
                <w:b w:val="1"/>
                <w:bCs w:val="1"/>
                <w:color w:val="1CB6EA"/>
              </w:rPr>
              <w:t>VIACOM INC.</w:t>
            </w:r>
          </w:p>
        </w:tc>
        <w:tc>
          <w:tcPr>
            <w:tcW w:w="20" w:type="dxa"/>
            <w:vAlign w:val="bottom"/>
          </w:tcPr>
          <w:p>
            <w:pPr>
              <w:spacing w:after="0" w:line="20" w:lineRule="exact"/>
              <w:rPr>
                <w:sz w:val="1"/>
                <w:szCs w:val="1"/>
                <w:color w:val="auto"/>
              </w:rPr>
            </w:pPr>
          </w:p>
        </w:tc>
        <w:tc>
          <w:tcPr>
            <w:tcW w:w="3220" w:type="dxa"/>
            <w:vAlign w:val="bottom"/>
            <w:vMerge w:val="restart"/>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61</w:t>
            </w:r>
          </w:p>
        </w:tc>
        <w:tc>
          <w:tcPr>
            <w:tcW w:w="0" w:type="dxa"/>
            <w:vAlign w:val="bottom"/>
          </w:tcPr>
          <w:p>
            <w:pPr>
              <w:spacing w:after="0" w:line="20" w:lineRule="exact"/>
              <w:rPr>
                <w:sz w:val="1"/>
                <w:szCs w:val="1"/>
                <w:color w:val="auto"/>
              </w:rPr>
            </w:pPr>
          </w:p>
        </w:tc>
      </w:tr>
      <w:tr>
        <w:trPr>
          <w:trHeight w:val="203"/>
        </w:trPr>
        <w:tc>
          <w:tcPr>
            <w:tcW w:w="8200" w:type="dxa"/>
            <w:vAlign w:val="bottom"/>
            <w:vMerge w:val="continue"/>
          </w:tcPr>
          <w:p>
            <w:pPr>
              <w:spacing w:after="0"/>
              <w:rPr>
                <w:sz w:val="17"/>
                <w:szCs w:val="17"/>
                <w:color w:val="auto"/>
              </w:rPr>
            </w:pPr>
          </w:p>
        </w:tc>
        <w:tc>
          <w:tcPr>
            <w:tcW w:w="20" w:type="dxa"/>
            <w:vAlign w:val="bottom"/>
            <w:shd w:val="clear" w:color="auto" w:fill="00BBE6"/>
          </w:tcPr>
          <w:p>
            <w:pPr>
              <w:spacing w:after="0"/>
              <w:rPr>
                <w:sz w:val="17"/>
                <w:szCs w:val="17"/>
                <w:color w:val="auto"/>
              </w:rPr>
            </w:pP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2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bottom w:val="single" w:sz="8" w:color="1CB6EA"/>
            </w:tcBorders>
            <w:shd w:val="clear" w:color="auto" w:fill="1CB6EA"/>
          </w:tcPr>
          <w:p>
            <w:pPr>
              <w:ind w:left="40"/>
              <w:spacing w:after="0"/>
              <w:rPr>
                <w:sz w:val="20"/>
                <w:szCs w:val="20"/>
                <w:color w:val="auto"/>
              </w:rPr>
            </w:pPr>
            <w:r>
              <w:rPr>
                <w:rFonts w:ascii="Arial" w:cs="Arial" w:eastAsia="Arial" w:hAnsi="Arial"/>
                <w:sz w:val="14"/>
                <w:szCs w:val="14"/>
                <w:b w:val="1"/>
                <w:bCs w:val="1"/>
                <w:color w:val="FFFFFF"/>
                <w:shd w:val="clear" w:color="auto" w:fill="1CB6EA"/>
              </w:rPr>
              <w:t>EXECUTIVE COMPENSATION</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51"/>
        </w:trPr>
        <w:tc>
          <w:tcPr>
            <w:tcW w:w="2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Payable by Viacom</w:t>
            </w: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3"/>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2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8"/>
              <w:spacing w:after="0" w:line="224"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24"/>
                <w:szCs w:val="24"/>
                <w:b w:val="1"/>
                <w:bCs w:val="1"/>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88"/>
              <w:spacing w:after="0" w:line="224" w:lineRule="exact"/>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24"/>
                <w:szCs w:val="24"/>
                <w:b w:val="1"/>
                <w:bCs w:val="1"/>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28"/>
              <w:spacing w:after="0" w:line="224" w:lineRule="exact"/>
              <w:rPr>
                <w:sz w:val="20"/>
                <w:szCs w:val="20"/>
                <w:color w:val="auto"/>
              </w:rPr>
            </w:pPr>
            <w:r>
              <w:rPr>
                <w:rFonts w:ascii="Arial" w:cs="Arial" w:eastAsia="Arial" w:hAnsi="Arial"/>
                <w:sz w:val="14"/>
                <w:szCs w:val="14"/>
                <w:b w:val="1"/>
                <w:bCs w:val="1"/>
                <w:color w:val="auto"/>
              </w:rPr>
              <w:t xml:space="preserve">Benefits </w:t>
            </w:r>
            <w:r>
              <w:rPr>
                <w:rFonts w:ascii="Arial" w:cs="Arial" w:eastAsia="Arial" w:hAnsi="Arial"/>
                <w:sz w:val="24"/>
                <w:szCs w:val="24"/>
                <w:b w:val="1"/>
                <w:bCs w:val="1"/>
                <w:color w:val="auto"/>
                <w:vertAlign w:val="superscript"/>
              </w:rPr>
              <w:t>(2)</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Total</w:t>
            </w:r>
          </w:p>
        </w:tc>
      </w:tr>
      <w:tr>
        <w:trPr>
          <w:trHeight w:val="169"/>
        </w:trPr>
        <w:tc>
          <w:tcPr>
            <w:tcW w:w="2160" w:type="dxa"/>
            <w:vAlign w:val="bottom"/>
            <w:shd w:val="clear" w:color="auto" w:fill="DCDDDE"/>
          </w:tcPr>
          <w:p>
            <w:pPr>
              <w:spacing w:after="0"/>
              <w:rPr>
                <w:sz w:val="20"/>
                <w:szCs w:val="20"/>
                <w:color w:val="auto"/>
              </w:rPr>
            </w:pPr>
            <w:r>
              <w:rPr>
                <w:rFonts w:ascii="Arial" w:cs="Arial" w:eastAsia="Arial" w:hAnsi="Arial"/>
                <w:sz w:val="14"/>
                <w:szCs w:val="14"/>
                <w:color w:val="auto"/>
              </w:rPr>
              <w:t>Robert M. Bakish</w:t>
            </w:r>
          </w:p>
        </w:tc>
        <w:tc>
          <w:tcPr>
            <w:tcW w:w="2620" w:type="dxa"/>
            <w:vAlign w:val="bottom"/>
            <w:gridSpan w:val="2"/>
            <w:shd w:val="clear" w:color="auto" w:fill="DCDDDE"/>
          </w:tcPr>
          <w:p>
            <w:pPr>
              <w:jc w:val="right"/>
              <w:ind w:right="1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3,773,077</w:t>
            </w:r>
          </w:p>
        </w:tc>
        <w:tc>
          <w:tcPr>
            <w:tcW w:w="380" w:type="dxa"/>
            <w:vAlign w:val="bottom"/>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8,763,359</w:t>
            </w:r>
          </w:p>
        </w:tc>
        <w:tc>
          <w:tcPr>
            <w:tcW w:w="38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53,520</w:t>
            </w:r>
          </w:p>
        </w:tc>
        <w:tc>
          <w:tcPr>
            <w:tcW w:w="4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12,589,956</w:t>
            </w:r>
          </w:p>
        </w:tc>
      </w:tr>
      <w:tr>
        <w:trPr>
          <w:trHeight w:val="176"/>
        </w:trPr>
        <w:tc>
          <w:tcPr>
            <w:tcW w:w="2160" w:type="dxa"/>
            <w:vAlign w:val="bottom"/>
          </w:tcPr>
          <w:p>
            <w:pPr>
              <w:spacing w:after="0"/>
              <w:rPr>
                <w:sz w:val="20"/>
                <w:szCs w:val="20"/>
                <w:color w:val="auto"/>
              </w:rPr>
            </w:pPr>
            <w:r>
              <w:rPr>
                <w:rFonts w:ascii="Arial" w:cs="Arial" w:eastAsia="Arial" w:hAnsi="Arial"/>
                <w:sz w:val="14"/>
                <w:szCs w:val="14"/>
                <w:color w:val="auto"/>
              </w:rPr>
              <w:t>Wade C. Davis</w:t>
            </w:r>
          </w:p>
        </w:tc>
        <w:tc>
          <w:tcPr>
            <w:tcW w:w="2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2,052,885</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2,919,847</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32,504</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5,005,236</w:t>
            </w:r>
          </w:p>
        </w:tc>
      </w:tr>
      <w:tr>
        <w:trPr>
          <w:trHeight w:val="176"/>
        </w:trPr>
        <w:tc>
          <w:tcPr>
            <w:tcW w:w="2160" w:type="dxa"/>
            <w:vAlign w:val="bottom"/>
            <w:shd w:val="clear" w:color="auto" w:fill="DCDDDE"/>
          </w:tcPr>
          <w:p>
            <w:pPr>
              <w:spacing w:after="0"/>
              <w:rPr>
                <w:sz w:val="20"/>
                <w:szCs w:val="20"/>
                <w:color w:val="auto"/>
              </w:rPr>
            </w:pPr>
            <w:r>
              <w:rPr>
                <w:rFonts w:ascii="Arial" w:cs="Arial" w:eastAsia="Arial" w:hAnsi="Arial"/>
                <w:sz w:val="14"/>
                <w:szCs w:val="14"/>
                <w:color w:val="auto"/>
              </w:rPr>
              <w:t>Christa A. D'Alimonte</w:t>
            </w:r>
          </w:p>
        </w:tc>
        <w:tc>
          <w:tcPr>
            <w:tcW w:w="2620" w:type="dxa"/>
            <w:vAlign w:val="bottom"/>
            <w:gridSpan w:val="2"/>
            <w:shd w:val="clear" w:color="auto" w:fill="DCDDDE"/>
          </w:tcPr>
          <w:p>
            <w:pPr>
              <w:jc w:val="right"/>
              <w:ind w:right="1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1,638,923</w:t>
            </w:r>
          </w:p>
        </w:tc>
        <w:tc>
          <w:tcPr>
            <w:tcW w:w="380" w:type="dxa"/>
            <w:vAlign w:val="bottom"/>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1,630,458</w:t>
            </w:r>
          </w:p>
        </w:tc>
        <w:tc>
          <w:tcPr>
            <w:tcW w:w="38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41,384</w:t>
            </w:r>
          </w:p>
        </w:tc>
        <w:tc>
          <w:tcPr>
            <w:tcW w:w="4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3,310,765</w:t>
            </w:r>
          </w:p>
        </w:tc>
      </w:tr>
      <w:tr>
        <w:trPr>
          <w:trHeight w:val="176"/>
        </w:trPr>
        <w:tc>
          <w:tcPr>
            <w:tcW w:w="2160" w:type="dxa"/>
            <w:vAlign w:val="bottom"/>
          </w:tcPr>
          <w:p>
            <w:pPr>
              <w:spacing w:after="0"/>
              <w:rPr>
                <w:sz w:val="20"/>
                <w:szCs w:val="20"/>
                <w:color w:val="auto"/>
              </w:rPr>
            </w:pPr>
            <w:r>
              <w:rPr>
                <w:rFonts w:ascii="Arial" w:cs="Arial" w:eastAsia="Arial" w:hAnsi="Arial"/>
                <w:sz w:val="14"/>
                <w:szCs w:val="14"/>
                <w:color w:val="auto"/>
              </w:rPr>
              <w:t>Doretha (DeDe) F. Lea</w:t>
            </w:r>
          </w:p>
        </w:tc>
        <w:tc>
          <w:tcPr>
            <w:tcW w:w="2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1,833,618</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1,447,962</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64,094</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3,345,674</w:t>
            </w:r>
          </w:p>
        </w:tc>
      </w:tr>
      <w:tr>
        <w:trPr>
          <w:trHeight w:val="176"/>
        </w:trPr>
        <w:tc>
          <w:tcPr>
            <w:tcW w:w="216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Scott M. Mills</w:t>
            </w:r>
          </w:p>
        </w:tc>
        <w:tc>
          <w:tcPr>
            <w:tcW w:w="2620" w:type="dxa"/>
            <w:vAlign w:val="bottom"/>
            <w:tcBorders>
              <w:bottom w:val="single" w:sz="8" w:color="auto"/>
            </w:tcBorders>
            <w:gridSpan w:val="2"/>
            <w:shd w:val="clear" w:color="auto" w:fill="DCDDDE"/>
          </w:tcPr>
          <w:p>
            <w:pPr>
              <w:jc w:val="right"/>
              <w:ind w:right="1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CDDDE"/>
          </w:tcPr>
          <w:p>
            <w:pPr>
              <w:jc w:val="right"/>
              <w:ind w:right="68"/>
              <w:spacing w:after="0"/>
              <w:rPr>
                <w:sz w:val="20"/>
                <w:szCs w:val="20"/>
                <w:color w:val="auto"/>
              </w:rPr>
            </w:pPr>
            <w:r>
              <w:rPr>
                <w:rFonts w:ascii="Arial" w:cs="Arial" w:eastAsia="Arial" w:hAnsi="Arial"/>
                <w:sz w:val="14"/>
                <w:szCs w:val="14"/>
                <w:color w:val="auto"/>
              </w:rPr>
              <w:t>3,075,962</w:t>
            </w:r>
          </w:p>
        </w:tc>
        <w:tc>
          <w:tcPr>
            <w:tcW w:w="380" w:type="dxa"/>
            <w:vAlign w:val="bottom"/>
            <w:tcBorders>
              <w:bottom w:val="single" w:sz="8" w:color="auto"/>
            </w:tcBorders>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CDDDE"/>
          </w:tcPr>
          <w:p>
            <w:pPr>
              <w:jc w:val="right"/>
              <w:ind w:right="68"/>
              <w:spacing w:after="0"/>
              <w:rPr>
                <w:sz w:val="20"/>
                <w:szCs w:val="20"/>
                <w:color w:val="auto"/>
              </w:rPr>
            </w:pPr>
            <w:r>
              <w:rPr>
                <w:rFonts w:ascii="Arial" w:cs="Arial" w:eastAsia="Arial" w:hAnsi="Arial"/>
                <w:sz w:val="14"/>
                <w:szCs w:val="14"/>
                <w:color w:val="auto"/>
              </w:rPr>
              <w:t>4,370,229</w:t>
            </w:r>
          </w:p>
        </w:tc>
        <w:tc>
          <w:tcPr>
            <w:tcW w:w="380" w:type="dxa"/>
            <w:vAlign w:val="bottom"/>
            <w:tcBorders>
              <w:bottom w:val="single" w:sz="8" w:color="auto"/>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DCDDDE"/>
          </w:tcPr>
          <w:p>
            <w:pPr>
              <w:jc w:val="right"/>
              <w:ind w:right="68"/>
              <w:spacing w:after="0"/>
              <w:rPr>
                <w:sz w:val="20"/>
                <w:szCs w:val="20"/>
                <w:color w:val="auto"/>
              </w:rPr>
            </w:pPr>
            <w:r>
              <w:rPr>
                <w:rFonts w:ascii="Arial" w:cs="Arial" w:eastAsia="Arial" w:hAnsi="Arial"/>
                <w:sz w:val="14"/>
                <w:szCs w:val="14"/>
                <w:color w:val="auto"/>
              </w:rPr>
              <w:t>57,242</w:t>
            </w:r>
          </w:p>
        </w:tc>
        <w:tc>
          <w:tcPr>
            <w:tcW w:w="460" w:type="dxa"/>
            <w:vAlign w:val="bottom"/>
            <w:tcBorders>
              <w:bottom w:val="single" w:sz="8" w:color="auto"/>
            </w:tcBorders>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CDDDE"/>
          </w:tcPr>
          <w:p>
            <w:pPr>
              <w:jc w:val="right"/>
              <w:ind w:right="68"/>
              <w:spacing w:after="0"/>
              <w:rPr>
                <w:sz w:val="20"/>
                <w:szCs w:val="20"/>
                <w:color w:val="auto"/>
              </w:rPr>
            </w:pPr>
            <w:r>
              <w:rPr>
                <w:rFonts w:ascii="Arial" w:cs="Arial" w:eastAsia="Arial" w:hAnsi="Arial"/>
                <w:sz w:val="14"/>
                <w:szCs w:val="14"/>
                <w:color w:val="auto"/>
              </w:rPr>
              <w:t>7,503,433</w:t>
            </w:r>
          </w:p>
        </w:tc>
      </w:tr>
    </w:tbl>
    <w:p>
      <w:pPr>
        <w:spacing w:after="0" w:line="107" w:lineRule="exact"/>
        <w:rPr>
          <w:sz w:val="20"/>
          <w:szCs w:val="20"/>
          <w:color w:val="auto"/>
        </w:rPr>
      </w:pPr>
    </w:p>
    <w:p>
      <w:pPr>
        <w:ind w:left="440" w:hanging="432"/>
        <w:spacing w:after="0" w:line="231" w:lineRule="auto"/>
        <w:tabs>
          <w:tab w:leader="none" w:pos="4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Cash severance capped under employment agreement at two times the sum of base salary and target bonus amount. Amounts are reduced if less than two years remain on the employment agreement. Amounts shown do not include salary and bonus earned prior to separation.</w:t>
      </w:r>
    </w:p>
    <w:p>
      <w:pPr>
        <w:spacing w:after="0" w:line="1" w:lineRule="exact"/>
        <w:rPr>
          <w:rFonts w:ascii="Arial" w:cs="Arial" w:eastAsia="Arial" w:hAnsi="Arial"/>
          <w:sz w:val="14"/>
          <w:szCs w:val="14"/>
          <w:i w:val="1"/>
          <w:iCs w:val="1"/>
          <w:color w:val="auto"/>
        </w:rPr>
      </w:pPr>
    </w:p>
    <w:p>
      <w:pPr>
        <w:ind w:left="440" w:hanging="432"/>
        <w:spacing w:after="0"/>
        <w:tabs>
          <w:tab w:leader="none" w:pos="4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Continuation of health and welfare benefits and life insurance premiums.</w:t>
      </w:r>
    </w:p>
    <w:p>
      <w:pPr>
        <w:spacing w:after="0" w:line="200" w:lineRule="exact"/>
        <w:rPr>
          <w:sz w:val="20"/>
          <w:szCs w:val="20"/>
          <w:color w:val="auto"/>
        </w:rPr>
      </w:pPr>
    </w:p>
    <w:p>
      <w:pPr>
        <w:spacing w:after="0" w:line="268"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following table sets forth the market value of outstanding equity awards that would have accelerated in connection with a termination without “cause” or resignation for “good reason” effective September 30, 2018, assuming the Class B shares underlying the awards were sold on September 30, 2018. The table values RSUs as of September 30, 2018. The closing price of our Class B common stock on September 30, 2018 was $33.76.</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49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Market Value of Accelerated Equity Awards</w:t>
            </w:r>
          </w:p>
        </w:tc>
      </w:tr>
      <w:tr>
        <w:trPr>
          <w:trHeight w:val="169"/>
        </w:trPr>
        <w:tc>
          <w:tcPr>
            <w:tcW w:w="3060" w:type="dxa"/>
            <w:vAlign w:val="bottom"/>
            <w:shd w:val="clear" w:color="auto" w:fill="DCDDDE"/>
          </w:tcPr>
          <w:p>
            <w:pPr>
              <w:spacing w:after="0"/>
              <w:rPr>
                <w:sz w:val="20"/>
                <w:szCs w:val="20"/>
                <w:color w:val="auto"/>
              </w:rPr>
            </w:pPr>
            <w:r>
              <w:rPr>
                <w:rFonts w:ascii="Arial" w:cs="Arial" w:eastAsia="Arial" w:hAnsi="Arial"/>
                <w:sz w:val="14"/>
                <w:szCs w:val="14"/>
                <w:color w:val="auto"/>
              </w:rPr>
              <w:t>Robert M. Bakish</w:t>
            </w:r>
          </w:p>
        </w:tc>
        <w:tc>
          <w:tcPr>
            <w:tcW w:w="3940" w:type="dxa"/>
            <w:vAlign w:val="bottom"/>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DCDDDE"/>
          </w:tcPr>
          <w:p>
            <w:pPr>
              <w:jc w:val="right"/>
              <w:ind w:right="128"/>
              <w:spacing w:after="0"/>
              <w:rPr>
                <w:sz w:val="20"/>
                <w:szCs w:val="20"/>
                <w:color w:val="auto"/>
              </w:rPr>
            </w:pPr>
            <w:r>
              <w:rPr>
                <w:rFonts w:ascii="Arial" w:cs="Arial" w:eastAsia="Arial" w:hAnsi="Arial"/>
                <w:sz w:val="14"/>
                <w:szCs w:val="14"/>
                <w:color w:val="auto"/>
              </w:rPr>
              <w:t>6,535,974</w:t>
            </w:r>
          </w:p>
        </w:tc>
      </w:tr>
      <w:tr>
        <w:trPr>
          <w:trHeight w:val="176"/>
        </w:trPr>
        <w:tc>
          <w:tcPr>
            <w:tcW w:w="3060" w:type="dxa"/>
            <w:vAlign w:val="bottom"/>
          </w:tcPr>
          <w:p>
            <w:pPr>
              <w:spacing w:after="0"/>
              <w:rPr>
                <w:sz w:val="20"/>
                <w:szCs w:val="20"/>
                <w:color w:val="auto"/>
              </w:rPr>
            </w:pPr>
            <w:r>
              <w:rPr>
                <w:rFonts w:ascii="Arial" w:cs="Arial" w:eastAsia="Arial" w:hAnsi="Arial"/>
                <w:sz w:val="14"/>
                <w:szCs w:val="14"/>
                <w:color w:val="auto"/>
              </w:rPr>
              <w:t>Wade C. Davis</w:t>
            </w:r>
          </w:p>
        </w:tc>
        <w:tc>
          <w:tcPr>
            <w:tcW w:w="3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383,803</w:t>
            </w:r>
          </w:p>
        </w:tc>
      </w:tr>
      <w:tr>
        <w:trPr>
          <w:trHeight w:val="176"/>
        </w:trPr>
        <w:tc>
          <w:tcPr>
            <w:tcW w:w="3060" w:type="dxa"/>
            <w:vAlign w:val="bottom"/>
            <w:shd w:val="clear" w:color="auto" w:fill="DCDDDE"/>
          </w:tcPr>
          <w:p>
            <w:pPr>
              <w:spacing w:after="0"/>
              <w:rPr>
                <w:sz w:val="20"/>
                <w:szCs w:val="20"/>
                <w:color w:val="auto"/>
              </w:rPr>
            </w:pPr>
            <w:r>
              <w:rPr>
                <w:rFonts w:ascii="Arial" w:cs="Arial" w:eastAsia="Arial" w:hAnsi="Arial"/>
                <w:sz w:val="14"/>
                <w:szCs w:val="14"/>
                <w:color w:val="auto"/>
              </w:rPr>
              <w:t>Christa A. D'Alimonte</w:t>
            </w:r>
          </w:p>
        </w:tc>
        <w:tc>
          <w:tcPr>
            <w:tcW w:w="3940" w:type="dxa"/>
            <w:vAlign w:val="bottom"/>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DCDDDE"/>
          </w:tcPr>
          <w:p>
            <w:pPr>
              <w:jc w:val="right"/>
              <w:ind w:right="128"/>
              <w:spacing w:after="0"/>
              <w:rPr>
                <w:sz w:val="20"/>
                <w:szCs w:val="20"/>
                <w:color w:val="auto"/>
              </w:rPr>
            </w:pPr>
            <w:r>
              <w:rPr>
                <w:rFonts w:ascii="Arial" w:cs="Arial" w:eastAsia="Arial" w:hAnsi="Arial"/>
                <w:sz w:val="14"/>
                <w:szCs w:val="14"/>
                <w:color w:val="auto"/>
              </w:rPr>
              <w:t>547,380</w:t>
            </w:r>
          </w:p>
        </w:tc>
      </w:tr>
      <w:tr>
        <w:trPr>
          <w:trHeight w:val="176"/>
        </w:trPr>
        <w:tc>
          <w:tcPr>
            <w:tcW w:w="3060" w:type="dxa"/>
            <w:vAlign w:val="bottom"/>
          </w:tcPr>
          <w:p>
            <w:pPr>
              <w:spacing w:after="0"/>
              <w:rPr>
                <w:sz w:val="20"/>
                <w:szCs w:val="20"/>
                <w:color w:val="auto"/>
              </w:rPr>
            </w:pPr>
            <w:r>
              <w:rPr>
                <w:rFonts w:ascii="Arial" w:cs="Arial" w:eastAsia="Arial" w:hAnsi="Arial"/>
                <w:sz w:val="14"/>
                <w:szCs w:val="14"/>
                <w:color w:val="auto"/>
              </w:rPr>
              <w:t>Doretha (DeDe) F. Lea</w:t>
            </w:r>
          </w:p>
        </w:tc>
        <w:tc>
          <w:tcPr>
            <w:tcW w:w="3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691,554</w:t>
            </w:r>
          </w:p>
        </w:tc>
      </w:tr>
      <w:tr>
        <w:trPr>
          <w:trHeight w:val="176"/>
        </w:trPr>
        <w:tc>
          <w:tcPr>
            <w:tcW w:w="3060" w:type="dxa"/>
            <w:vAlign w:val="bottom"/>
            <w:tcBorders>
              <w:bottom w:val="single" w:sz="8" w:color="auto"/>
            </w:tcBorders>
            <w:shd w:val="clear" w:color="auto" w:fill="DCDDDE"/>
          </w:tcPr>
          <w:p>
            <w:pPr>
              <w:spacing w:after="0"/>
              <w:rPr>
                <w:sz w:val="20"/>
                <w:szCs w:val="20"/>
                <w:color w:val="auto"/>
              </w:rPr>
            </w:pPr>
            <w:r>
              <w:rPr>
                <w:rFonts w:ascii="Arial" w:cs="Arial" w:eastAsia="Arial" w:hAnsi="Arial"/>
                <w:sz w:val="14"/>
                <w:szCs w:val="14"/>
                <w:color w:val="auto"/>
              </w:rPr>
              <w:t>Scott M. Mills</w:t>
            </w:r>
          </w:p>
        </w:tc>
        <w:tc>
          <w:tcPr>
            <w:tcW w:w="3940" w:type="dxa"/>
            <w:vAlign w:val="bottom"/>
            <w:tcBorders>
              <w:bottom w:val="single" w:sz="8" w:color="auto"/>
            </w:tcBorders>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CDDDE"/>
          </w:tcPr>
          <w:p>
            <w:pPr>
              <w:jc w:val="right"/>
              <w:ind w:right="128"/>
              <w:spacing w:after="0"/>
              <w:rPr>
                <w:sz w:val="20"/>
                <w:szCs w:val="20"/>
                <w:color w:val="auto"/>
              </w:rPr>
            </w:pPr>
            <w:r>
              <w:rPr>
                <w:rFonts w:ascii="Arial" w:cs="Arial" w:eastAsia="Arial" w:hAnsi="Arial"/>
                <w:sz w:val="14"/>
                <w:szCs w:val="14"/>
                <w:color w:val="auto"/>
              </w:rPr>
              <w:t>2,222,916</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Specific Employment Agreement Provisions of Our NEOs</w:t>
      </w:r>
    </w:p>
    <w:p>
      <w:pPr>
        <w:sectPr>
          <w:pgSz w:w="11900" w:h="16838" w:orient="portrait"/>
          <w:cols w:equalWidth="0" w:num="1">
            <w:col w:w="11420"/>
          </w:cols>
          <w:pgMar w:left="240" w:top="125" w:right="23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Without “Cause” or Resignation for “Good Reason”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Severance</w:t>
      </w:r>
    </w:p>
    <w:p>
      <w:pPr>
        <w:spacing w:after="0" w:line="350" w:lineRule="exact"/>
        <w:rPr>
          <w:sz w:val="20"/>
          <w:szCs w:val="20"/>
          <w:color w:val="auto"/>
        </w:rPr>
      </w:pPr>
    </w:p>
    <w:p>
      <w:pPr>
        <w:jc w:val="both"/>
        <w:ind w:left="140" w:right="40" w:hanging="132"/>
        <w:spacing w:after="0" w:line="235" w:lineRule="auto"/>
        <w:tabs>
          <w:tab w:leader="none" w:pos="140" w:val="left"/>
        </w:tabs>
        <w:numPr>
          <w:ilvl w:val="0"/>
          <w:numId w:val="87"/>
        </w:numPr>
        <w:rPr>
          <w:rFonts w:ascii="Arial" w:cs="Arial" w:eastAsia="Arial" w:hAnsi="Arial"/>
          <w:sz w:val="17"/>
          <w:szCs w:val="17"/>
          <w:color w:val="1CB6EA"/>
        </w:rPr>
      </w:pPr>
      <w:r>
        <w:rPr>
          <w:rFonts w:ascii="Arial" w:cs="Arial" w:eastAsia="Arial" w:hAnsi="Arial"/>
          <w:sz w:val="17"/>
          <w:szCs w:val="17"/>
          <w:color w:val="auto"/>
        </w:rPr>
        <w:t>Subject to an overall cap of 2x the sum of annual base salary and target bonus amount, salary is payable at specified rate for the longer of 1 year or the end of the contract term, and annual bonus or pro-rated bonus amount (as applicable) is payable at the lesser of target amount or corporate multiplier if under 100% through the end of the contract term.</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Unvested Equity Awards</w:t>
      </w:r>
    </w:p>
    <w:p>
      <w:pPr>
        <w:spacing w:after="0" w:line="305" w:lineRule="exact"/>
        <w:rPr>
          <w:sz w:val="20"/>
          <w:szCs w:val="20"/>
          <w:color w:val="auto"/>
        </w:rPr>
      </w:pPr>
    </w:p>
    <w:p>
      <w:pPr>
        <w:ind w:left="140" w:right="60" w:hanging="132"/>
        <w:spacing w:after="0" w:line="265" w:lineRule="auto"/>
        <w:tabs>
          <w:tab w:leader="none" w:pos="140" w:val="left"/>
        </w:tabs>
        <w:numPr>
          <w:ilvl w:val="0"/>
          <w:numId w:val="88"/>
        </w:numPr>
        <w:rPr>
          <w:rFonts w:ascii="Arial" w:cs="Arial" w:eastAsia="Arial" w:hAnsi="Arial"/>
          <w:sz w:val="17"/>
          <w:szCs w:val="17"/>
          <w:color w:val="1CB6EA"/>
        </w:rPr>
      </w:pPr>
      <w:r>
        <w:rPr>
          <w:rFonts w:ascii="Arial" w:cs="Arial" w:eastAsia="Arial" w:hAnsi="Arial"/>
          <w:sz w:val="17"/>
          <w:szCs w:val="17"/>
          <w:i w:val="1"/>
          <w:iCs w:val="1"/>
          <w:color w:val="auto"/>
        </w:rPr>
        <w:t xml:space="preserve">PSUs: </w:t>
      </w:r>
      <w:r>
        <w:rPr>
          <w:rFonts w:ascii="Arial" w:cs="Arial" w:eastAsia="Arial" w:hAnsi="Arial"/>
          <w:sz w:val="17"/>
          <w:szCs w:val="17"/>
          <w:color w:val="auto"/>
        </w:rPr>
        <w:t>Outstanding PSUs will be paid out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underlying each PSU award.</w:t>
      </w:r>
    </w:p>
    <w:p>
      <w:pPr>
        <w:spacing w:after="0" w:line="14" w:lineRule="exact"/>
        <w:rPr>
          <w:rFonts w:ascii="Arial" w:cs="Arial" w:eastAsia="Arial" w:hAnsi="Arial"/>
          <w:sz w:val="17"/>
          <w:szCs w:val="17"/>
          <w:color w:val="1CB6EA"/>
        </w:rPr>
      </w:pPr>
    </w:p>
    <w:p>
      <w:pPr>
        <w:ind w:left="140" w:right="60" w:hanging="132"/>
        <w:spacing w:after="0" w:line="265" w:lineRule="auto"/>
        <w:tabs>
          <w:tab w:leader="none" w:pos="140" w:val="left"/>
        </w:tabs>
        <w:numPr>
          <w:ilvl w:val="0"/>
          <w:numId w:val="88"/>
        </w:numPr>
        <w:rPr>
          <w:rFonts w:ascii="Arial" w:cs="Arial" w:eastAsia="Arial" w:hAnsi="Arial"/>
          <w:sz w:val="17"/>
          <w:szCs w:val="17"/>
          <w:color w:val="1CB6EA"/>
        </w:rPr>
      </w:pPr>
      <w:r>
        <w:rPr>
          <w:rFonts w:ascii="Arial" w:cs="Arial" w:eastAsia="Arial" w:hAnsi="Arial"/>
          <w:sz w:val="17"/>
          <w:szCs w:val="17"/>
          <w:i w:val="1"/>
          <w:iCs w:val="1"/>
          <w:color w:val="auto"/>
        </w:rPr>
        <w:t xml:space="preserve">Stock Options and RSUs: </w:t>
      </w:r>
      <w:r>
        <w:rPr>
          <w:rFonts w:ascii="Arial" w:cs="Arial" w:eastAsia="Arial" w:hAnsi="Arial"/>
          <w:sz w:val="17"/>
          <w:szCs w:val="17"/>
          <w:color w:val="auto"/>
        </w:rPr>
        <w:t>Unvested stock options that would have</w:t>
      </w:r>
      <w:r>
        <w:rPr>
          <w:rFonts w:ascii="Arial" w:cs="Arial" w:eastAsia="Arial" w:hAnsi="Arial"/>
          <w:sz w:val="17"/>
          <w:szCs w:val="17"/>
          <w:i w:val="1"/>
          <w:iCs w:val="1"/>
          <w:color w:val="auto"/>
        </w:rPr>
        <w:t xml:space="preserve"> </w:t>
      </w:r>
      <w:r>
        <w:rPr>
          <w:rFonts w:ascii="Arial" w:cs="Arial" w:eastAsia="Arial" w:hAnsi="Arial"/>
          <w:sz w:val="17"/>
          <w:szCs w:val="17"/>
          <w:color w:val="auto"/>
        </w:rPr>
        <w:t>vested during the contract term</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Vested Equity Awards</w:t>
      </w:r>
    </w:p>
    <w:p>
      <w:pPr>
        <w:spacing w:after="0" w:line="32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Vested stock options will remain exercisable for six months (or until their expiration date, if earlier).</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due to Death, Permanent Disability or Retirement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Unvested Equity Awards</w:t>
      </w:r>
    </w:p>
    <w:p>
      <w:pPr>
        <w:spacing w:after="0" w:line="386" w:lineRule="exact"/>
        <w:rPr>
          <w:sz w:val="20"/>
          <w:szCs w:val="20"/>
          <w:color w:val="auto"/>
        </w:rPr>
      </w:pPr>
    </w:p>
    <w:p>
      <w:pPr>
        <w:ind w:left="140" w:right="60" w:hanging="132"/>
        <w:spacing w:after="0" w:line="265" w:lineRule="auto"/>
        <w:tabs>
          <w:tab w:leader="none" w:pos="140" w:val="left"/>
        </w:tabs>
        <w:numPr>
          <w:ilvl w:val="0"/>
          <w:numId w:val="89"/>
        </w:numPr>
        <w:rPr>
          <w:rFonts w:ascii="Arial" w:cs="Arial" w:eastAsia="Arial" w:hAnsi="Arial"/>
          <w:sz w:val="17"/>
          <w:szCs w:val="17"/>
          <w:color w:val="1CB6EA"/>
        </w:rPr>
      </w:pPr>
      <w:r>
        <w:rPr>
          <w:rFonts w:ascii="Arial" w:cs="Arial" w:eastAsia="Arial" w:hAnsi="Arial"/>
          <w:sz w:val="17"/>
          <w:szCs w:val="17"/>
          <w:i w:val="1"/>
          <w:iCs w:val="1"/>
          <w:color w:val="auto"/>
        </w:rPr>
        <w:t xml:space="preserve">PSUs: </w:t>
      </w:r>
      <w:r>
        <w:rPr>
          <w:rFonts w:ascii="Arial" w:cs="Arial" w:eastAsia="Arial" w:hAnsi="Arial"/>
          <w:sz w:val="17"/>
          <w:szCs w:val="17"/>
          <w:color w:val="auto"/>
        </w:rPr>
        <w:t>Outstanding PSUs will be paid out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underlying each PSU award.</w:t>
      </w:r>
    </w:p>
    <w:p>
      <w:pPr>
        <w:spacing w:after="0" w:line="14" w:lineRule="exact"/>
        <w:rPr>
          <w:rFonts w:ascii="Arial" w:cs="Arial" w:eastAsia="Arial" w:hAnsi="Arial"/>
          <w:sz w:val="17"/>
          <w:szCs w:val="17"/>
          <w:color w:val="1CB6EA"/>
        </w:rPr>
      </w:pPr>
    </w:p>
    <w:p>
      <w:pPr>
        <w:ind w:left="140" w:right="60" w:hanging="132"/>
        <w:spacing w:after="0" w:line="265" w:lineRule="auto"/>
        <w:tabs>
          <w:tab w:leader="none" w:pos="140" w:val="left"/>
        </w:tabs>
        <w:numPr>
          <w:ilvl w:val="0"/>
          <w:numId w:val="89"/>
        </w:numPr>
        <w:rPr>
          <w:rFonts w:ascii="Arial" w:cs="Arial" w:eastAsia="Arial" w:hAnsi="Arial"/>
          <w:sz w:val="17"/>
          <w:szCs w:val="17"/>
          <w:color w:val="1CB6EA"/>
        </w:rPr>
      </w:pPr>
      <w:r>
        <w:rPr>
          <w:rFonts w:ascii="Arial" w:cs="Arial" w:eastAsia="Arial" w:hAnsi="Arial"/>
          <w:sz w:val="17"/>
          <w:szCs w:val="17"/>
          <w:i w:val="1"/>
          <w:iCs w:val="1"/>
          <w:color w:val="auto"/>
        </w:rPr>
        <w:t xml:space="preserve">Stock Options and RSUs: </w:t>
      </w:r>
      <w:r>
        <w:rPr>
          <w:rFonts w:ascii="Arial" w:cs="Arial" w:eastAsia="Arial" w:hAnsi="Arial"/>
          <w:sz w:val="17"/>
          <w:szCs w:val="17"/>
          <w:color w:val="auto"/>
        </w:rPr>
        <w:t>If due to death or permanent 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unvested stock options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410210</wp:posOffset>
            </wp:positionV>
            <wp:extent cx="8890" cy="266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38" w:right="20" w:hanging="138"/>
        <w:spacing w:after="0" w:line="248" w:lineRule="auto"/>
        <w:tabs>
          <w:tab w:leader="none" w:pos="138" w:val="left"/>
        </w:tabs>
        <w:numPr>
          <w:ilvl w:val="0"/>
          <w:numId w:val="90"/>
        </w:numPr>
        <w:rPr>
          <w:rFonts w:ascii="Arial" w:cs="Arial" w:eastAsia="Arial" w:hAnsi="Arial"/>
          <w:sz w:val="17"/>
          <w:szCs w:val="17"/>
          <w:color w:val="1CB6EA"/>
        </w:rPr>
      </w:pPr>
      <w:r>
        <w:rPr>
          <w:rFonts w:ascii="Arial" w:cs="Arial" w:eastAsia="Arial" w:hAnsi="Arial"/>
          <w:sz w:val="17"/>
          <w:szCs w:val="17"/>
          <w:i w:val="1"/>
          <w:iCs w:val="1"/>
          <w:color w:val="auto"/>
        </w:rPr>
        <w:t>Offset</w:t>
      </w:r>
      <w:r>
        <w:rPr>
          <w:rFonts w:ascii="Arial" w:cs="Arial" w:eastAsia="Arial" w:hAnsi="Arial"/>
          <w:sz w:val="17"/>
          <w:szCs w:val="17"/>
          <w:color w:val="auto"/>
        </w:rPr>
        <w:t>: The company has the right to offset severance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following 12 months after termination to the extent they are receiving other compensation for their services.</w:t>
      </w:r>
    </w:p>
    <w:p>
      <w:pPr>
        <w:spacing w:after="0" w:line="200" w:lineRule="exact"/>
        <w:rPr>
          <w:rFonts w:ascii="Arial" w:cs="Arial" w:eastAsia="Arial" w:hAnsi="Arial"/>
          <w:sz w:val="17"/>
          <w:szCs w:val="17"/>
          <w:color w:val="1CB6EA"/>
        </w:rPr>
      </w:pPr>
    </w:p>
    <w:p>
      <w:pPr>
        <w:spacing w:after="0" w:line="200" w:lineRule="exact"/>
        <w:rPr>
          <w:rFonts w:ascii="Arial" w:cs="Arial" w:eastAsia="Arial" w:hAnsi="Arial"/>
          <w:sz w:val="17"/>
          <w:szCs w:val="17"/>
          <w:color w:val="1CB6EA"/>
        </w:rPr>
      </w:pPr>
    </w:p>
    <w:p>
      <w:pPr>
        <w:spacing w:after="0" w:line="200" w:lineRule="exact"/>
        <w:rPr>
          <w:rFonts w:ascii="Arial" w:cs="Arial" w:eastAsia="Arial" w:hAnsi="Arial"/>
          <w:sz w:val="17"/>
          <w:szCs w:val="17"/>
          <w:color w:val="1CB6EA"/>
        </w:rPr>
      </w:pPr>
    </w:p>
    <w:p>
      <w:pPr>
        <w:spacing w:after="0" w:line="200" w:lineRule="exact"/>
        <w:rPr>
          <w:rFonts w:ascii="Arial" w:cs="Arial" w:eastAsia="Arial" w:hAnsi="Arial"/>
          <w:sz w:val="17"/>
          <w:szCs w:val="17"/>
          <w:color w:val="1CB6EA"/>
        </w:rPr>
      </w:pPr>
    </w:p>
    <w:p>
      <w:pPr>
        <w:spacing w:after="0" w:line="200" w:lineRule="exact"/>
        <w:rPr>
          <w:rFonts w:ascii="Arial" w:cs="Arial" w:eastAsia="Arial" w:hAnsi="Arial"/>
          <w:sz w:val="17"/>
          <w:szCs w:val="17"/>
          <w:color w:val="1CB6EA"/>
        </w:rPr>
      </w:pPr>
    </w:p>
    <w:p>
      <w:pPr>
        <w:spacing w:after="0" w:line="200" w:lineRule="exact"/>
        <w:rPr>
          <w:rFonts w:ascii="Arial" w:cs="Arial" w:eastAsia="Arial" w:hAnsi="Arial"/>
          <w:sz w:val="17"/>
          <w:szCs w:val="17"/>
          <w:color w:val="1CB6EA"/>
        </w:rPr>
      </w:pPr>
    </w:p>
    <w:p>
      <w:pPr>
        <w:spacing w:after="0" w:line="251" w:lineRule="exact"/>
        <w:rPr>
          <w:rFonts w:ascii="Arial" w:cs="Arial" w:eastAsia="Arial" w:hAnsi="Arial"/>
          <w:sz w:val="17"/>
          <w:szCs w:val="17"/>
          <w:color w:val="1CB6EA"/>
        </w:rPr>
      </w:pPr>
    </w:p>
    <w:p>
      <w:pPr>
        <w:jc w:val="both"/>
        <w:ind w:left="138" w:right="20"/>
        <w:spacing w:after="0" w:line="238" w:lineRule="auto"/>
        <w:rPr>
          <w:rFonts w:ascii="Arial" w:cs="Arial" w:eastAsia="Arial" w:hAnsi="Arial"/>
          <w:sz w:val="17"/>
          <w:szCs w:val="17"/>
          <w:color w:val="1CB6EA"/>
        </w:rPr>
      </w:pPr>
      <w:r>
        <w:rPr>
          <w:rFonts w:ascii="Arial" w:cs="Arial" w:eastAsia="Arial" w:hAnsi="Arial"/>
          <w:sz w:val="17"/>
          <w:szCs w:val="17"/>
          <w:color w:val="auto"/>
        </w:rPr>
        <w:t>will vest and remain exercisable for six months (or until their expiration date, if earlier). Unvested RSUs that would have vested during the contract term will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138" w:right="20"/>
        <w:spacing w:after="0" w:line="238" w:lineRule="auto"/>
        <w:rPr>
          <w:sz w:val="20"/>
          <w:szCs w:val="20"/>
          <w:color w:val="auto"/>
        </w:rPr>
      </w:pPr>
      <w:r>
        <w:rPr>
          <w:rFonts w:ascii="Arial" w:cs="Arial" w:eastAsia="Arial" w:hAnsi="Arial"/>
          <w:sz w:val="17"/>
          <w:szCs w:val="17"/>
          <w:color w:val="auto"/>
        </w:rPr>
        <w:t>RSUs will be forfeited. If due to retirement, unvested stock options that would have vested during the contract term will vest and remain exercisable for three years (or until their expiration date, if earlier).</w:t>
      </w:r>
    </w:p>
    <w:p>
      <w:pPr>
        <w:spacing w:after="0" w:line="477" w:lineRule="exact"/>
        <w:rPr>
          <w:sz w:val="20"/>
          <w:szCs w:val="20"/>
          <w:color w:val="auto"/>
        </w:rPr>
      </w:pPr>
    </w:p>
    <w:p>
      <w:pPr>
        <w:sectPr>
          <w:pgSz w:w="11900" w:h="16838" w:orient="portrait"/>
          <w:cols w:equalWidth="0" w:num="2">
            <w:col w:w="5520" w:space="422"/>
            <w:col w:w="5478"/>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b w:val="1"/>
          <w:bCs w:val="1"/>
          <w:color w:val="484848"/>
        </w:rPr>
        <w:t xml:space="preserve">62  </w:t>
      </w:r>
      <w:r>
        <w:rPr>
          <w:rFonts w:ascii="Arial" w:cs="Arial" w:eastAsia="Arial" w:hAnsi="Arial"/>
          <w:sz w:val="18"/>
          <w:szCs w:val="18"/>
          <w:b w:val="1"/>
          <w:bCs w:val="1"/>
          <w:color w:val="1CB6EA"/>
        </w:rPr>
        <w:t>VIACOM INC.</w:t>
      </w:r>
      <w:r>
        <w:rPr>
          <w:sz w:val="20"/>
          <w:szCs w:val="20"/>
          <w:color w:val="auto"/>
        </w:rPr>
        <w:tab/>
      </w:r>
      <w:r>
        <w:rPr>
          <w:rFonts w:ascii="Arial" w:cs="Arial" w:eastAsia="Arial" w:hAnsi="Arial"/>
          <w:sz w:val="18"/>
          <w:szCs w:val="18"/>
          <w:b w:val="1"/>
          <w:bCs w:val="1"/>
          <w:i w:val="1"/>
          <w:iCs w:val="1"/>
          <w:color w:val="484848"/>
        </w:rPr>
        <w:t>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FFFFFF"/>
          <w:shd w:val="clear" w:color="auto" w:fill="1CB6EA"/>
        </w:rPr>
        <w:t>EXECUTIVE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Vested Equity Awards</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Vested stock options will remain exercisable for two years, in the event of death, and three years, in the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4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Entitlement to pension benefits is described under the heading “Fiscal Year 2018 Pension Benefits.”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“Cause”</w:t>
      </w:r>
    </w:p>
    <w:p>
      <w:pPr>
        <w:spacing w:after="0" w:line="32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Under the NEOs’ employment agreements, we generally would have “cause” to terminate employment in any of the following circumstances:</w:t>
      </w:r>
    </w:p>
    <w:p>
      <w:pPr>
        <w:jc w:val="both"/>
        <w:ind w:firstLine="8"/>
        <w:spacing w:after="0" w:line="234" w:lineRule="auto"/>
        <w:tabs>
          <w:tab w:leader="none" w:pos="27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engaging in embezzlement, fraud or other conduct that would constitute a felony; (ii) engaging in conduct that would constitute a financial crime, material act of dishonesty or material unethical business conduct, involving Viacom, (iii) engaging in the willful unauthorized disclosure of confidential information; (iv) failure to obey a material lawful directive that was appropriate to the NEO’s position from an executive or executives in the NEO’s reporting line; (v) committing a material breach of the NEO’s employment agreement; (vi) failure (except in the event of disability) or refusal to substantially</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for “Good Reason”</w:t>
      </w:r>
    </w:p>
    <w:p>
      <w:pPr>
        <w:spacing w:after="0" w:line="32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NEO employment agreements include a provision permitting the executive to terminate employment for “good reason,” including in any of the following circumstances: (i) if we assign the NEO duties inconsistent with the NEO’s current position or duties; (ii) if we withdraw material portions of the</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32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NEO employment agreements contain several important restrictive covenants with which an executive must comply following termination of employment. For example, the entitlement of our NEOs to payment of any unpaid portion of the severance amount indicated in the table as owing following a termination without “cause” or resignation for “good reason” is conditioned on the executive’s compliance with covenants not to engage in any business that competes with Viacom and not to solicit certain of our employees. In some cases, Viacom may offset continuing compensation.</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event of retirement as defined in the plan (or, in each case, until their expiration date, if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perform material obligations under the NEO’s employment agreement;</w:t>
      </w:r>
    </w:p>
    <w:p>
      <w:pPr>
        <w:jc w:val="both"/>
        <w:ind w:firstLine="2"/>
        <w:spacing w:after="0" w:line="234" w:lineRule="auto"/>
        <w:tabs>
          <w:tab w:leader="none" w:pos="339" w:val="left"/>
        </w:tabs>
        <w:numPr>
          <w:ilvl w:val="0"/>
          <w:numId w:val="92"/>
        </w:numPr>
        <w:rPr>
          <w:rFonts w:ascii="Arial" w:cs="Arial" w:eastAsia="Arial" w:hAnsi="Arial"/>
          <w:sz w:val="17"/>
          <w:szCs w:val="17"/>
          <w:color w:val="auto"/>
        </w:rPr>
      </w:pPr>
      <w:r>
        <w:rPr>
          <w:rFonts w:ascii="Arial" w:cs="Arial" w:eastAsia="Arial" w:hAnsi="Arial"/>
          <w:sz w:val="17"/>
          <w:szCs w:val="17"/>
          <w:color w:val="auto"/>
        </w:rPr>
        <w:t>willful failure to cooperate with a bona fide internal investigation or investigation by regulatory or law enforcement authorities, after being instructed by Viacom to cooperate; (viii) willful destruction or failure to preserve documents or other material known to be relevant to such an investigation; or (ix) willful inducement of others to engage in the conduct described in subparagraphs (i) through (viii) above or to otherwise breach their obligations to Viacom. We are required to notify the NEO after any event that constitutes “cause” before terminating the NEO’s employment, and in general he has 10 business days after receiving notice to cure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NEO’s duties; or (iii) if we materially breach our material obligations under the NEO’s employment agreement. The executives generally are required to notify us within 30 days after the occurrence of any event that constitutes “good reason,” and in general we have 30 business days to cure the event.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employment agreements for each of the NEOs also contain covenants regarding cooperation in litigation proceedings and non-disparagement, covenants regarding non-disclosure of confidential information and recognition of Viacom’s ownership of works of authorship resulting from their services (both of unlimited duration) and covenants concerning the executive’s ability to prepare or assist in the preparation of certain creative works.</w:t>
      </w:r>
    </w:p>
    <w:p>
      <w:pPr>
        <w:spacing w:after="0" w:line="581" w:lineRule="exact"/>
        <w:rPr>
          <w:sz w:val="20"/>
          <w:szCs w:val="20"/>
          <w:color w:val="auto"/>
        </w:rPr>
      </w:pPr>
    </w:p>
    <w:p>
      <w:pPr>
        <w:sectPr>
          <w:pgSz w:w="11900" w:h="16838" w:orient="portrait"/>
          <w:cols w:equalWidth="0" w:num="2">
            <w:col w:w="5480" w:space="460"/>
            <w:col w:w="5480"/>
          </w:cols>
          <w:pgMar w:left="240" w:top="125" w:right="2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1CB6EA"/>
        </w:rPr>
        <w:t>Disability Benefits</w:t>
      </w:r>
    </w:p>
    <w:p>
      <w:pPr>
        <w:spacing w:after="0" w:line="39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the event an NEO becomes disabled during the term of employment, the NEO may participate in our short-term disability program for up to 26 weeks, and may then participate in our long-term disability program. In addition to any accrued benefits and target annual bonus payable, our NEOs would participate in our short-term disability program on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same basis as any other employee, earning 100% of base salary for the first 13 weeks of participation in the short-term disability program and 80% of base salary for the second 13 weeks. They would receive payments from our long-term disability insurer up to a maximum amount per month, until age 65.</w:t>
      </w:r>
    </w:p>
    <w:p>
      <w:pPr>
        <w:spacing w:after="0" w:line="224" w:lineRule="exact"/>
        <w:rPr>
          <w:sz w:val="20"/>
          <w:szCs w:val="20"/>
          <w:color w:val="auto"/>
        </w:rPr>
      </w:pPr>
    </w:p>
    <w:tbl>
      <w:tblPr>
        <w:tblLayout w:type="fixed"/>
        <w:tblInd w:w="980" w:type="dxa"/>
        <w:tblCellMar>
          <w:top w:w="0" w:type="dxa"/>
          <w:left w:w="0" w:type="dxa"/>
          <w:bottom w:w="0" w:type="dxa"/>
          <w:right w:w="0" w:type="dxa"/>
        </w:tblCellMar>
      </w:tblPr>
      <w:tr>
        <w:trPr>
          <w:trHeight w:val="419"/>
        </w:trPr>
        <w:tc>
          <w:tcPr>
            <w:tcW w:w="130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1CB6EA"/>
              </w:rPr>
              <w:t>VIACOM INC.</w:t>
            </w:r>
          </w:p>
        </w:tc>
        <w:tc>
          <w:tcPr>
            <w:tcW w:w="320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64770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818005"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18005" cy="15430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Risk Assessment of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3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annually review with our Compensation Committee and its independent compensation consultant our company-wide compensation programs to assess whether they encourage our employees to take unnecessary or excessive risks that could have a material adverse effect on our business. We have concluded that our programs are appropriately tailored to encourage employees to grow our business, but not incentivize them to do so in a way that poses unnecessary or excessive material risk to us. For example, our STIP and LTMIP, which are our two primary, company-wide compensation plans, balance each other by providing compensation that rewards short-term and long-term performance. The STIP balances risk by considering a mix of performance goals, capping the maximum payout a participant can receive and allowing the Compensation Committee to determine the final amounts of all bonuses in its sole discretion. The LTMIP provides balanced incentives through a mix of</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equity awards such as stock options, PSUs and RSUs, which have varying vesting schedules and levels of performance and/or market conditions to encourage long-term growth and provide retentive value. Our equity awards include forfeiture conditions, and we have various policies, such as our “clawback” policy, that are designed to discourage undue risk-taking or manipulation of financial reporting. In addition, a portion of the compensation packages of our advertising sales executives is based in part on the level of advertising revenues generated during the fiscal year and the amount of such commission payments is capped. Finally, advice from the Compensation Committee’s independent compensation consultant on proposed compensation packages and compensation program design also serves to mitigate any risk that could be encouraged by our compensation programs.</w:t>
      </w:r>
    </w:p>
    <w:p>
      <w:pPr>
        <w:spacing w:after="0" w:line="389"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64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FFFFFF"/>
          <w:shd w:val="clear" w:color="auto" w:fill="1CB6EA"/>
        </w:rPr>
        <w:t>EQUITY COMPENSATION PLAN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40"/>
          <w:szCs w:val="40"/>
          <w:b w:val="1"/>
          <w:bCs w:val="1"/>
          <w:color w:val="1CB6EA"/>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During fiscal year 2018, we granted equity awards to employees under the Viacom Inc. 2016 Long-Term Management Incentive Plan, and to Outside Directors under the Viacom Inc. 2011 RSU Plan for Outside Directors, as amended and restated as of January 1, 2016, and as further amended and restated as of October 31, 2016.</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following table sets forth certain information as of September 30, 2018 concerning the shares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Class B common stock authorized for issuance under these equity compensation plans. No shares of Class A common stock are authorized for issuance under these plans. As of September 30, 2018, we had no equity compensation plans under which shares may be issued that have not been approved by our stockholders.</w:t>
      </w:r>
    </w:p>
    <w:p>
      <w:pPr>
        <w:spacing w:after="0" w:line="66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40" w:type="dxa"/>
            <w:vAlign w:val="bottom"/>
          </w:tcPr>
          <w:p>
            <w:pPr>
              <w:jc w:val="center"/>
              <w:ind w:right="288"/>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40" w:type="dxa"/>
            <w:vAlign w:val="bottom"/>
          </w:tcPr>
          <w:p>
            <w:pPr>
              <w:jc w:val="center"/>
              <w:ind w:right="288"/>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3460" w:type="dxa"/>
            <w:vAlign w:val="bottom"/>
          </w:tcPr>
          <w:p>
            <w:pPr>
              <w:spacing w:after="0"/>
              <w:rPr>
                <w:sz w:val="14"/>
                <w:szCs w:val="14"/>
                <w:color w:val="auto"/>
              </w:rPr>
            </w:pPr>
          </w:p>
        </w:tc>
        <w:tc>
          <w:tcPr>
            <w:tcW w:w="2860" w:type="dxa"/>
            <w:vAlign w:val="bottom"/>
          </w:tcPr>
          <w:p>
            <w:pPr>
              <w:jc w:val="center"/>
              <w:ind w:right="228"/>
              <w:spacing w:after="0"/>
              <w:rPr>
                <w:sz w:val="20"/>
                <w:szCs w:val="20"/>
                <w:color w:val="auto"/>
              </w:rPr>
            </w:pPr>
            <w:r>
              <w:rPr>
                <w:rFonts w:ascii="Arial" w:cs="Arial" w:eastAsia="Arial" w:hAnsi="Arial"/>
                <w:sz w:val="14"/>
                <w:szCs w:val="14"/>
                <w:b w:val="1"/>
                <w:bCs w:val="1"/>
                <w:color w:val="auto"/>
              </w:rPr>
              <w:t>Number of securities to be</w:t>
            </w:r>
          </w:p>
        </w:tc>
        <w:tc>
          <w:tcPr>
            <w:tcW w:w="206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rPr>
              <w:t>Weighted-average</w:t>
            </w:r>
          </w:p>
        </w:tc>
        <w:tc>
          <w:tcPr>
            <w:tcW w:w="3040" w:type="dxa"/>
            <w:vAlign w:val="bottom"/>
          </w:tcPr>
          <w:p>
            <w:pPr>
              <w:jc w:val="center"/>
              <w:ind w:right="288"/>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3460" w:type="dxa"/>
            <w:vAlign w:val="bottom"/>
          </w:tcPr>
          <w:p>
            <w:pPr>
              <w:spacing w:after="0"/>
              <w:rPr>
                <w:sz w:val="14"/>
                <w:szCs w:val="14"/>
                <w:color w:val="auto"/>
              </w:rPr>
            </w:pPr>
          </w:p>
        </w:tc>
        <w:tc>
          <w:tcPr>
            <w:tcW w:w="2860" w:type="dxa"/>
            <w:vAlign w:val="bottom"/>
          </w:tcPr>
          <w:p>
            <w:pPr>
              <w:jc w:val="center"/>
              <w:ind w:right="228"/>
              <w:spacing w:after="0"/>
              <w:rPr>
                <w:sz w:val="20"/>
                <w:szCs w:val="20"/>
                <w:color w:val="auto"/>
              </w:rPr>
            </w:pPr>
            <w:r>
              <w:rPr>
                <w:rFonts w:ascii="Arial" w:cs="Arial" w:eastAsia="Arial" w:hAnsi="Arial"/>
                <w:sz w:val="14"/>
                <w:szCs w:val="14"/>
                <w:b w:val="1"/>
                <w:bCs w:val="1"/>
                <w:color w:val="auto"/>
              </w:rPr>
              <w:t>issued upon exercise of</w:t>
            </w:r>
          </w:p>
        </w:tc>
        <w:tc>
          <w:tcPr>
            <w:tcW w:w="1440" w:type="dxa"/>
            <w:vAlign w:val="bottom"/>
          </w:tcPr>
          <w:p>
            <w:pPr>
              <w:jc w:val="center"/>
              <w:ind w:left="228"/>
              <w:spacing w:after="0"/>
              <w:rPr>
                <w:sz w:val="20"/>
                <w:szCs w:val="20"/>
                <w:color w:val="auto"/>
              </w:rPr>
            </w:pPr>
            <w:r>
              <w:rPr>
                <w:rFonts w:ascii="Arial" w:cs="Arial" w:eastAsia="Arial" w:hAnsi="Arial"/>
                <w:sz w:val="14"/>
                <w:szCs w:val="14"/>
                <w:b w:val="1"/>
                <w:bCs w:val="1"/>
                <w:color w:val="auto"/>
              </w:rPr>
              <w:t>exercise price of</w:t>
            </w:r>
          </w:p>
        </w:tc>
        <w:tc>
          <w:tcPr>
            <w:tcW w:w="620" w:type="dxa"/>
            <w:vAlign w:val="bottom"/>
          </w:tcPr>
          <w:p>
            <w:pPr>
              <w:spacing w:after="0"/>
              <w:rPr>
                <w:sz w:val="14"/>
                <w:szCs w:val="14"/>
                <w:color w:val="auto"/>
              </w:rPr>
            </w:pPr>
          </w:p>
        </w:tc>
        <w:tc>
          <w:tcPr>
            <w:tcW w:w="3040" w:type="dxa"/>
            <w:vAlign w:val="bottom"/>
          </w:tcPr>
          <w:p>
            <w:pPr>
              <w:jc w:val="center"/>
              <w:ind w:right="288"/>
              <w:spacing w:after="0"/>
              <w:rPr>
                <w:sz w:val="20"/>
                <w:szCs w:val="20"/>
                <w:color w:val="auto"/>
              </w:rPr>
            </w:pPr>
            <w:r>
              <w:rPr>
                <w:rFonts w:ascii="Arial" w:cs="Arial" w:eastAsia="Arial" w:hAnsi="Arial"/>
                <w:sz w:val="14"/>
                <w:szCs w:val="14"/>
                <w:b w:val="1"/>
                <w:bCs w:val="1"/>
                <w:color w:val="auto"/>
              </w:rPr>
              <w:t>equity compensation plans</w:t>
            </w:r>
          </w:p>
        </w:tc>
      </w:tr>
      <w:tr>
        <w:trPr>
          <w:trHeight w:val="162"/>
        </w:trPr>
        <w:tc>
          <w:tcPr>
            <w:tcW w:w="3460" w:type="dxa"/>
            <w:vAlign w:val="bottom"/>
          </w:tcPr>
          <w:p>
            <w:pPr>
              <w:spacing w:after="0"/>
              <w:rPr>
                <w:sz w:val="14"/>
                <w:szCs w:val="14"/>
                <w:color w:val="auto"/>
              </w:rPr>
            </w:pPr>
          </w:p>
        </w:tc>
        <w:tc>
          <w:tcPr>
            <w:tcW w:w="2860" w:type="dxa"/>
            <w:vAlign w:val="bottom"/>
          </w:tcPr>
          <w:p>
            <w:pPr>
              <w:jc w:val="center"/>
              <w:ind w:right="208"/>
              <w:spacing w:after="0"/>
              <w:rPr>
                <w:sz w:val="20"/>
                <w:szCs w:val="20"/>
                <w:color w:val="auto"/>
              </w:rPr>
            </w:pPr>
            <w:r>
              <w:rPr>
                <w:rFonts w:ascii="Arial" w:cs="Arial" w:eastAsia="Arial" w:hAnsi="Arial"/>
                <w:sz w:val="14"/>
                <w:szCs w:val="14"/>
                <w:b w:val="1"/>
                <w:bCs w:val="1"/>
                <w:color w:val="auto"/>
              </w:rPr>
              <w:t>outstanding options,</w:t>
            </w:r>
          </w:p>
        </w:tc>
        <w:tc>
          <w:tcPr>
            <w:tcW w:w="206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rPr>
              <w:t>outstanding options,</w:t>
            </w:r>
          </w:p>
        </w:tc>
        <w:tc>
          <w:tcPr>
            <w:tcW w:w="3040" w:type="dxa"/>
            <w:vAlign w:val="bottom"/>
          </w:tcPr>
          <w:p>
            <w:pPr>
              <w:jc w:val="center"/>
              <w:ind w:right="288"/>
              <w:spacing w:after="0"/>
              <w:rPr>
                <w:sz w:val="20"/>
                <w:szCs w:val="20"/>
                <w:color w:val="auto"/>
              </w:rPr>
            </w:pPr>
            <w:r>
              <w:rPr>
                <w:rFonts w:ascii="Arial" w:cs="Arial" w:eastAsia="Arial" w:hAnsi="Arial"/>
                <w:sz w:val="14"/>
                <w:szCs w:val="14"/>
                <w:b w:val="1"/>
                <w:bCs w:val="1"/>
                <w:color w:val="auto"/>
              </w:rPr>
              <w:t>(excluding securities</w:t>
            </w:r>
          </w:p>
        </w:tc>
      </w:tr>
      <w:tr>
        <w:trPr>
          <w:trHeight w:val="175"/>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28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warrants and rights</w:t>
            </w:r>
          </w:p>
        </w:tc>
        <w:tc>
          <w:tcPr>
            <w:tcW w:w="2060" w:type="dxa"/>
            <w:vAlign w:val="bottom"/>
            <w:tcBorders>
              <w:bottom w:val="single" w:sz="8" w:color="auto"/>
            </w:tcBorders>
            <w:gridSpan w:val="2"/>
          </w:tcPr>
          <w:p>
            <w:pPr>
              <w:jc w:val="center"/>
              <w:ind w:right="248"/>
              <w:spacing w:after="0"/>
              <w:rPr>
                <w:sz w:val="20"/>
                <w:szCs w:val="20"/>
                <w:color w:val="auto"/>
              </w:rPr>
            </w:pPr>
            <w:r>
              <w:rPr>
                <w:rFonts w:ascii="Arial" w:cs="Arial" w:eastAsia="Arial" w:hAnsi="Arial"/>
                <w:sz w:val="14"/>
                <w:szCs w:val="14"/>
                <w:b w:val="1"/>
                <w:bCs w:val="1"/>
                <w:color w:val="auto"/>
              </w:rPr>
              <w:t>warrants and rights</w:t>
            </w:r>
          </w:p>
        </w:tc>
        <w:tc>
          <w:tcPr>
            <w:tcW w:w="30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otherwise reflected in this table)</w:t>
            </w:r>
          </w:p>
        </w:tc>
      </w:tr>
      <w:tr>
        <w:trPr>
          <w:trHeight w:val="174"/>
        </w:trPr>
        <w:tc>
          <w:tcPr>
            <w:tcW w:w="3460" w:type="dxa"/>
            <w:vAlign w:val="bottom"/>
            <w:shd w:val="clear" w:color="auto" w:fill="D8D8D8"/>
          </w:tcPr>
          <w:p>
            <w:pPr>
              <w:spacing w:after="0"/>
              <w:rPr>
                <w:sz w:val="20"/>
                <w:szCs w:val="20"/>
                <w:color w:val="auto"/>
              </w:rPr>
            </w:pPr>
            <w:r>
              <w:rPr>
                <w:rFonts w:ascii="Arial" w:cs="Arial" w:eastAsia="Arial" w:hAnsi="Arial"/>
                <w:sz w:val="14"/>
                <w:szCs w:val="14"/>
                <w:color w:val="auto"/>
              </w:rPr>
              <w:t>Equity compensation plans approved by security</w:t>
            </w:r>
          </w:p>
        </w:tc>
        <w:tc>
          <w:tcPr>
            <w:tcW w:w="2860" w:type="dxa"/>
            <w:vAlign w:val="bottom"/>
            <w:shd w:val="clear" w:color="auto" w:fill="D8D8D8"/>
          </w:tcPr>
          <w:p>
            <w:pPr>
              <w:spacing w:after="0"/>
              <w:rPr>
                <w:sz w:val="15"/>
                <w:szCs w:val="15"/>
                <w:color w:val="auto"/>
              </w:rPr>
            </w:pPr>
          </w:p>
        </w:tc>
        <w:tc>
          <w:tcPr>
            <w:tcW w:w="144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3040" w:type="dxa"/>
            <w:vAlign w:val="bottom"/>
            <w:shd w:val="clear" w:color="auto" w:fill="D8D8D8"/>
          </w:tcPr>
          <w:p>
            <w:pPr>
              <w:spacing w:after="0"/>
              <w:rPr>
                <w:sz w:val="15"/>
                <w:szCs w:val="15"/>
                <w:color w:val="auto"/>
              </w:rPr>
            </w:pPr>
          </w:p>
        </w:tc>
      </w:tr>
      <w:tr>
        <w:trPr>
          <w:trHeight w:val="157"/>
        </w:trPr>
        <w:tc>
          <w:tcPr>
            <w:tcW w:w="3460" w:type="dxa"/>
            <w:vAlign w:val="bottom"/>
            <w:shd w:val="clear" w:color="auto" w:fill="D8D8D8"/>
          </w:tcPr>
          <w:p>
            <w:pPr>
              <w:spacing w:after="0" w:line="157" w:lineRule="exact"/>
              <w:rPr>
                <w:sz w:val="20"/>
                <w:szCs w:val="20"/>
                <w:color w:val="auto"/>
              </w:rPr>
            </w:pPr>
            <w:r>
              <w:rPr>
                <w:rFonts w:ascii="Arial" w:cs="Arial" w:eastAsia="Arial" w:hAnsi="Arial"/>
                <w:sz w:val="14"/>
                <w:szCs w:val="14"/>
                <w:color w:val="auto"/>
              </w:rPr>
              <w:t>holders:</w:t>
            </w:r>
          </w:p>
        </w:tc>
        <w:tc>
          <w:tcPr>
            <w:tcW w:w="2860" w:type="dxa"/>
            <w:vAlign w:val="bottom"/>
            <w:shd w:val="clear" w:color="auto" w:fill="D8D8D8"/>
          </w:tcPr>
          <w:p>
            <w:pPr>
              <w:spacing w:after="0"/>
              <w:rPr>
                <w:sz w:val="13"/>
                <w:szCs w:val="13"/>
                <w:color w:val="auto"/>
              </w:rPr>
            </w:pPr>
          </w:p>
        </w:tc>
        <w:tc>
          <w:tcPr>
            <w:tcW w:w="1440" w:type="dxa"/>
            <w:vAlign w:val="bottom"/>
            <w:shd w:val="clear" w:color="auto" w:fill="D8D8D8"/>
          </w:tcPr>
          <w:p>
            <w:pPr>
              <w:spacing w:after="0"/>
              <w:rPr>
                <w:sz w:val="13"/>
                <w:szCs w:val="13"/>
                <w:color w:val="auto"/>
              </w:rPr>
            </w:pPr>
          </w:p>
        </w:tc>
        <w:tc>
          <w:tcPr>
            <w:tcW w:w="620" w:type="dxa"/>
            <w:vAlign w:val="bottom"/>
            <w:shd w:val="clear" w:color="auto" w:fill="D8D8D8"/>
          </w:tcPr>
          <w:p>
            <w:pPr>
              <w:spacing w:after="0"/>
              <w:rPr>
                <w:sz w:val="13"/>
                <w:szCs w:val="13"/>
                <w:color w:val="auto"/>
              </w:rPr>
            </w:pPr>
          </w:p>
        </w:tc>
        <w:tc>
          <w:tcPr>
            <w:tcW w:w="3040" w:type="dxa"/>
            <w:vAlign w:val="bottom"/>
            <w:shd w:val="clear" w:color="auto" w:fill="D8D8D8"/>
          </w:tcPr>
          <w:p>
            <w:pPr>
              <w:spacing w:after="0"/>
              <w:rPr>
                <w:sz w:val="13"/>
                <w:szCs w:val="13"/>
                <w:color w:val="auto"/>
              </w:rPr>
            </w:pPr>
          </w:p>
        </w:tc>
      </w:tr>
      <w:tr>
        <w:trPr>
          <w:trHeight w:val="176"/>
        </w:trPr>
        <w:tc>
          <w:tcPr>
            <w:tcW w:w="3460" w:type="dxa"/>
            <w:vAlign w:val="bottom"/>
          </w:tcPr>
          <w:p>
            <w:pPr>
              <w:ind w:left="260"/>
              <w:spacing w:after="0"/>
              <w:rPr>
                <w:sz w:val="20"/>
                <w:szCs w:val="20"/>
                <w:color w:val="auto"/>
              </w:rPr>
            </w:pPr>
            <w:r>
              <w:rPr>
                <w:rFonts w:ascii="Arial" w:cs="Arial" w:eastAsia="Arial" w:hAnsi="Arial"/>
                <w:sz w:val="14"/>
                <w:szCs w:val="14"/>
                <w:color w:val="auto"/>
              </w:rPr>
              <w:t>LTMIP</w:t>
            </w:r>
          </w:p>
        </w:tc>
        <w:tc>
          <w:tcPr>
            <w:tcW w:w="2860" w:type="dxa"/>
            <w:vAlign w:val="bottom"/>
          </w:tcPr>
          <w:p>
            <w:pPr>
              <w:jc w:val="right"/>
              <w:ind w:right="88"/>
              <w:spacing w:after="0"/>
              <w:rPr>
                <w:sz w:val="20"/>
                <w:szCs w:val="20"/>
                <w:color w:val="auto"/>
              </w:rPr>
            </w:pPr>
            <w:r>
              <w:rPr>
                <w:rFonts w:ascii="Arial" w:cs="Arial" w:eastAsia="Arial" w:hAnsi="Arial"/>
                <w:sz w:val="14"/>
                <w:szCs w:val="14"/>
                <w:color w:val="auto"/>
              </w:rPr>
              <w:t xml:space="preserve">18,769,778 </w:t>
            </w:r>
            <w:r>
              <w:rPr>
                <w:rFonts w:ascii="Arial" w:cs="Arial" w:eastAsia="Arial" w:hAnsi="Arial"/>
                <w:sz w:val="12"/>
                <w:szCs w:val="12"/>
                <w:color w:val="auto"/>
              </w:rPr>
              <w:t>(1)</w:t>
            </w:r>
          </w:p>
        </w:tc>
        <w:tc>
          <w:tcPr>
            <w:tcW w:w="14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50.43</w:t>
            </w:r>
          </w:p>
        </w:tc>
        <w:tc>
          <w:tcPr>
            <w:tcW w:w="3040" w:type="dxa"/>
            <w:vAlign w:val="bottom"/>
          </w:tcPr>
          <w:p>
            <w:pPr>
              <w:jc w:val="right"/>
              <w:spacing w:after="0"/>
              <w:rPr>
                <w:sz w:val="20"/>
                <w:szCs w:val="20"/>
                <w:color w:val="auto"/>
              </w:rPr>
            </w:pPr>
            <w:r>
              <w:rPr>
                <w:rFonts w:ascii="Arial" w:cs="Arial" w:eastAsia="Arial" w:hAnsi="Arial"/>
                <w:sz w:val="14"/>
                <w:szCs w:val="14"/>
                <w:color w:val="auto"/>
              </w:rPr>
              <w:t xml:space="preserve">23,328,970 </w:t>
            </w:r>
            <w:r>
              <w:rPr>
                <w:rFonts w:ascii="Arial" w:cs="Arial" w:eastAsia="Arial" w:hAnsi="Arial"/>
                <w:sz w:val="12"/>
                <w:szCs w:val="12"/>
                <w:color w:val="auto"/>
              </w:rPr>
              <w:t>(2)</w:t>
            </w:r>
          </w:p>
        </w:tc>
      </w:tr>
      <w:tr>
        <w:trPr>
          <w:trHeight w:val="176"/>
        </w:trPr>
        <w:tc>
          <w:tcPr>
            <w:tcW w:w="3460" w:type="dxa"/>
            <w:vAlign w:val="bottom"/>
            <w:shd w:val="clear" w:color="auto" w:fill="D8D8D8"/>
          </w:tcPr>
          <w:p>
            <w:pPr>
              <w:ind w:left="260"/>
              <w:spacing w:after="0"/>
              <w:rPr>
                <w:sz w:val="20"/>
                <w:szCs w:val="20"/>
                <w:color w:val="auto"/>
              </w:rPr>
            </w:pPr>
            <w:r>
              <w:rPr>
                <w:rFonts w:ascii="Arial" w:cs="Arial" w:eastAsia="Arial" w:hAnsi="Arial"/>
                <w:sz w:val="14"/>
                <w:szCs w:val="14"/>
                <w:color w:val="auto"/>
              </w:rPr>
              <w:t>Director Plans</w:t>
            </w:r>
          </w:p>
        </w:tc>
        <w:tc>
          <w:tcPr>
            <w:tcW w:w="286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 xml:space="preserve">274,278 </w:t>
            </w:r>
            <w:r>
              <w:rPr>
                <w:rFonts w:ascii="Arial" w:cs="Arial" w:eastAsia="Arial" w:hAnsi="Arial"/>
                <w:sz w:val="12"/>
                <w:szCs w:val="12"/>
                <w:color w:val="auto"/>
              </w:rPr>
              <w:t>(3)</w:t>
            </w:r>
          </w:p>
        </w:tc>
        <w:tc>
          <w:tcPr>
            <w:tcW w:w="1440" w:type="dxa"/>
            <w:vAlign w:val="bottom"/>
            <w:shd w:val="clear" w:color="auto" w:fill="D8D8D8"/>
          </w:tcPr>
          <w:p>
            <w:pPr>
              <w:jc w:val="right"/>
              <w:ind w:right="568"/>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jc w:val="right"/>
              <w:ind w:right="168"/>
              <w:spacing w:after="0"/>
              <w:rPr>
                <w:sz w:val="20"/>
                <w:szCs w:val="20"/>
                <w:color w:val="auto"/>
              </w:rPr>
            </w:pPr>
            <w:r>
              <w:rPr>
                <w:rFonts w:ascii="Arial" w:cs="Arial" w:eastAsia="Arial" w:hAnsi="Arial"/>
                <w:sz w:val="14"/>
                <w:szCs w:val="14"/>
                <w:color w:val="auto"/>
              </w:rPr>
              <w:t>45.06</w:t>
            </w:r>
          </w:p>
        </w:tc>
        <w:tc>
          <w:tcPr>
            <w:tcW w:w="30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xml:space="preserve">328,055 </w:t>
            </w:r>
            <w:r>
              <w:rPr>
                <w:rFonts w:ascii="Arial" w:cs="Arial" w:eastAsia="Arial" w:hAnsi="Arial"/>
                <w:sz w:val="12"/>
                <w:szCs w:val="12"/>
                <w:color w:val="auto"/>
              </w:rPr>
              <w:t>(4)</w:t>
            </w:r>
          </w:p>
        </w:tc>
      </w:tr>
      <w:tr>
        <w:trPr>
          <w:trHeight w:val="176"/>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19,044,056</w:t>
            </w:r>
          </w:p>
        </w:tc>
        <w:tc>
          <w:tcPr>
            <w:tcW w:w="14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50.43</w:t>
            </w:r>
          </w:p>
        </w:tc>
        <w:tc>
          <w:tcPr>
            <w:tcW w:w="3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23,657,025</w:t>
            </w:r>
          </w:p>
        </w:tc>
      </w:tr>
    </w:tbl>
    <w:p>
      <w:pPr>
        <w:spacing w:after="0" w:line="107" w:lineRule="exact"/>
        <w:rPr>
          <w:sz w:val="20"/>
          <w:szCs w:val="20"/>
          <w:color w:val="auto"/>
        </w:rPr>
      </w:pPr>
    </w:p>
    <w:p>
      <w:pPr>
        <w:ind w:left="440" w:right="360" w:hanging="432"/>
        <w:spacing w:after="0" w:line="231" w:lineRule="auto"/>
        <w:tabs>
          <w:tab w:leader="none" w:pos="440" w:val="left"/>
        </w:tabs>
        <w:numPr>
          <w:ilvl w:val="0"/>
          <w:numId w:val="93"/>
        </w:numPr>
        <w:rPr>
          <w:rFonts w:ascii="Arial" w:cs="Arial" w:eastAsia="Arial" w:hAnsi="Arial"/>
          <w:sz w:val="11"/>
          <w:szCs w:val="11"/>
          <w:i w:val="1"/>
          <w:iCs w:val="1"/>
          <w:color w:val="auto"/>
        </w:rPr>
      </w:pPr>
      <w:r>
        <w:rPr>
          <w:rFonts w:ascii="Arial" w:cs="Arial" w:eastAsia="Arial" w:hAnsi="Arial"/>
          <w:sz w:val="14"/>
          <w:szCs w:val="14"/>
          <w:i w:val="1"/>
          <w:iCs w:val="1"/>
          <w:color w:val="auto"/>
        </w:rPr>
        <w:t>Includes, as of September 30, 2018, 3,034,318 shares reserved for issuance upon settlement of outstanding RSUs and PSUs. Assumes PSU awards are paid at target, except for awards for which the performance period has been completed.</w:t>
      </w:r>
    </w:p>
    <w:p>
      <w:pPr>
        <w:spacing w:after="0" w:line="1" w:lineRule="exact"/>
        <w:rPr>
          <w:rFonts w:ascii="Arial" w:cs="Arial" w:eastAsia="Arial" w:hAnsi="Arial"/>
          <w:sz w:val="11"/>
          <w:szCs w:val="11"/>
          <w:i w:val="1"/>
          <w:iCs w:val="1"/>
          <w:color w:val="auto"/>
        </w:rPr>
      </w:pPr>
    </w:p>
    <w:p>
      <w:pPr>
        <w:ind w:left="440" w:hanging="432"/>
        <w:spacing w:after="0" w:line="221" w:lineRule="auto"/>
        <w:tabs>
          <w:tab w:leader="none" w:pos="440" w:val="left"/>
        </w:tabs>
        <w:numPr>
          <w:ilvl w:val="0"/>
          <w:numId w:val="93"/>
        </w:numPr>
        <w:rPr>
          <w:rFonts w:ascii="Arial" w:cs="Arial" w:eastAsia="Arial" w:hAnsi="Arial"/>
          <w:sz w:val="11"/>
          <w:szCs w:val="11"/>
          <w:i w:val="1"/>
          <w:iCs w:val="1"/>
          <w:color w:val="auto"/>
        </w:rPr>
      </w:pPr>
      <w:r>
        <w:rPr>
          <w:rFonts w:ascii="Arial" w:cs="Arial" w:eastAsia="Arial" w:hAnsi="Arial"/>
          <w:sz w:val="14"/>
          <w:szCs w:val="14"/>
          <w:i w:val="1"/>
          <w:iCs w:val="1"/>
          <w:color w:val="auto"/>
        </w:rPr>
        <w:t>Reflects, as of September 30, 2018, shares reserved for future grants of stock options, RSUs, PSUs and/or other equity awards.</w:t>
      </w:r>
    </w:p>
    <w:p>
      <w:pPr>
        <w:ind w:left="440" w:hanging="432"/>
        <w:spacing w:after="0" w:line="221" w:lineRule="auto"/>
        <w:tabs>
          <w:tab w:leader="none" w:pos="440" w:val="left"/>
        </w:tabs>
        <w:numPr>
          <w:ilvl w:val="0"/>
          <w:numId w:val="93"/>
        </w:numPr>
        <w:rPr>
          <w:rFonts w:ascii="Arial" w:cs="Arial" w:eastAsia="Arial" w:hAnsi="Arial"/>
          <w:sz w:val="11"/>
          <w:szCs w:val="11"/>
          <w:i w:val="1"/>
          <w:iCs w:val="1"/>
          <w:color w:val="auto"/>
        </w:rPr>
      </w:pPr>
      <w:r>
        <w:rPr>
          <w:rFonts w:ascii="Arial" w:cs="Arial" w:eastAsia="Arial" w:hAnsi="Arial"/>
          <w:sz w:val="14"/>
          <w:szCs w:val="14"/>
          <w:i w:val="1"/>
          <w:iCs w:val="1"/>
          <w:color w:val="auto"/>
        </w:rPr>
        <w:t>Includes, as of September 30, 2018, 269,123 shares reserved for issuance upon settlement of outstanding RSUs.</w:t>
      </w:r>
    </w:p>
    <w:p>
      <w:pPr>
        <w:ind w:left="440" w:hanging="432"/>
        <w:spacing w:after="0"/>
        <w:tabs>
          <w:tab w:leader="none" w:pos="440" w:val="left"/>
        </w:tabs>
        <w:numPr>
          <w:ilvl w:val="0"/>
          <w:numId w:val="93"/>
        </w:numPr>
        <w:rPr>
          <w:rFonts w:ascii="Arial" w:cs="Arial" w:eastAsia="Arial" w:hAnsi="Arial"/>
          <w:sz w:val="11"/>
          <w:szCs w:val="11"/>
          <w:i w:val="1"/>
          <w:iCs w:val="1"/>
          <w:color w:val="auto"/>
        </w:rPr>
      </w:pPr>
      <w:r>
        <w:rPr>
          <w:rFonts w:ascii="Arial" w:cs="Arial" w:eastAsia="Arial" w:hAnsi="Arial"/>
          <w:sz w:val="14"/>
          <w:szCs w:val="14"/>
          <w:i w:val="1"/>
          <w:iCs w:val="1"/>
          <w:color w:val="auto"/>
        </w:rPr>
        <w:t>Reflects, as of September 30, 2018, shares reserved for future grants of stock options and RSUs.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65</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CEO PAY RATIO</w:t>
      </w:r>
    </w:p>
    <w:p>
      <w:pPr>
        <w:spacing w:after="0" w:line="146" w:lineRule="exact"/>
        <w:rPr>
          <w:sz w:val="20"/>
          <w:szCs w:val="20"/>
          <w:color w:val="auto"/>
        </w:rPr>
      </w:pPr>
    </w:p>
    <w:p>
      <w:pPr>
        <w:spacing w:after="0"/>
        <w:rPr>
          <w:sz w:val="20"/>
          <w:szCs w:val="20"/>
          <w:color w:val="auto"/>
        </w:rPr>
      </w:pPr>
      <w:r>
        <w:rPr>
          <w:rFonts w:ascii="Arial" w:cs="Arial" w:eastAsia="Arial" w:hAnsi="Arial"/>
          <w:sz w:val="39"/>
          <w:szCs w:val="39"/>
          <w:b w:val="1"/>
          <w:bCs w:val="1"/>
          <w:color w:val="1CB6EA"/>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38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Under applicable SEC rules, we are required to provide the ratio of the annual total compensation of Mr. Bakish, our President and Chief Executive Officer (the “CEO”), to the median annual total compensation of all our employees (the “CEO Pay Ratio”).</w:t>
      </w:r>
    </w:p>
    <w:p>
      <w:pPr>
        <w:spacing w:after="0" w:line="6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total employee population for purposes of calculating the CEO Pay Ratio as of July 31, 2018 (the “determination date”) consisted of 21,878 individuals. This population is larger than our employee population reported in our Annual Report on Form 10-K for the fiscal year ended September 30, 2018 because, in accordance with SEC rules, it is comprised of full-time, part-time and project-based employees, approximately 74% of whom worked in the United States and approximately 26% of whom worked outside the United States.</w:t>
      </w:r>
    </w:p>
    <w:p>
      <w:pPr>
        <w:spacing w:after="0" w:line="5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Of these employees, more than 40% were project-based employees, some of whom may have worked as little as one day. SEC rules do not permit us to annualize the compensation paid to these workers (or to part-time or temporary employees) as if they were full-time employees, which has the effect of reducing the level of our median employee’s annual total compensation relative to what it would have been had the rules permitted us to annualize compensation across our entire workforce or to use only full-time employees. In fact, the annual total compensation of our median project-based employee was less than $3,000.</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For the fiscal year ended September 30, 2018:</w:t>
      </w:r>
    </w:p>
    <w:p>
      <w:pPr>
        <w:spacing w:after="0" w:line="75" w:lineRule="exact"/>
        <w:rPr>
          <w:sz w:val="20"/>
          <w:szCs w:val="20"/>
          <w:color w:val="auto"/>
        </w:rPr>
      </w:pPr>
    </w:p>
    <w:p>
      <w:pPr>
        <w:ind w:left="220" w:hanging="212"/>
        <w:spacing w:after="0"/>
        <w:tabs>
          <w:tab w:leader="none" w:pos="220" w:val="left"/>
        </w:tabs>
        <w:numPr>
          <w:ilvl w:val="0"/>
          <w:numId w:val="94"/>
        </w:numPr>
        <w:rPr>
          <w:rFonts w:ascii="Arial" w:cs="Arial" w:eastAsia="Arial" w:hAnsi="Arial"/>
          <w:sz w:val="17"/>
          <w:szCs w:val="17"/>
          <w:color w:val="00B0F0"/>
        </w:rPr>
      </w:pPr>
      <w:r>
        <w:rPr>
          <w:rFonts w:ascii="Arial" w:cs="Arial" w:eastAsia="Arial" w:hAnsi="Arial"/>
          <w:sz w:val="17"/>
          <w:szCs w:val="17"/>
          <w:color w:val="auto"/>
        </w:rPr>
        <w:t>The annual total compensation of our CEO was $19,955,161;</w:t>
      </w:r>
    </w:p>
    <w:p>
      <w:pPr>
        <w:spacing w:after="0" w:line="74" w:lineRule="exact"/>
        <w:rPr>
          <w:rFonts w:ascii="Arial" w:cs="Arial" w:eastAsia="Arial" w:hAnsi="Arial"/>
          <w:sz w:val="17"/>
          <w:szCs w:val="17"/>
          <w:color w:val="00B0F0"/>
        </w:rPr>
      </w:pPr>
    </w:p>
    <w:p>
      <w:pPr>
        <w:ind w:left="220" w:hanging="212"/>
        <w:spacing w:after="0" w:line="243" w:lineRule="auto"/>
        <w:tabs>
          <w:tab w:leader="none" w:pos="220" w:val="left"/>
        </w:tabs>
        <w:numPr>
          <w:ilvl w:val="0"/>
          <w:numId w:val="94"/>
        </w:numPr>
        <w:rPr>
          <w:rFonts w:ascii="Arial" w:cs="Arial" w:eastAsia="Arial" w:hAnsi="Arial"/>
          <w:sz w:val="17"/>
          <w:szCs w:val="17"/>
          <w:color w:val="00B0F0"/>
        </w:rPr>
      </w:pPr>
      <w:r>
        <w:rPr>
          <w:rFonts w:ascii="Arial" w:cs="Arial" w:eastAsia="Arial" w:hAnsi="Arial"/>
          <w:sz w:val="17"/>
          <w:szCs w:val="17"/>
          <w:color w:val="auto"/>
        </w:rPr>
        <w:t>The annual total compensation of our median employee, who is a project-based employee in the United States, was $25,469; and</w:t>
      </w:r>
    </w:p>
    <w:p>
      <w:pPr>
        <w:spacing w:after="0" w:line="49" w:lineRule="exact"/>
        <w:rPr>
          <w:rFonts w:ascii="Arial" w:cs="Arial" w:eastAsia="Arial" w:hAnsi="Arial"/>
          <w:sz w:val="17"/>
          <w:szCs w:val="17"/>
          <w:color w:val="00B0F0"/>
        </w:rPr>
      </w:pPr>
    </w:p>
    <w:p>
      <w:pPr>
        <w:ind w:left="220" w:hanging="212"/>
        <w:spacing w:after="0" w:line="243" w:lineRule="auto"/>
        <w:tabs>
          <w:tab w:leader="none" w:pos="220" w:val="left"/>
        </w:tabs>
        <w:numPr>
          <w:ilvl w:val="0"/>
          <w:numId w:val="94"/>
        </w:numPr>
        <w:rPr>
          <w:rFonts w:ascii="Arial" w:cs="Arial" w:eastAsia="Arial" w:hAnsi="Arial"/>
          <w:sz w:val="17"/>
          <w:szCs w:val="17"/>
          <w:color w:val="00B0F0"/>
        </w:rPr>
      </w:pPr>
      <w:r>
        <w:rPr>
          <w:rFonts w:ascii="Arial" w:cs="Arial" w:eastAsia="Arial" w:hAnsi="Arial"/>
          <w:sz w:val="17"/>
          <w:szCs w:val="17"/>
          <w:color w:val="auto"/>
        </w:rPr>
        <w:t>The ratio of the annual total compensation of our CEO to the annual total compensation of our median employee was 784:1.</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CEO Pay Ratio presented above is a reasonable estimate calculated in a manner consistent with Item 402(u) of Regulation S-K. To identify, and to determine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annual total compensation of, the median employee, we used the following methodology:</w:t>
      </w:r>
    </w:p>
    <w:p>
      <w:pPr>
        <w:spacing w:after="0" w:line="63" w:lineRule="exact"/>
        <w:rPr>
          <w:sz w:val="20"/>
          <w:szCs w:val="20"/>
          <w:color w:val="auto"/>
        </w:rPr>
      </w:pPr>
    </w:p>
    <w:p>
      <w:pPr>
        <w:ind w:left="200" w:right="20" w:hanging="198"/>
        <w:spacing w:after="0" w:line="243" w:lineRule="auto"/>
        <w:tabs>
          <w:tab w:leader="none" w:pos="200" w:val="left"/>
        </w:tabs>
        <w:numPr>
          <w:ilvl w:val="0"/>
          <w:numId w:val="95"/>
        </w:numPr>
        <w:rPr>
          <w:rFonts w:ascii="Arial" w:cs="Arial" w:eastAsia="Arial" w:hAnsi="Arial"/>
          <w:sz w:val="17"/>
          <w:szCs w:val="17"/>
          <w:color w:val="00B0F0"/>
        </w:rPr>
      </w:pPr>
      <w:r>
        <w:rPr>
          <w:rFonts w:ascii="Arial" w:cs="Arial" w:eastAsia="Arial" w:hAnsi="Arial"/>
          <w:sz w:val="17"/>
          <w:szCs w:val="17"/>
          <w:color w:val="auto"/>
        </w:rPr>
        <w:t>We collected the total compensation of all employees as of the determination date.</w:t>
      </w:r>
    </w:p>
    <w:p>
      <w:pPr>
        <w:spacing w:after="0" w:line="18" w:lineRule="exact"/>
        <w:rPr>
          <w:rFonts w:ascii="Arial" w:cs="Arial" w:eastAsia="Arial" w:hAnsi="Arial"/>
          <w:sz w:val="17"/>
          <w:szCs w:val="17"/>
          <w:color w:val="00B0F0"/>
        </w:rPr>
      </w:pPr>
    </w:p>
    <w:p>
      <w:pPr>
        <w:jc w:val="both"/>
        <w:ind w:left="200" w:right="20" w:hanging="198"/>
        <w:spacing w:after="0" w:line="221" w:lineRule="auto"/>
        <w:tabs>
          <w:tab w:leader="none" w:pos="200" w:val="left"/>
        </w:tabs>
        <w:numPr>
          <w:ilvl w:val="0"/>
          <w:numId w:val="95"/>
        </w:numPr>
        <w:rPr>
          <w:rFonts w:ascii="Arial" w:cs="Arial" w:eastAsia="Arial" w:hAnsi="Arial"/>
          <w:sz w:val="17"/>
          <w:szCs w:val="17"/>
          <w:color w:val="00B0F0"/>
        </w:rPr>
      </w:pPr>
      <w:r>
        <w:rPr>
          <w:rFonts w:ascii="Arial" w:cs="Arial" w:eastAsia="Arial" w:hAnsi="Arial"/>
          <w:sz w:val="17"/>
          <w:szCs w:val="17"/>
          <w:color w:val="auto"/>
        </w:rPr>
        <w:t xml:space="preserve">After excluding 1,085 employees pursuant to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exemption under Item 402(u), our employee population consisted of 20,793 employees. The excluded jurisdictions and the numbers of employees excluded from each jurisdiction are as follows: Italy (150), Germany (148), Brazil (144), Singapore (123), Mexico (106), South Africa (98), Japan (54), Russia (52), Sweden (42), China (35), Canada (31), United Arab Emirates (17), Portugal (15), Hong Kong (12), Philippines (12), Colombia (11), New Zealand (10), Denmark (8), Nigeria (4), Czech Republic (3), South Korea (3), Finland (2), Ireland (2), India (1), Malaysia (1) and Norway (1).</w:t>
      </w:r>
    </w:p>
    <w:p>
      <w:pPr>
        <w:spacing w:after="0" w:line="41" w:lineRule="exact"/>
        <w:rPr>
          <w:rFonts w:ascii="Arial" w:cs="Arial" w:eastAsia="Arial" w:hAnsi="Arial"/>
          <w:sz w:val="17"/>
          <w:szCs w:val="17"/>
          <w:color w:val="00B0F0"/>
        </w:rPr>
      </w:pPr>
    </w:p>
    <w:p>
      <w:pPr>
        <w:jc w:val="both"/>
        <w:ind w:left="200" w:right="40" w:hanging="198"/>
        <w:spacing w:after="0" w:line="227" w:lineRule="auto"/>
        <w:tabs>
          <w:tab w:leader="none" w:pos="200" w:val="left"/>
        </w:tabs>
        <w:numPr>
          <w:ilvl w:val="0"/>
          <w:numId w:val="95"/>
        </w:numPr>
        <w:rPr>
          <w:rFonts w:ascii="Arial" w:cs="Arial" w:eastAsia="Arial" w:hAnsi="Arial"/>
          <w:sz w:val="17"/>
          <w:szCs w:val="17"/>
          <w:color w:val="00B0F0"/>
        </w:rPr>
      </w:pPr>
      <w:r>
        <w:rPr>
          <w:rFonts w:ascii="Arial" w:cs="Arial" w:eastAsia="Arial" w:hAnsi="Arial"/>
          <w:sz w:val="17"/>
          <w:szCs w:val="17"/>
          <w:color w:val="auto"/>
        </w:rPr>
        <w:t>We used W-2 Box 1 amounts (and the foreign equivalent for our non-U.S. employees) as our consistently applied compensation measure to identify the median employee.</w:t>
      </w:r>
    </w:p>
    <w:p>
      <w:pPr>
        <w:spacing w:after="0" w:line="39" w:lineRule="exact"/>
        <w:rPr>
          <w:rFonts w:ascii="Arial" w:cs="Arial" w:eastAsia="Arial" w:hAnsi="Arial"/>
          <w:sz w:val="17"/>
          <w:szCs w:val="17"/>
          <w:color w:val="00B0F0"/>
        </w:rPr>
      </w:pPr>
    </w:p>
    <w:p>
      <w:pPr>
        <w:ind w:left="200" w:right="40" w:hanging="198"/>
        <w:spacing w:after="0" w:line="233" w:lineRule="auto"/>
        <w:tabs>
          <w:tab w:leader="none" w:pos="200" w:val="left"/>
        </w:tabs>
        <w:numPr>
          <w:ilvl w:val="0"/>
          <w:numId w:val="95"/>
        </w:numPr>
        <w:rPr>
          <w:rFonts w:ascii="Arial" w:cs="Arial" w:eastAsia="Arial" w:hAnsi="Arial"/>
          <w:sz w:val="17"/>
          <w:szCs w:val="17"/>
          <w:color w:val="00B0F0"/>
        </w:rPr>
      </w:pPr>
      <w:r>
        <w:rPr>
          <w:rFonts w:ascii="Arial" w:cs="Arial" w:eastAsia="Arial" w:hAnsi="Arial"/>
          <w:sz w:val="17"/>
          <w:szCs w:val="17"/>
          <w:color w:val="auto"/>
        </w:rPr>
        <w:t>Exchange rates were applied as of the determination date to convert all non-U.S. currencies into U.S. dollars.</w:t>
      </w:r>
    </w:p>
    <w:p>
      <w:pPr>
        <w:spacing w:after="0" w:line="39" w:lineRule="exact"/>
        <w:rPr>
          <w:rFonts w:ascii="Arial" w:cs="Arial" w:eastAsia="Arial" w:hAnsi="Arial"/>
          <w:sz w:val="17"/>
          <w:szCs w:val="17"/>
          <w:color w:val="00B0F0"/>
        </w:rPr>
      </w:pPr>
    </w:p>
    <w:p>
      <w:pPr>
        <w:jc w:val="both"/>
        <w:ind w:left="200" w:right="40" w:hanging="198"/>
        <w:spacing w:after="0" w:line="222" w:lineRule="auto"/>
        <w:tabs>
          <w:tab w:leader="none" w:pos="200" w:val="left"/>
        </w:tabs>
        <w:numPr>
          <w:ilvl w:val="0"/>
          <w:numId w:val="95"/>
        </w:numPr>
        <w:rPr>
          <w:rFonts w:ascii="Arial" w:cs="Arial" w:eastAsia="Arial" w:hAnsi="Arial"/>
          <w:sz w:val="17"/>
          <w:szCs w:val="17"/>
          <w:color w:val="00B0F0"/>
        </w:rPr>
      </w:pPr>
      <w:r>
        <w:rPr>
          <w:rFonts w:ascii="Arial" w:cs="Arial" w:eastAsia="Arial" w:hAnsi="Arial"/>
          <w:sz w:val="17"/>
          <w:szCs w:val="17"/>
          <w:color w:val="auto"/>
        </w:rPr>
        <w:t>Once our median employee was identified, we calculated the annual total compensation of the median employee using the same methodology that we used to determine the annual total compensation of the CEO – pursuant to Item 402(c)(2) of Regulation S-K.</w:t>
      </w:r>
    </w:p>
    <w:p>
      <w:pPr>
        <w:spacing w:after="0" w:line="5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Because the SEC rules for identifying the median employee and calculating the pay ratio allow companies to use different methodologies, to apply one or more specified exclusions and to make reasonable estimates and assumptions that reflect their compensation practices, the CEO Pay Ratio is not comparable to the pay ratio reported by other companies, as other companies have different employment and compensation practices, as well as different employee populations, and may utilize different methodologies, exclusions, estimates and assumptions in calculating their own pay ratio.</w:t>
      </w:r>
    </w:p>
    <w:p>
      <w:pPr>
        <w:spacing w:after="0" w:line="255"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66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FFFFFF"/>
          <w:shd w:val="clear" w:color="auto" w:fill="1CB6EA"/>
        </w:rPr>
        <w:t>REPORT OF THE AUDIT COMMITTEE</w:t>
      </w:r>
    </w:p>
    <w:p>
      <w:pPr>
        <w:spacing w:after="0" w:line="133" w:lineRule="exact"/>
        <w:rPr>
          <w:sz w:val="20"/>
          <w:szCs w:val="20"/>
          <w:color w:val="auto"/>
        </w:rPr>
      </w:pPr>
    </w:p>
    <w:p>
      <w:pPr>
        <w:spacing w:after="0"/>
        <w:rPr>
          <w:sz w:val="20"/>
          <w:szCs w:val="20"/>
          <w:color w:val="auto"/>
        </w:rPr>
      </w:pPr>
      <w:r>
        <w:rPr>
          <w:rFonts w:ascii="Arial" w:cs="Arial" w:eastAsia="Arial" w:hAnsi="Arial"/>
          <w:sz w:val="40"/>
          <w:szCs w:val="40"/>
          <w:b w:val="1"/>
          <w:bCs w:val="1"/>
          <w:color w:val="1CB6EA"/>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57"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The following Report of the Audit Committee does not constitute soliciting material and shall not be deemed filed or incorporated by reference into any filing under the Securities Act or the Exchange Act, except to the extent Viacom specifically incorporates such information by reference.</w:t>
      </w:r>
    </w:p>
    <w:p>
      <w:pPr>
        <w:spacing w:after="0" w:line="6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Audit Committee is composed of four Outside Directors and operates under a written charter that it reviews at least annually and that was last amended in September 2017. The Board has determined that each of the four current members of the Audit Committee is independent, is “financially sophisticated” under NASDAQ listing standards and qualifies as an “audit committee financial expert” under the regulations promulgated under the Securities Act.</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Audit Committee oversees the accounting and financial reporting processes of Viacom and the integrated audits of Viacom’s consolidated financial statements, including the quality and integrity of Viacom’s financial statements and related disclosures. The Audit Committee also assists the Board’s oversight of:</w:t>
      </w:r>
    </w:p>
    <w:p>
      <w:pPr>
        <w:spacing w:after="0" w:line="56" w:lineRule="exact"/>
        <w:rPr>
          <w:sz w:val="20"/>
          <w:szCs w:val="20"/>
          <w:color w:val="auto"/>
        </w:rPr>
      </w:pPr>
    </w:p>
    <w:p>
      <w:pPr>
        <w:ind w:left="140" w:hanging="132"/>
        <w:spacing w:after="0"/>
        <w:tabs>
          <w:tab w:leader="none" w:pos="140" w:val="left"/>
        </w:tabs>
        <w:numPr>
          <w:ilvl w:val="0"/>
          <w:numId w:val="96"/>
        </w:numPr>
        <w:rPr>
          <w:rFonts w:ascii="Arial" w:cs="Arial" w:eastAsia="Arial" w:hAnsi="Arial"/>
          <w:sz w:val="17"/>
          <w:szCs w:val="17"/>
          <w:color w:val="1CB6EA"/>
        </w:rPr>
      </w:pPr>
      <w:r>
        <w:rPr>
          <w:rFonts w:ascii="Arial" w:cs="Arial" w:eastAsia="Arial" w:hAnsi="Arial"/>
          <w:sz w:val="17"/>
          <w:szCs w:val="17"/>
          <w:color w:val="auto"/>
        </w:rPr>
        <w:t>Viacom’s compliance with legal and regulatory requirements;</w:t>
      </w:r>
    </w:p>
    <w:p>
      <w:pPr>
        <w:spacing w:after="0" w:line="61" w:lineRule="exact"/>
        <w:rPr>
          <w:rFonts w:ascii="Arial" w:cs="Arial" w:eastAsia="Arial" w:hAnsi="Arial"/>
          <w:sz w:val="17"/>
          <w:szCs w:val="17"/>
          <w:color w:val="1CB6EA"/>
        </w:rPr>
      </w:pPr>
    </w:p>
    <w:p>
      <w:pPr>
        <w:ind w:left="140" w:hanging="132"/>
        <w:spacing w:after="0" w:line="243" w:lineRule="auto"/>
        <w:tabs>
          <w:tab w:leader="none" w:pos="140" w:val="left"/>
        </w:tabs>
        <w:numPr>
          <w:ilvl w:val="0"/>
          <w:numId w:val="96"/>
        </w:numPr>
        <w:rPr>
          <w:rFonts w:ascii="Arial" w:cs="Arial" w:eastAsia="Arial" w:hAnsi="Arial"/>
          <w:sz w:val="17"/>
          <w:szCs w:val="17"/>
          <w:color w:val="1CB6EA"/>
        </w:rPr>
      </w:pPr>
      <w:r>
        <w:rPr>
          <w:rFonts w:ascii="Arial" w:cs="Arial" w:eastAsia="Arial" w:hAnsi="Arial"/>
          <w:sz w:val="17"/>
          <w:szCs w:val="17"/>
          <w:color w:val="auto"/>
        </w:rPr>
        <w:t>the qualifications, performance and independence of Viacom’s independent auditor, PricewaterhouseCoopers LLP (“PwC”); and</w:t>
      </w:r>
    </w:p>
    <w:p>
      <w:pPr>
        <w:spacing w:after="0" w:line="49" w:lineRule="exact"/>
        <w:rPr>
          <w:rFonts w:ascii="Arial" w:cs="Arial" w:eastAsia="Arial" w:hAnsi="Arial"/>
          <w:sz w:val="17"/>
          <w:szCs w:val="17"/>
          <w:color w:val="1CB6EA"/>
        </w:rPr>
      </w:pPr>
    </w:p>
    <w:p>
      <w:pPr>
        <w:ind w:left="140" w:hanging="132"/>
        <w:spacing w:after="0"/>
        <w:tabs>
          <w:tab w:leader="none" w:pos="140" w:val="left"/>
        </w:tabs>
        <w:numPr>
          <w:ilvl w:val="0"/>
          <w:numId w:val="96"/>
        </w:numPr>
        <w:rPr>
          <w:rFonts w:ascii="Arial" w:cs="Arial" w:eastAsia="Arial" w:hAnsi="Arial"/>
          <w:sz w:val="17"/>
          <w:szCs w:val="17"/>
          <w:color w:val="1CB6EA"/>
        </w:rPr>
      </w:pPr>
      <w:r>
        <w:rPr>
          <w:rFonts w:ascii="Arial" w:cs="Arial" w:eastAsia="Arial" w:hAnsi="Arial"/>
          <w:sz w:val="17"/>
          <w:szCs w:val="17"/>
          <w:color w:val="auto"/>
        </w:rPr>
        <w:t>the performance of Viacom’s internal audit function.</w:t>
      </w:r>
    </w:p>
    <w:p>
      <w:pPr>
        <w:spacing w:after="0" w:line="6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Audit Committee oversees PwC’s work and, at least annually, determines its fees, evaluates it performance and assesses its independence. PwC reports directly to the Audit Committee, and the Audit Committee retains the authority to terminate the relationship at any time.</w:t>
      </w:r>
    </w:p>
    <w:p>
      <w:pPr>
        <w:spacing w:after="0" w:line="69" w:lineRule="exact"/>
        <w:rPr>
          <w:sz w:val="20"/>
          <w:szCs w:val="20"/>
          <w:color w:val="auto"/>
        </w:rPr>
      </w:pPr>
    </w:p>
    <w:p>
      <w:pPr>
        <w:jc w:val="both"/>
        <w:ind w:left="140" w:hanging="132"/>
        <w:spacing w:after="0" w:line="236" w:lineRule="auto"/>
        <w:tabs>
          <w:tab w:leader="none" w:pos="140" w:val="left"/>
        </w:tabs>
        <w:numPr>
          <w:ilvl w:val="0"/>
          <w:numId w:val="97"/>
        </w:numPr>
        <w:rPr>
          <w:rFonts w:ascii="Arial" w:cs="Arial" w:eastAsia="Arial" w:hAnsi="Arial"/>
          <w:sz w:val="17"/>
          <w:szCs w:val="17"/>
          <w:color w:val="1CB6EA"/>
        </w:rPr>
      </w:pPr>
      <w:r>
        <w:rPr>
          <w:rFonts w:ascii="Arial" w:cs="Arial" w:eastAsia="Arial" w:hAnsi="Arial"/>
          <w:sz w:val="17"/>
          <w:szCs w:val="17"/>
          <w:color w:val="auto"/>
        </w:rPr>
        <w:t>As part of its oversight duties, the Audit Committee reviews with PwC the scope, planning and staffing of the annual audit and has the sole authority to pre-approve, and does pre-approve, all services provided by PwC.</w:t>
      </w:r>
    </w:p>
    <w:p>
      <w:pPr>
        <w:spacing w:after="0" w:line="54" w:lineRule="exact"/>
        <w:rPr>
          <w:rFonts w:ascii="Arial" w:cs="Arial" w:eastAsia="Arial" w:hAnsi="Arial"/>
          <w:sz w:val="17"/>
          <w:szCs w:val="17"/>
          <w:color w:val="1CB6EA"/>
        </w:rPr>
      </w:pPr>
    </w:p>
    <w:p>
      <w:pPr>
        <w:jc w:val="both"/>
        <w:ind w:left="140" w:hanging="132"/>
        <w:spacing w:after="0" w:line="235" w:lineRule="auto"/>
        <w:tabs>
          <w:tab w:leader="none" w:pos="140" w:val="left"/>
        </w:tabs>
        <w:numPr>
          <w:ilvl w:val="0"/>
          <w:numId w:val="97"/>
        </w:numPr>
        <w:rPr>
          <w:rFonts w:ascii="Arial" w:cs="Arial" w:eastAsia="Arial" w:hAnsi="Arial"/>
          <w:sz w:val="17"/>
          <w:szCs w:val="17"/>
          <w:color w:val="1CB6EA"/>
        </w:rPr>
      </w:pPr>
      <w:r>
        <w:rPr>
          <w:rFonts w:ascii="Arial" w:cs="Arial" w:eastAsia="Arial" w:hAnsi="Arial"/>
          <w:sz w:val="17"/>
          <w:szCs w:val="17"/>
          <w:color w:val="auto"/>
        </w:rPr>
        <w:t>As part of its evaluations of PwC’s performance, the Audit Committee takes into account relevant factors such as the experience, qualifications, rotation requirements and performance of the senior members of the independent audit team and the opinions of members of management, including the Senior Vice President, Chief Audit and Compliance Officer.</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both"/>
        <w:ind w:left="140" w:hanging="138"/>
        <w:spacing w:after="0" w:line="235" w:lineRule="auto"/>
        <w:tabs>
          <w:tab w:leader="none" w:pos="140" w:val="left"/>
        </w:tabs>
        <w:numPr>
          <w:ilvl w:val="0"/>
          <w:numId w:val="98"/>
        </w:numPr>
        <w:rPr>
          <w:rFonts w:ascii="Arial" w:cs="Arial" w:eastAsia="Arial" w:hAnsi="Arial"/>
          <w:sz w:val="17"/>
          <w:szCs w:val="17"/>
          <w:color w:val="1CB6EA"/>
        </w:rPr>
      </w:pPr>
      <w:r>
        <w:rPr>
          <w:rFonts w:ascii="Arial" w:cs="Arial" w:eastAsia="Arial" w:hAnsi="Arial"/>
          <w:sz w:val="17"/>
          <w:szCs w:val="17"/>
          <w:color w:val="auto"/>
        </w:rPr>
        <w:t>As part of PwC’s independence assessments, the Audit Committee discusses with PwC any disclosed relationships between PwC and the company and reviews with the lead audit partner whether any of the senior audit team members receives any discretionary compensation from the audit firm with respect to non-audit services performed by PwC.</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also:</w:t>
      </w:r>
    </w:p>
    <w:p>
      <w:pPr>
        <w:spacing w:after="0" w:line="75" w:lineRule="exact"/>
        <w:rPr>
          <w:sz w:val="20"/>
          <w:szCs w:val="20"/>
          <w:color w:val="auto"/>
        </w:rPr>
      </w:pPr>
    </w:p>
    <w:p>
      <w:pPr>
        <w:jc w:val="both"/>
        <w:ind w:left="140" w:right="20" w:hanging="138"/>
        <w:spacing w:after="0" w:line="238" w:lineRule="auto"/>
        <w:tabs>
          <w:tab w:leader="none" w:pos="140" w:val="left"/>
        </w:tabs>
        <w:numPr>
          <w:ilvl w:val="0"/>
          <w:numId w:val="99"/>
        </w:numPr>
        <w:rPr>
          <w:rFonts w:ascii="Arial" w:cs="Arial" w:eastAsia="Arial" w:hAnsi="Arial"/>
          <w:sz w:val="17"/>
          <w:szCs w:val="17"/>
          <w:color w:val="1CB6EA"/>
        </w:rPr>
      </w:pPr>
      <w:r>
        <w:rPr>
          <w:rFonts w:ascii="Arial" w:cs="Arial" w:eastAsia="Arial" w:hAnsi="Arial"/>
          <w:sz w:val="17"/>
          <w:szCs w:val="17"/>
          <w:color w:val="auto"/>
        </w:rPr>
        <w:t>reviews and discusses with management and PwC Viacom’s annual audited financial statements, quarterly financial statements and earnings releases;</w:t>
      </w:r>
    </w:p>
    <w:p>
      <w:pPr>
        <w:spacing w:after="0" w:line="53" w:lineRule="exact"/>
        <w:rPr>
          <w:rFonts w:ascii="Arial" w:cs="Arial" w:eastAsia="Arial" w:hAnsi="Arial"/>
          <w:sz w:val="17"/>
          <w:szCs w:val="17"/>
          <w:color w:val="1CB6EA"/>
        </w:rPr>
      </w:pPr>
    </w:p>
    <w:p>
      <w:pPr>
        <w:ind w:left="140" w:right="20" w:hanging="138"/>
        <w:spacing w:after="0" w:line="243" w:lineRule="auto"/>
        <w:tabs>
          <w:tab w:leader="none" w:pos="140" w:val="left"/>
        </w:tabs>
        <w:numPr>
          <w:ilvl w:val="0"/>
          <w:numId w:val="99"/>
        </w:numPr>
        <w:rPr>
          <w:rFonts w:ascii="Arial" w:cs="Arial" w:eastAsia="Arial" w:hAnsi="Arial"/>
          <w:sz w:val="17"/>
          <w:szCs w:val="17"/>
          <w:color w:val="1CB6EA"/>
        </w:rPr>
      </w:pPr>
      <w:r>
        <w:rPr>
          <w:rFonts w:ascii="Arial" w:cs="Arial" w:eastAsia="Arial" w:hAnsi="Arial"/>
          <w:sz w:val="17"/>
          <w:szCs w:val="17"/>
          <w:color w:val="auto"/>
        </w:rPr>
        <w:t>reviews Viacom’s risk assessment and risk management processes, including with respect to cyber security;</w:t>
      </w:r>
    </w:p>
    <w:p>
      <w:pPr>
        <w:spacing w:after="0" w:line="49" w:lineRule="exact"/>
        <w:rPr>
          <w:rFonts w:ascii="Arial" w:cs="Arial" w:eastAsia="Arial" w:hAnsi="Arial"/>
          <w:sz w:val="17"/>
          <w:szCs w:val="17"/>
          <w:color w:val="1CB6EA"/>
        </w:rPr>
      </w:pPr>
    </w:p>
    <w:p>
      <w:pPr>
        <w:ind w:left="140" w:right="20" w:hanging="138"/>
        <w:spacing w:after="0" w:line="243" w:lineRule="auto"/>
        <w:tabs>
          <w:tab w:leader="none" w:pos="140" w:val="left"/>
        </w:tabs>
        <w:numPr>
          <w:ilvl w:val="0"/>
          <w:numId w:val="99"/>
        </w:numPr>
        <w:rPr>
          <w:rFonts w:ascii="Arial" w:cs="Arial" w:eastAsia="Arial" w:hAnsi="Arial"/>
          <w:sz w:val="17"/>
          <w:szCs w:val="17"/>
          <w:color w:val="1CB6EA"/>
        </w:rPr>
      </w:pPr>
      <w:r>
        <w:rPr>
          <w:rFonts w:ascii="Arial" w:cs="Arial" w:eastAsia="Arial" w:hAnsi="Arial"/>
          <w:sz w:val="17"/>
          <w:szCs w:val="17"/>
          <w:color w:val="auto"/>
        </w:rPr>
        <w:t>reviews the internal audit function’s organization, responsibilities, audit plan, results, budget and staffing;</w:t>
      </w:r>
    </w:p>
    <w:p>
      <w:pPr>
        <w:spacing w:after="0" w:line="49" w:lineRule="exact"/>
        <w:rPr>
          <w:rFonts w:ascii="Arial" w:cs="Arial" w:eastAsia="Arial" w:hAnsi="Arial"/>
          <w:sz w:val="17"/>
          <w:szCs w:val="17"/>
          <w:color w:val="1CB6EA"/>
        </w:rPr>
      </w:pPr>
    </w:p>
    <w:p>
      <w:pPr>
        <w:jc w:val="both"/>
        <w:ind w:left="140" w:hanging="138"/>
        <w:spacing w:after="0" w:line="238" w:lineRule="auto"/>
        <w:tabs>
          <w:tab w:leader="none" w:pos="140" w:val="left"/>
        </w:tabs>
        <w:numPr>
          <w:ilvl w:val="0"/>
          <w:numId w:val="99"/>
        </w:numPr>
        <w:rPr>
          <w:rFonts w:ascii="Arial" w:cs="Arial" w:eastAsia="Arial" w:hAnsi="Arial"/>
          <w:sz w:val="17"/>
          <w:szCs w:val="17"/>
          <w:color w:val="1CB6EA"/>
        </w:rPr>
      </w:pPr>
      <w:r>
        <w:rPr>
          <w:rFonts w:ascii="Arial" w:cs="Arial" w:eastAsia="Arial" w:hAnsi="Arial"/>
          <w:sz w:val="17"/>
          <w:szCs w:val="17"/>
          <w:color w:val="auto"/>
        </w:rPr>
        <w:t>reviews with management and PwC the effectiveness of Viacom’s internal control over financial reporting and disclosure controls and procedures;</w:t>
      </w:r>
    </w:p>
    <w:p>
      <w:pPr>
        <w:spacing w:after="0" w:line="53" w:lineRule="exact"/>
        <w:rPr>
          <w:rFonts w:ascii="Arial" w:cs="Arial" w:eastAsia="Arial" w:hAnsi="Arial"/>
          <w:sz w:val="17"/>
          <w:szCs w:val="17"/>
          <w:color w:val="1CB6EA"/>
        </w:rPr>
      </w:pPr>
    </w:p>
    <w:p>
      <w:pPr>
        <w:jc w:val="both"/>
        <w:ind w:left="140" w:right="20" w:hanging="138"/>
        <w:spacing w:after="0" w:line="238" w:lineRule="auto"/>
        <w:tabs>
          <w:tab w:leader="none" w:pos="140" w:val="left"/>
        </w:tabs>
        <w:numPr>
          <w:ilvl w:val="0"/>
          <w:numId w:val="99"/>
        </w:numPr>
        <w:rPr>
          <w:rFonts w:ascii="Arial" w:cs="Arial" w:eastAsia="Arial" w:hAnsi="Arial"/>
          <w:sz w:val="17"/>
          <w:szCs w:val="17"/>
          <w:color w:val="1CB6EA"/>
        </w:rPr>
      </w:pPr>
      <w:r>
        <w:rPr>
          <w:rFonts w:ascii="Arial" w:cs="Arial" w:eastAsia="Arial" w:hAnsi="Arial"/>
          <w:sz w:val="17"/>
          <w:szCs w:val="17"/>
          <w:color w:val="auto"/>
        </w:rPr>
        <w:t>reviews with management material legal matters and the effectiveness of Viacom’s procedures to ensure compliance with legal and regulatory requirements; and</w:t>
      </w:r>
    </w:p>
    <w:p>
      <w:pPr>
        <w:spacing w:after="0" w:line="53" w:lineRule="exact"/>
        <w:rPr>
          <w:rFonts w:ascii="Arial" w:cs="Arial" w:eastAsia="Arial" w:hAnsi="Arial"/>
          <w:sz w:val="17"/>
          <w:szCs w:val="17"/>
          <w:color w:val="1CB6EA"/>
        </w:rPr>
      </w:pPr>
    </w:p>
    <w:p>
      <w:pPr>
        <w:jc w:val="both"/>
        <w:ind w:left="140" w:right="20" w:hanging="138"/>
        <w:spacing w:after="0" w:line="235" w:lineRule="auto"/>
        <w:tabs>
          <w:tab w:leader="none" w:pos="140" w:val="left"/>
        </w:tabs>
        <w:numPr>
          <w:ilvl w:val="0"/>
          <w:numId w:val="99"/>
        </w:numPr>
        <w:rPr>
          <w:rFonts w:ascii="Arial" w:cs="Arial" w:eastAsia="Arial" w:hAnsi="Arial"/>
          <w:sz w:val="17"/>
          <w:szCs w:val="17"/>
          <w:color w:val="1CB6EA"/>
        </w:rPr>
      </w:pPr>
      <w:r>
        <w:rPr>
          <w:rFonts w:ascii="Arial" w:cs="Arial" w:eastAsia="Arial" w:hAnsi="Arial"/>
          <w:sz w:val="17"/>
          <w:szCs w:val="17"/>
          <w:color w:val="auto"/>
        </w:rPr>
        <w:t>has established procedures for (a) the receipt, retention and treatment of complaints received by the company regarding accounting, internal accounting controls or auditing matters and (b) the confidential, anonymous submission by Viacom employees of concerns regarding questionable accounting or auditing matters.</w:t>
      </w:r>
    </w:p>
    <w:p>
      <w:pPr>
        <w:spacing w:after="0" w:line="5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Audit Committee discusses certain matters with PwC on a regular basis, including Viacom’s critical accounting policies, certain communications between PwC and management, and PwC’s independence and qualifications. The Audit Committee also receives reports throughout the year from the Senior Vice President, Chief Audit and Compliance Officer with respect to, among other things, the results of internal audits and compliance practices.</w:t>
      </w:r>
    </w:p>
    <w:p>
      <w:pPr>
        <w:spacing w:after="0" w:line="5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Viacom’s management is responsible for the preparation of its consolidated financial statements, the financial reporting processes and maintaining effective internal control over financial reporting. The independent auditor is responsible for performing an integrated audit of the consolidated financial statements in accordance with the standards of the Public Company Accounting Oversight Board (“PCAOB”) and expressing an opinion on the</w:t>
      </w:r>
    </w:p>
    <w:p>
      <w:pPr>
        <w:spacing w:after="0" w:line="63" w:lineRule="exact"/>
        <w:rPr>
          <w:sz w:val="20"/>
          <w:szCs w:val="20"/>
          <w:color w:val="auto"/>
        </w:rPr>
      </w:pPr>
    </w:p>
    <w:tbl>
      <w:tblPr>
        <w:tblLayout w:type="fixed"/>
        <w:tblInd w:w="980" w:type="dxa"/>
        <w:tblCellMar>
          <w:top w:w="0" w:type="dxa"/>
          <w:left w:w="0" w:type="dxa"/>
          <w:bottom w:w="0" w:type="dxa"/>
          <w:right w:w="0" w:type="dxa"/>
        </w:tblCellMar>
      </w:tblPr>
      <w:tr>
        <w:trPr>
          <w:trHeight w:val="419"/>
        </w:trPr>
        <w:tc>
          <w:tcPr>
            <w:tcW w:w="130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1CB6EA"/>
              </w:rPr>
              <w:t>VIACOM INC.</w:t>
            </w:r>
          </w:p>
        </w:tc>
        <w:tc>
          <w:tcPr>
            <w:tcW w:w="320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64770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shd w:val="clear" w:color="auto" w:fill="1CB6EA"/>
        </w:rPr>
        <w:t>REPORT OF THE AUDIT COMMITTEE</w:t>
      </w:r>
    </w:p>
    <w:p>
      <w:pPr>
        <w:spacing w:after="0" w:line="251" w:lineRule="exact"/>
        <w:rPr>
          <w:sz w:val="20"/>
          <w:szCs w:val="20"/>
          <w:color w:val="auto"/>
        </w:rPr>
      </w:pPr>
    </w:p>
    <w:p>
      <w:pPr>
        <w:jc w:val="both"/>
        <w:spacing w:after="0"/>
        <w:rPr>
          <w:sz w:val="20"/>
          <w:szCs w:val="20"/>
          <w:color w:val="auto"/>
        </w:rPr>
      </w:pPr>
      <w:r>
        <w:rPr>
          <w:rFonts w:ascii="Arial" w:cs="Arial" w:eastAsia="Arial" w:hAnsi="Arial"/>
          <w:sz w:val="17"/>
          <w:szCs w:val="17"/>
          <w:color w:val="auto"/>
        </w:rPr>
        <w:t>conformity of the audited consolidated financial statements to GAAP and the effectiveness of the company’s internal control over financial reporting. The Audit Committee monitors and oversees these processes.</w:t>
      </w:r>
    </w:p>
    <w:p>
      <w:pPr>
        <w:spacing w:after="0" w:line="251"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part of its oversight role, the Audit Committee has reviewed and discussed with management and with PwC Viacom’s audited consolidated financial statements for the fiscal year ended September 30, 2018 and disclosures under “Management’s Discussion and Analysis of Results of Operations and Financial Condition” in Viacom’s Annual Report on Form 10-K for the fiscal year ended September 30, 2018. The Audit Committee has also discussed with PwC all required communications, including the matters required to be discussed pursuant to PCAOB Auditing Standard No. 16 (Communications with Audit Committees). In addition, the Audit Committee has received the written disclosures and the letters from PwC required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68  </w:t>
            </w:r>
            <w:r>
              <w:rPr>
                <w:rFonts w:ascii="Arial" w:cs="Arial" w:eastAsia="Arial" w:hAnsi="Arial"/>
                <w:sz w:val="18"/>
                <w:szCs w:val="18"/>
                <w:b w:val="1"/>
                <w:bCs w:val="1"/>
                <w:color w:val="1CB6EA"/>
              </w:rPr>
              <w:t>VIACOM INC.</w:t>
            </w:r>
          </w:p>
        </w:tc>
        <w:tc>
          <w:tcPr>
            <w:tcW w:w="2060" w:type="dxa"/>
            <w:vAlign w:val="bottom"/>
          </w:tcPr>
          <w:p>
            <w:pPr>
              <w:ind w:left="180"/>
              <w:spacing w:after="0"/>
              <w:rPr>
                <w:sz w:val="20"/>
                <w:szCs w:val="20"/>
                <w:color w:val="auto"/>
              </w:rPr>
            </w:pPr>
            <w:r>
              <w:rPr>
                <w:rFonts w:ascii="Arial" w:cs="Arial" w:eastAsia="Arial" w:hAnsi="Arial"/>
                <w:sz w:val="18"/>
                <w:szCs w:val="18"/>
                <w:b w:val="1"/>
                <w:bCs w:val="1"/>
                <w:i w:val="1"/>
                <w:iCs w:val="1"/>
                <w:color w:val="484848"/>
                <w:w w:val="99"/>
              </w:rPr>
              <w:t>2019 Proxy Statement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by PCAOB Rules 3524 (Audit Committee Pre-Approval of Certain Tax Services), 3525 (Audit Committee Pre-Approval of Non-audit Services Related to Internal Control Over Financial Reporting) and 3526 (Communication with Audit Committees Concerning Independence) and has discussed with PwC the firm’s independence from Viacom in compliance with Rule 3520 (Auditor Independence).</w:t>
      </w:r>
    </w:p>
    <w:p>
      <w:pPr>
        <w:spacing w:after="0" w:line="67" w:lineRule="exact"/>
        <w:rPr>
          <w:sz w:val="20"/>
          <w:szCs w:val="20"/>
          <w:color w:val="auto"/>
        </w:rPr>
      </w:pPr>
    </w:p>
    <w:p>
      <w:pPr>
        <w:jc w:val="both"/>
        <w:ind w:firstLine="32"/>
        <w:spacing w:after="0" w:line="235" w:lineRule="auto"/>
        <w:rPr>
          <w:sz w:val="20"/>
          <w:szCs w:val="20"/>
          <w:color w:val="auto"/>
        </w:rPr>
      </w:pPr>
      <w:r>
        <w:rPr>
          <w:rFonts w:ascii="Arial" w:cs="Arial" w:eastAsia="Arial" w:hAnsi="Arial"/>
          <w:sz w:val="17"/>
          <w:szCs w:val="17"/>
          <w:color w:val="auto"/>
        </w:rPr>
        <w:t>Based on the Audit Committee’s review and discussions referred to above, the Audit Committee recommended to the Board of Directors that the audited consolidated financial statements be included in Viacom’s Annual Report on Form 10-K for the fiscal year ended September 30,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AUDIT COMMITTEE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Ronald Nelson, Chair</w:t>
      </w:r>
    </w:p>
    <w:p>
      <w:pPr>
        <w:spacing w:after="0" w:line="232" w:lineRule="auto"/>
        <w:rPr>
          <w:sz w:val="20"/>
          <w:szCs w:val="20"/>
          <w:color w:val="auto"/>
        </w:rPr>
      </w:pPr>
      <w:r>
        <w:rPr>
          <w:rFonts w:ascii="Arial" w:cs="Arial" w:eastAsia="Arial" w:hAnsi="Arial"/>
          <w:sz w:val="17"/>
          <w:szCs w:val="17"/>
          <w:color w:val="auto"/>
        </w:rPr>
        <w:t>Thomas May</w:t>
      </w:r>
    </w:p>
    <w:p>
      <w:pPr>
        <w:spacing w:after="0" w:line="232" w:lineRule="auto"/>
        <w:rPr>
          <w:sz w:val="20"/>
          <w:szCs w:val="20"/>
          <w:color w:val="auto"/>
        </w:rPr>
      </w:pPr>
      <w:r>
        <w:rPr>
          <w:rFonts w:ascii="Arial" w:cs="Arial" w:eastAsia="Arial" w:hAnsi="Arial"/>
          <w:sz w:val="17"/>
          <w:szCs w:val="17"/>
          <w:color w:val="auto"/>
        </w:rPr>
        <w:t>Judith McHale</w:t>
      </w:r>
    </w:p>
    <w:p>
      <w:pPr>
        <w:spacing w:after="0"/>
        <w:rPr>
          <w:sz w:val="20"/>
          <w:szCs w:val="20"/>
          <w:color w:val="auto"/>
        </w:rPr>
      </w:pPr>
      <w:r>
        <w:rPr>
          <w:rFonts w:ascii="Arial" w:cs="Arial" w:eastAsia="Arial" w:hAnsi="Arial"/>
          <w:sz w:val="17"/>
          <w:szCs w:val="17"/>
          <w:color w:val="auto"/>
        </w:rPr>
        <w:t>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398780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60"/>
            <w:col w:w="548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FFFFFF"/>
          <w:shd w:val="clear" w:color="auto" w:fill="1CB6EA"/>
        </w:rPr>
        <w:t>SERVICES PROVIDED BY THE INDEPENDENT AUDITOR AND FEES PAID</w:t>
      </w:r>
    </w:p>
    <w:p>
      <w:pPr>
        <w:spacing w:after="0" w:line="133" w:lineRule="exact"/>
        <w:rPr>
          <w:sz w:val="20"/>
          <w:szCs w:val="20"/>
          <w:color w:val="auto"/>
        </w:rPr>
      </w:pPr>
    </w:p>
    <w:p>
      <w:pPr>
        <w:ind w:right="840"/>
        <w:spacing w:after="0" w:line="274" w:lineRule="auto"/>
        <w:rPr>
          <w:sz w:val="20"/>
          <w:szCs w:val="20"/>
          <w:color w:val="auto"/>
        </w:rPr>
      </w:pPr>
      <w:r>
        <w:rPr>
          <w:rFonts w:ascii="Arial" w:cs="Arial" w:eastAsia="Arial" w:hAnsi="Arial"/>
          <w:sz w:val="40"/>
          <w:szCs w:val="40"/>
          <w:b w:val="1"/>
          <w:bCs w:val="1"/>
          <w:color w:val="1CB6EA"/>
        </w:rPr>
        <w:t>SERVICES PROVIDED BY THE INDEPENDENT AUDITOR AND FEES PAID</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auto"/>
        </w:rPr>
        <w:t>Audit Committee Pre-Approval of Services Provided by PwC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All audit and non-audit services provided to us by PwC in fiscal year 2018 were pre-approved by either our full Audit Committee or the Chair of the Audit Committee. Under our pre-approval policies and procedures in effect during fiscal year 2018, the Audit Committee Chair was authorized to pre-approve the engagement of PwC to provide certain specified audit and non-audit services, and the engagement of any</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accounting firm to provide certain specified audit services, up to a maximum amount of $200,000 per engagement, with the total amount of such authorizations outstanding that have not been reported to the Audit Committee not to exceed an aggregate of $750,000. The Audit Committee receives reports on the engagements approved by the Chair, if any, pursuant to this delegation.</w:t>
      </w:r>
    </w:p>
    <w:p>
      <w:pPr>
        <w:spacing w:after="0" w:line="200"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auto"/>
        </w:rPr>
        <w:t>PwC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fees  paid  by  Viacom  and  its</w:t>
      </w:r>
    </w:p>
    <w:p>
      <w:pPr>
        <w:spacing w:after="0" w:line="232" w:lineRule="auto"/>
        <w:rPr>
          <w:sz w:val="20"/>
          <w:szCs w:val="20"/>
          <w:color w:val="auto"/>
        </w:rPr>
      </w:pPr>
      <w:r>
        <w:rPr>
          <w:rFonts w:ascii="Arial" w:cs="Arial" w:eastAsia="Arial" w:hAnsi="Arial"/>
          <w:sz w:val="17"/>
          <w:szCs w:val="17"/>
          <w:color w:val="auto"/>
        </w:rPr>
        <w:t>subsidiaries for services rendered by PwC for the fiscal years ended</w:t>
      </w:r>
    </w:p>
    <w:p>
      <w:pPr>
        <w:spacing w:after="0"/>
        <w:rPr>
          <w:sz w:val="20"/>
          <w:szCs w:val="20"/>
          <w:color w:val="auto"/>
        </w:rPr>
      </w:pPr>
      <w:r>
        <w:rPr>
          <w:rFonts w:ascii="Arial" w:cs="Arial" w:eastAsia="Arial" w:hAnsi="Arial"/>
          <w:sz w:val="17"/>
          <w:szCs w:val="17"/>
          <w:color w:val="auto"/>
        </w:rPr>
        <w:t>September 30, 2018 and September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FY 2018</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FY 2017</w:t>
            </w:r>
          </w:p>
        </w:tc>
      </w:tr>
      <w:tr>
        <w:trPr>
          <w:trHeight w:val="169"/>
        </w:trPr>
        <w:tc>
          <w:tcPr>
            <w:tcW w:w="2260" w:type="dxa"/>
            <w:vAlign w:val="bottom"/>
            <w:shd w:val="clear" w:color="auto" w:fill="D8D8D8"/>
          </w:tcPr>
          <w:p>
            <w:pPr>
              <w:ind w:left="20"/>
              <w:spacing w:after="0" w:line="169" w:lineRule="exact"/>
              <w:rPr>
                <w:sz w:val="20"/>
                <w:szCs w:val="20"/>
                <w:color w:val="auto"/>
              </w:rPr>
            </w:pPr>
            <w:r>
              <w:rPr>
                <w:rFonts w:ascii="Arial" w:cs="Arial" w:eastAsia="Arial" w:hAnsi="Arial"/>
                <w:sz w:val="12"/>
                <w:szCs w:val="12"/>
                <w:color w:val="auto"/>
              </w:rPr>
              <w:t xml:space="preserve">Audit Fees </w:t>
            </w:r>
            <w:r>
              <w:rPr>
                <w:rFonts w:ascii="Arial" w:cs="Arial" w:eastAsia="Arial" w:hAnsi="Arial"/>
                <w:sz w:val="19"/>
                <w:szCs w:val="19"/>
                <w:color w:val="auto"/>
                <w:vertAlign w:val="superscript"/>
              </w:rPr>
              <w:t>(1)</w:t>
            </w:r>
          </w:p>
        </w:tc>
        <w:tc>
          <w:tcPr>
            <w:tcW w:w="10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11,730,975</w:t>
            </w:r>
          </w:p>
        </w:tc>
        <w:tc>
          <w:tcPr>
            <w:tcW w:w="2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11,524,975</w:t>
            </w:r>
          </w:p>
        </w:tc>
      </w:tr>
      <w:tr>
        <w:trPr>
          <w:trHeight w:val="176"/>
        </w:trPr>
        <w:tc>
          <w:tcPr>
            <w:tcW w:w="2260" w:type="dxa"/>
            <w:vAlign w:val="bottom"/>
          </w:tcPr>
          <w:p>
            <w:pPr>
              <w:ind w:left="20"/>
              <w:spacing w:after="0" w:line="176" w:lineRule="exact"/>
              <w:rPr>
                <w:sz w:val="20"/>
                <w:szCs w:val="20"/>
                <w:color w:val="auto"/>
              </w:rPr>
            </w:pPr>
            <w:r>
              <w:rPr>
                <w:rFonts w:ascii="Arial" w:cs="Arial" w:eastAsia="Arial" w:hAnsi="Arial"/>
                <w:sz w:val="12"/>
                <w:szCs w:val="12"/>
                <w:color w:val="auto"/>
              </w:rPr>
              <w:t xml:space="preserve">Audit-Related Fees </w:t>
            </w:r>
            <w:r>
              <w:rPr>
                <w:rFonts w:ascii="Arial" w:cs="Arial" w:eastAsia="Arial" w:hAnsi="Arial"/>
                <w:sz w:val="20"/>
                <w:szCs w:val="20"/>
                <w:color w:val="auto"/>
                <w:vertAlign w:val="superscript"/>
              </w:rPr>
              <w:t>(2)</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495,050</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661,521</w:t>
            </w:r>
          </w:p>
        </w:tc>
      </w:tr>
      <w:tr>
        <w:trPr>
          <w:trHeight w:val="176"/>
        </w:trPr>
        <w:tc>
          <w:tcPr>
            <w:tcW w:w="2260" w:type="dxa"/>
            <w:vAlign w:val="bottom"/>
            <w:shd w:val="clear" w:color="auto" w:fill="D8D8D8"/>
          </w:tcPr>
          <w:p>
            <w:pPr>
              <w:ind w:left="20"/>
              <w:spacing w:after="0" w:line="176" w:lineRule="exact"/>
              <w:rPr>
                <w:sz w:val="20"/>
                <w:szCs w:val="20"/>
                <w:color w:val="auto"/>
              </w:rPr>
            </w:pPr>
            <w:r>
              <w:rPr>
                <w:rFonts w:ascii="Arial" w:cs="Arial" w:eastAsia="Arial" w:hAnsi="Arial"/>
                <w:sz w:val="12"/>
                <w:szCs w:val="12"/>
                <w:color w:val="auto"/>
              </w:rPr>
              <w:t xml:space="preserve">Tax Fees </w:t>
            </w:r>
            <w:r>
              <w:rPr>
                <w:rFonts w:ascii="Arial" w:cs="Arial" w:eastAsia="Arial" w:hAnsi="Arial"/>
                <w:sz w:val="20"/>
                <w:szCs w:val="20"/>
                <w:color w:val="auto"/>
                <w:vertAlign w:val="superscript"/>
              </w:rPr>
              <w:t>(3)</w:t>
            </w:r>
          </w:p>
        </w:tc>
        <w:tc>
          <w:tcPr>
            <w:tcW w:w="10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1,544,479</w:t>
            </w:r>
          </w:p>
        </w:tc>
        <w:tc>
          <w:tcPr>
            <w:tcW w:w="2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1,973,110</w:t>
            </w:r>
          </w:p>
        </w:tc>
      </w:tr>
      <w:tr>
        <w:trPr>
          <w:trHeight w:val="176"/>
        </w:trPr>
        <w:tc>
          <w:tcPr>
            <w:tcW w:w="2260" w:type="dxa"/>
            <w:vAlign w:val="bottom"/>
          </w:tcPr>
          <w:p>
            <w:pPr>
              <w:ind w:left="20"/>
              <w:spacing w:after="0" w:line="176" w:lineRule="exact"/>
              <w:rPr>
                <w:sz w:val="20"/>
                <w:szCs w:val="20"/>
                <w:color w:val="auto"/>
              </w:rPr>
            </w:pPr>
            <w:r>
              <w:rPr>
                <w:rFonts w:ascii="Arial" w:cs="Arial" w:eastAsia="Arial" w:hAnsi="Arial"/>
                <w:sz w:val="12"/>
                <w:szCs w:val="12"/>
                <w:color w:val="auto"/>
              </w:rPr>
              <w:t xml:space="preserve">All Other Fees </w:t>
            </w:r>
            <w:r>
              <w:rPr>
                <w:rFonts w:ascii="Arial" w:cs="Arial" w:eastAsia="Arial" w:hAnsi="Arial"/>
                <w:sz w:val="20"/>
                <w:szCs w:val="20"/>
                <w:color w:val="auto"/>
                <w:vertAlign w:val="superscript"/>
              </w:rPr>
              <w:t>(4)</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663,942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468,666</w:t>
            </w:r>
          </w:p>
        </w:tc>
      </w:tr>
      <w:tr>
        <w:trPr>
          <w:trHeight w:val="176"/>
        </w:trPr>
        <w:tc>
          <w:tcPr>
            <w:tcW w:w="2260" w:type="dxa"/>
            <w:vAlign w:val="bottom"/>
            <w:tcBorders>
              <w:bottom w:val="single" w:sz="8" w:color="auto"/>
            </w:tcBorders>
            <w:shd w:val="clear" w:color="auto" w:fill="D8D8D8"/>
          </w:tcPr>
          <w:p>
            <w:pPr>
              <w:ind w:left="26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14,434,446</w:t>
            </w:r>
          </w:p>
        </w:tc>
        <w:tc>
          <w:tcPr>
            <w:tcW w:w="240" w:type="dxa"/>
            <w:vAlign w:val="bottom"/>
            <w:tcBorders>
              <w:bottom w:val="single" w:sz="8" w:color="auto"/>
            </w:tcBorders>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14,628,272</w:t>
            </w:r>
          </w:p>
        </w:tc>
      </w:tr>
    </w:tbl>
    <w:p>
      <w:pPr>
        <w:spacing w:after="0" w:line="107" w:lineRule="exact"/>
        <w:rPr>
          <w:sz w:val="20"/>
          <w:szCs w:val="20"/>
          <w:color w:val="auto"/>
        </w:rPr>
      </w:pPr>
    </w:p>
    <w:p>
      <w:pPr>
        <w:jc w:val="both"/>
        <w:ind w:left="220" w:right="5960" w:hanging="212"/>
        <w:spacing w:after="0" w:line="228" w:lineRule="auto"/>
        <w:tabs>
          <w:tab w:leader="none" w:pos="220" w:val="left"/>
        </w:tabs>
        <w:numPr>
          <w:ilvl w:val="0"/>
          <w:numId w:val="100"/>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audit fees billed for each of fiscal years 2018 and 2017, which reflect the integrated audit of our financial statements, statutory audits and services provided in connection with our debt offerings, comfort letters and SEC filings.</w:t>
      </w:r>
    </w:p>
    <w:p>
      <w:pPr>
        <w:jc w:val="both"/>
        <w:ind w:left="220" w:right="5980" w:hanging="212"/>
        <w:spacing w:after="0" w:line="221" w:lineRule="auto"/>
        <w:tabs>
          <w:tab w:leader="none" w:pos="220" w:val="left"/>
        </w:tabs>
        <w:numPr>
          <w:ilvl w:val="0"/>
          <w:numId w:val="100"/>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audit-related fees billed in each of fiscal years 2018 and 2017, which are principally related to reviews of accounting information systems, compliance services and agreed upon procedures.</w:t>
      </w:r>
    </w:p>
    <w:p>
      <w:pPr>
        <w:ind w:left="220" w:right="5980" w:hanging="212"/>
        <w:spacing w:after="0" w:line="258" w:lineRule="auto"/>
        <w:tabs>
          <w:tab w:leader="none" w:pos="220" w:val="left"/>
        </w:tabs>
        <w:numPr>
          <w:ilvl w:val="0"/>
          <w:numId w:val="100"/>
        </w:numPr>
        <w:rPr>
          <w:rFonts w:ascii="Arial" w:cs="Arial" w:eastAsia="Arial" w:hAnsi="Arial"/>
          <w:sz w:val="11"/>
          <w:szCs w:val="11"/>
          <w:i w:val="1"/>
          <w:iCs w:val="1"/>
          <w:color w:val="auto"/>
        </w:rPr>
      </w:pPr>
      <w:r>
        <w:rPr>
          <w:rFonts w:ascii="Arial" w:cs="Arial" w:eastAsia="Arial" w:hAnsi="Arial"/>
          <w:sz w:val="12"/>
          <w:szCs w:val="12"/>
          <w:i w:val="1"/>
          <w:iCs w:val="1"/>
          <w:color w:val="auto"/>
        </w:rPr>
        <w:t>Represents tax fees billed in each of fiscal years 2018 and 2017, which are principally related to consulting and certain domestic and international tax compliance services.</w:t>
      </w:r>
    </w:p>
    <w:p>
      <w:pPr>
        <w:jc w:val="both"/>
        <w:ind w:left="220" w:right="5960" w:hanging="212"/>
        <w:spacing w:after="0" w:line="228" w:lineRule="auto"/>
        <w:tabs>
          <w:tab w:leader="none" w:pos="220" w:val="left"/>
        </w:tabs>
        <w:numPr>
          <w:ilvl w:val="0"/>
          <w:numId w:val="100"/>
        </w:numPr>
        <w:rPr>
          <w:rFonts w:ascii="Arial" w:cs="Arial" w:eastAsia="Arial" w:hAnsi="Arial"/>
          <w:sz w:val="11"/>
          <w:szCs w:val="11"/>
          <w:i w:val="1"/>
          <w:iCs w:val="1"/>
          <w:color w:val="auto"/>
        </w:rPr>
      </w:pPr>
      <w:r>
        <w:rPr>
          <w:rFonts w:ascii="Arial" w:cs="Arial" w:eastAsia="Arial" w:hAnsi="Arial"/>
          <w:sz w:val="14"/>
          <w:szCs w:val="14"/>
          <w:i w:val="1"/>
          <w:iCs w:val="1"/>
          <w:color w:val="auto"/>
        </w:rPr>
        <w:t>Represents all other fees billed in each of fiscal years 2018 and 2017, which are principally related to advice with respect to the European Union’s General Data Protection Regulation.</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69</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076825"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76825" cy="15430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ITEM 2 — RATIFICATION OF THE APPOINTMENT OF THE INDEPENDENT AUDITOR</w:t>
      </w:r>
    </w:p>
    <w:p>
      <w:pPr>
        <w:spacing w:after="0" w:line="160" w:lineRule="exact"/>
        <w:rPr>
          <w:sz w:val="20"/>
          <w:szCs w:val="20"/>
          <w:color w:val="auto"/>
        </w:rPr>
      </w:pPr>
    </w:p>
    <w:p>
      <w:pPr>
        <w:ind w:right="860"/>
        <w:spacing w:after="0" w:line="274" w:lineRule="auto"/>
        <w:rPr>
          <w:sz w:val="20"/>
          <w:szCs w:val="20"/>
          <w:color w:val="auto"/>
        </w:rPr>
      </w:pPr>
      <w:r>
        <w:rPr>
          <w:rFonts w:ascii="Arial" w:cs="Arial" w:eastAsia="Arial" w:hAnsi="Arial"/>
          <w:sz w:val="40"/>
          <w:szCs w:val="40"/>
          <w:b w:val="1"/>
          <w:bCs w:val="1"/>
          <w:color w:val="1CB6EA"/>
        </w:rPr>
        <w:t>ITEM 2 – RATIFICATION OF THE APPOINTMENT OF THE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32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Audit Committee has appointed PricewaterhouseCoopers LLP (“PwC”) as the independent auditor of our consolidated financial statements for our fiscal year ending September 30, 2019, subject to stockholder ratification.</w:t>
      </w:r>
    </w:p>
    <w:p>
      <w:pPr>
        <w:spacing w:after="0" w:line="5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Audit Committee is directly responsible for the appointment, compensation and oversight of our independent auditor and has reviewed PwC’s independence from us, as described in the “Report of the Audit Committee.” In appointing PwC as our independent auditor for our fiscal year 2019, and in recommending that our stockholders ratify the appointment, the Audit Committee has considered, among other things, whether the non-audit services provided by PwC were compatible with maintaining PwC’s independence from us and has determined that such services do not impair PwC’s independence. In addition, in connection with the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mandated rotation of PwC’s lead engagement partner, the Audit Committee and the Audit Committee Chair were directly involved in the selection of PwC’s new lead engagement partner beginning in 2018.</w:t>
      </w:r>
    </w:p>
    <w:p>
      <w:pPr>
        <w:spacing w:after="0" w:line="53"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PwC has served as our independent auditor since 2005. In order to assure continuing auditor independence, the Audit Committee periodically considers whether there should be a rotation of the independent auditor, and the members of the Audit Committee believe that the continued retention of PwC to serve as our independent auditor is in the best interests of Viacom and its stockholders.</w:t>
      </w:r>
    </w:p>
    <w:p>
      <w:pPr>
        <w:spacing w:after="0" w:line="54"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Representatives of PwC are expected to be present at the Annual Meeting and will be given an opportunity to make a statement if they desire to do so. They will also be available to respond to questions at the Annual Meeting.</w:t>
      </w:r>
    </w:p>
    <w:p>
      <w:pPr>
        <w:spacing w:after="0" w:line="324"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p>
      <w:pPr>
        <w:spacing w:after="0" w:line="27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Board of Directors recommends a vote “FOR” the ratification of the appointment of PricewaterhouseCoopers LLP to serve as our independent auditor for our fiscal year 2019. In accordance with the Board’s recommendation, the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proxy holders will vote the shares of Class A common stock covered by valid and timely received proxies “FOR” this proposal, unless the stockholder gives instructions to the contrary.</w:t>
      </w:r>
    </w:p>
    <w:p>
      <w:pPr>
        <w:spacing w:after="0" w:line="387" w:lineRule="exact"/>
        <w:rPr>
          <w:sz w:val="20"/>
          <w:szCs w:val="20"/>
          <w:color w:val="auto"/>
        </w:rPr>
      </w:pPr>
    </w:p>
    <w:p>
      <w:pPr>
        <w:sectPr>
          <w:pgSz w:w="11900" w:h="16838" w:orient="portrait"/>
          <w:cols w:equalWidth="0" w:num="2">
            <w:col w:w="5480" w:space="460"/>
            <w:col w:w="5500"/>
          </w:cols>
          <w:pgMar w:left="240" w:top="125" w:right="21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20" w:type="dxa"/>
            <w:vAlign w:val="bottom"/>
            <w:tcBorders>
              <w:right w:val="single" w:sz="8" w:color="00BBE6"/>
            </w:tcBorders>
          </w:tcPr>
          <w:p>
            <w:pPr>
              <w:spacing w:after="0"/>
              <w:rPr>
                <w:sz w:val="20"/>
                <w:szCs w:val="20"/>
                <w:color w:val="auto"/>
              </w:rPr>
            </w:pPr>
            <w:r>
              <w:rPr>
                <w:rFonts w:ascii="Arial" w:cs="Arial" w:eastAsia="Arial" w:hAnsi="Arial"/>
                <w:sz w:val="18"/>
                <w:szCs w:val="18"/>
                <w:b w:val="1"/>
                <w:bCs w:val="1"/>
                <w:color w:val="484848"/>
              </w:rPr>
              <w:t xml:space="preserve">70  </w:t>
            </w:r>
            <w:r>
              <w:rPr>
                <w:rFonts w:ascii="Arial" w:cs="Arial" w:eastAsia="Arial" w:hAnsi="Arial"/>
                <w:sz w:val="18"/>
                <w:szCs w:val="18"/>
                <w:b w:val="1"/>
                <w:bCs w:val="1"/>
                <w:color w:val="1CB6EA"/>
              </w:rPr>
              <w:t>VIACOM INC.</w:t>
            </w:r>
          </w:p>
        </w:tc>
        <w:tc>
          <w:tcPr>
            <w:tcW w:w="9220" w:type="dxa"/>
            <w:vAlign w:val="bottom"/>
          </w:tcPr>
          <w:p>
            <w:pPr>
              <w:ind w:left="180"/>
              <w:spacing w:after="0"/>
              <w:rPr>
                <w:sz w:val="20"/>
                <w:szCs w:val="20"/>
                <w:color w:val="auto"/>
              </w:rPr>
            </w:pPr>
            <w:r>
              <w:rPr>
                <w:rFonts w:ascii="Arial" w:cs="Arial" w:eastAsia="Arial" w:hAnsi="Arial"/>
                <w:sz w:val="18"/>
                <w:szCs w:val="18"/>
                <w:b w:val="1"/>
                <w:bCs w:val="1"/>
                <w:i w:val="1"/>
                <w:iCs w:val="1"/>
                <w:color w:val="484848"/>
              </w:rPr>
              <w:t>2019 Proxy Statement</w:t>
            </w:r>
          </w:p>
        </w:tc>
      </w:tr>
      <w:tr>
        <w:trPr>
          <w:trHeight w:val="129"/>
        </w:trPr>
        <w:tc>
          <w:tcPr>
            <w:tcW w:w="2220" w:type="dxa"/>
            <w:vAlign w:val="bottom"/>
            <w:tcBorders>
              <w:bottom w:val="single" w:sz="8" w:color="9A9A9A"/>
            </w:tcBorders>
          </w:tcPr>
          <w:p>
            <w:pPr>
              <w:spacing w:after="0"/>
              <w:rPr>
                <w:sz w:val="11"/>
                <w:szCs w:val="11"/>
                <w:color w:val="auto"/>
              </w:rPr>
            </w:pPr>
          </w:p>
        </w:tc>
        <w:tc>
          <w:tcPr>
            <w:tcW w:w="9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FFFFFF"/>
          <w:shd w:val="clear" w:color="auto" w:fill="1CB6EA"/>
        </w:rPr>
        <w:t>OTHER MATTERS</w:t>
      </w:r>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1CB6EA"/>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As of the date of this proxy statement, management does not intend to present and has not been informed that any other person intends to present any matter for action not specified in this proxy statement. If any other matters properly come before the Annual Meeting, the proxy holders will act on those matters in accordance with their best judgment.</w:t>
      </w:r>
    </w:p>
    <w:p>
      <w:pPr>
        <w:spacing w:after="0" w:line="9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In order for proposals by stockholders to be considered for inclusion in the proxy card and proxy statement relating to the 2020 Annual Meeting of Stockholders, such proposals must be received on or before September 27, 2019 at our principal executive offices at 1515 Broadway, New York, NY 10036-5794, attention: Christa A. D’Alimonte, Secretary.</w:t>
      </w:r>
    </w:p>
    <w:p>
      <w:pPr>
        <w:spacing w:after="0" w:line="182" w:lineRule="exact"/>
        <w:rPr>
          <w:sz w:val="20"/>
          <w:szCs w:val="20"/>
          <w:color w:val="auto"/>
        </w:rPr>
      </w:pPr>
    </w:p>
    <w:p>
      <w:pPr>
        <w:ind w:left="8580"/>
        <w:spacing w:after="0"/>
        <w:rPr>
          <w:sz w:val="20"/>
          <w:szCs w:val="20"/>
          <w:color w:val="auto"/>
        </w:rPr>
      </w:pPr>
      <w:r>
        <w:rPr>
          <w:rFonts w:ascii="Arial" w:cs="Arial" w:eastAsia="Arial" w:hAnsi="Arial"/>
          <w:sz w:val="17"/>
          <w:szCs w:val="17"/>
          <w:b w:val="1"/>
          <w:bCs w:val="1"/>
          <w:color w:val="auto"/>
        </w:rPr>
        <w:t>By Order of the Board of Directors,</w:t>
      </w:r>
    </w:p>
    <w:p>
      <w:pPr>
        <w:spacing w:after="0" w:line="102" w:lineRule="exact"/>
        <w:rPr>
          <w:sz w:val="20"/>
          <w:szCs w:val="20"/>
          <w:color w:val="auto"/>
        </w:rPr>
      </w:pPr>
    </w:p>
    <w:p>
      <w:pPr>
        <w:ind w:left="9340"/>
        <w:spacing w:after="0"/>
        <w:rPr>
          <w:sz w:val="20"/>
          <w:szCs w:val="20"/>
          <w:color w:val="auto"/>
        </w:rPr>
      </w:pPr>
      <w:r>
        <w:rPr>
          <w:rFonts w:ascii="Arial" w:cs="Arial" w:eastAsia="Arial" w:hAnsi="Arial"/>
          <w:sz w:val="17"/>
          <w:szCs w:val="17"/>
          <w:b w:val="1"/>
          <w:bCs w:val="1"/>
          <w:color w:val="auto"/>
        </w:rPr>
        <w:t>CHRISTA A. D’ALIMONTE</w:t>
      </w:r>
    </w:p>
    <w:p>
      <w:pPr>
        <w:spacing w:after="0" w:line="14"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i w:val="1"/>
          <w:iCs w:val="1"/>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282575</wp:posOffset>
            </wp:positionV>
            <wp:extent cx="182689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08"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b w:val="1"/>
          <w:bCs w:val="1"/>
          <w:color w:val="auto"/>
        </w:rPr>
        <w:t xml:space="preserve">We have sent or are sending the Notice of Internet Availability of Proxy Materials, which indicates that this Notice of 2019 Annual Meeting of Stockholders and Proxy Statement, our Stockholder Letter and our Annual Report on Form 10-K for the fiscal year ended September 30, 2018, with financial statements and schedules thereto, will be made available at </w:t>
      </w:r>
      <w:r>
        <w:rPr>
          <w:rFonts w:ascii="Arial" w:cs="Arial" w:eastAsia="Arial" w:hAnsi="Arial"/>
          <w:sz w:val="17"/>
          <w:szCs w:val="17"/>
          <w:b w:val="1"/>
          <w:bCs w:val="1"/>
          <w:u w:val="single" w:color="auto"/>
          <w:color w:val="auto"/>
        </w:rPr>
        <w:t>http://proxymaterials.viacom.com</w:t>
      </w:r>
      <w:r>
        <w:rPr>
          <w:rFonts w:ascii="Arial" w:cs="Arial" w:eastAsia="Arial" w:hAnsi="Arial"/>
          <w:sz w:val="17"/>
          <w:szCs w:val="17"/>
          <w:b w:val="1"/>
          <w:bCs w:val="1"/>
          <w:color w:val="auto"/>
        </w:rPr>
        <w:t xml:space="preserve">. If you wish to receive paper or e-mail copies of any of these materials, please follow the instructions on your Notice of Internet Availability of Proxy Materials. These materials are also available on our website at </w:t>
      </w:r>
      <w:r>
        <w:rPr>
          <w:rFonts w:ascii="Arial" w:cs="Arial" w:eastAsia="Arial" w:hAnsi="Arial"/>
          <w:sz w:val="17"/>
          <w:szCs w:val="17"/>
          <w:b w:val="1"/>
          <w:bCs w:val="1"/>
          <w:u w:val="single" w:color="auto"/>
          <w:color w:val="auto"/>
        </w:rPr>
        <w:t>www.viacom.com</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8220" w:type="dxa"/>
            <w:vAlign w:val="bottom"/>
            <w:tcBorders>
              <w:right w:val="single" w:sz="8" w:color="00BBE6"/>
            </w:tcBorders>
          </w:tcPr>
          <w:p>
            <w:pPr>
              <w:ind w:left="6920"/>
              <w:spacing w:after="0"/>
              <w:rPr>
                <w:sz w:val="20"/>
                <w:szCs w:val="20"/>
                <w:color w:val="auto"/>
              </w:rPr>
            </w:pPr>
            <w:r>
              <w:rPr>
                <w:rFonts w:ascii="Arial" w:cs="Arial" w:eastAsia="Arial" w:hAnsi="Arial"/>
                <w:sz w:val="18"/>
                <w:szCs w:val="18"/>
                <w:b w:val="1"/>
                <w:bCs w:val="1"/>
                <w:color w:val="1CB6EA"/>
              </w:rPr>
              <w:t>VIACOM INC.</w:t>
            </w:r>
          </w:p>
        </w:tc>
        <w:tc>
          <w:tcPr>
            <w:tcW w:w="3220" w:type="dxa"/>
            <w:vAlign w:val="bottom"/>
          </w:tcPr>
          <w:p>
            <w:pPr>
              <w:ind w:left="980"/>
              <w:spacing w:after="0"/>
              <w:rPr>
                <w:sz w:val="20"/>
                <w:szCs w:val="20"/>
                <w:color w:val="auto"/>
              </w:rPr>
            </w:pPr>
            <w:r>
              <w:rPr>
                <w:rFonts w:ascii="Arial" w:cs="Arial" w:eastAsia="Arial" w:hAnsi="Arial"/>
                <w:sz w:val="18"/>
                <w:szCs w:val="18"/>
                <w:b w:val="1"/>
                <w:bCs w:val="1"/>
                <w:i w:val="1"/>
                <w:iCs w:val="1"/>
                <w:color w:val="484848"/>
              </w:rPr>
              <w:t xml:space="preserve">2019 Proxy Statement  </w:t>
            </w:r>
            <w:r>
              <w:rPr>
                <w:rFonts w:ascii="Arial" w:cs="Arial" w:eastAsia="Arial" w:hAnsi="Arial"/>
                <w:sz w:val="18"/>
                <w:szCs w:val="18"/>
                <w:b w:val="1"/>
                <w:bCs w:val="1"/>
                <w:color w:val="484848"/>
              </w:rPr>
              <w:t>71</w:t>
            </w:r>
          </w:p>
        </w:tc>
      </w:tr>
      <w:tr>
        <w:trPr>
          <w:trHeight w:val="129"/>
        </w:trPr>
        <w:tc>
          <w:tcPr>
            <w:tcW w:w="8220" w:type="dxa"/>
            <w:vAlign w:val="bottom"/>
            <w:tcBorders>
              <w:bottom w:val="single" w:sz="8" w:color="9A9A9A"/>
            </w:tcBorders>
          </w:tcPr>
          <w:p>
            <w:pPr>
              <w:spacing w:after="0"/>
              <w:rPr>
                <w:sz w:val="11"/>
                <w:szCs w:val="11"/>
                <w:color w:val="auto"/>
              </w:rPr>
            </w:pPr>
          </w:p>
        </w:tc>
        <w:tc>
          <w:tcPr>
            <w:tcW w:w="32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289165" cy="7748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774827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192405</wp:posOffset>
            </wp:positionV>
            <wp:extent cx="5797550" cy="75037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97550" cy="750379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lvl w:ilvl="1">
      <w:lvlJc w:val="left"/>
      <w:lvlText w:val="(%2)"/>
      <w:numFmt w:val="decimal"/>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decimal"/>
      <w:start w:val="2"/>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lvl w:ilvl="1">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4"/>
    </w:lvl>
  </w:abstractNum>
  <w:abstractNum w:abstractNumId="48">
    <w:nsid w:val="540A471C"/>
    <w:multiLevelType w:val="hybridMultilevel"/>
    <w:lvl w:ilvl="0">
      <w:lvlJc w:val="left"/>
      <w:lvlText w:val="(%1)"/>
      <w:numFmt w:val="decimal"/>
      <w:start w:val="5"/>
    </w:lvl>
  </w:abstractNum>
  <w:abstractNum w:abstractNumId="49">
    <w:nsid w:val="7BD3EE7B"/>
    <w:multiLevelType w:val="hybridMultilevel"/>
    <w:lvl w:ilvl="0">
      <w:lvlJc w:val="left"/>
      <w:lvlText w:val="(%1)"/>
      <w:numFmt w:val="decimal"/>
      <w:start w:val="7"/>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o"/>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lvl w:ilvl="1">
      <w:lvlJc w:val="left"/>
      <w:lvlText w:val="▪"/>
      <w:numFmt w:val="bullet"/>
      <w:start w:val="1"/>
    </w:lvl>
  </w:abstractNum>
  <w:abstractNum w:abstractNumId="66">
    <w:nsid w:val="71EA1109"/>
    <w:multiLevelType w:val="hybridMultilevel"/>
    <w:lvl w:ilvl="0">
      <w:lvlJc w:val="left"/>
      <w:lvlText w:val="●"/>
      <w:numFmt w:val="bullet"/>
      <w:start w:val="1"/>
    </w:lvl>
    <w:lvl w:ilvl="1">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1)"/>
      <w:numFmt w:val="lowerLetter"/>
      <w:start w:val="1"/>
    </w:lvl>
  </w:abstractNum>
  <w:abstractNum w:abstractNumId="76">
    <w:nsid w:val="14E17E33"/>
    <w:multiLevelType w:val="hybridMultilevel"/>
    <w:lvl w:ilvl="0">
      <w:lvlJc w:val="left"/>
      <w:lvlText w:val="(%1)"/>
      <w:numFmt w:val="decimal"/>
      <w:start w:val="5"/>
    </w:lvl>
  </w:abstractNum>
  <w:abstractNum w:abstractNumId="77">
    <w:nsid w:val="3222E7CD"/>
    <w:multiLevelType w:val="hybridMultilevel"/>
    <w:lvl w:ilvl="0">
      <w:lvlJc w:val="left"/>
      <w:lvlText w:val="(%1)"/>
      <w:numFmt w:val="decimal"/>
      <w:start w:val="1"/>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1)"/>
      <w:numFmt w:val="decimal"/>
      <w:start w:val="1"/>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1)"/>
      <w:numFmt w:val="decimal"/>
      <w:start w:val="1"/>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1)"/>
      <w:numFmt w:val="lowerRoman"/>
      <w:start w:val="1"/>
    </w:lvl>
  </w:abstractNum>
  <w:abstractNum w:abstractNumId="91">
    <w:nsid w:val="7055A5F5"/>
    <w:multiLevelType w:val="hybridMultilevel"/>
    <w:lvl w:ilvl="0">
      <w:lvlJc w:val="left"/>
      <w:lvlText w:val="(%1)"/>
      <w:numFmt w:val="lowerRoman"/>
      <w:start w:val="7"/>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2019-12-21T04:49:51Z</dcterms:created>
  <dcterms:modified xsi:type="dcterms:W3CDTF">2019-12-21T04:49:51Z</dcterms:modified>
</cp:coreProperties>
</file>