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Byrne Barbara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1515 BROADWAY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Paramount Skydance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PSKY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02/15/2026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02/15/2026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60"/>
              <w:spacing w:after="0" w:line="320" w:lineRule="exact"/>
              <w:rPr>
                <w:sz w:val="20"/>
                <w:szCs w:val="20"/>
                <w:color w:val="auto"/>
              </w:rPr>
            </w:pPr>
            <w:r>
              <w:rPr>
                <w:rFonts w:ascii="Times New Roman" w:cs="Times New Roman" w:eastAsia="Times New Roman" w:hAnsi="Times New Roman"/>
                <w:sz w:val="34"/>
                <w:szCs w:val="34"/>
                <w:color w:val="0000FF"/>
                <w:vertAlign w:val="subscript"/>
              </w:rPr>
              <w:t>118</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44,152</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Class B common stock to which the Reporting Person became entitled with respect to dividend equivalents accrued on previously vested restricted stock units and that were reinvested in Class B common stock on February 15, 2026, but which have not been received because the director elected to defer receipt. On February 13, 2026, the last business day preceding the date of reinvestment, the closing price of the Class B common stock on The NASDAQ Global Select Market was $10.32 per share.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acquired periodically pursuant to a dividend reinvestment program meeting the requirements of Rule 16a-11.</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Stephanie Kyoko</w:t>
            </w:r>
          </w:p>
        </w:tc>
        <w:tc>
          <w:tcPr>
            <w:tcW w:w="680" w:type="dxa"/>
            <w:vAlign w:val="bottom"/>
            <w:gridSpan w:val="2"/>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02/18/2026</w:t>
            </w:r>
          </w:p>
        </w:tc>
        <w:tc>
          <w:tcPr>
            <w:tcW w:w="0" w:type="dxa"/>
            <w:vAlign w:val="bottom"/>
          </w:tcPr>
          <w:p>
            <w:pPr>
              <w:spacing w:after="0"/>
              <w:rPr>
                <w:sz w:val="1"/>
                <w:szCs w:val="1"/>
                <w:color w:val="auto"/>
              </w:rPr>
            </w:pPr>
          </w:p>
        </w:tc>
      </w:tr>
      <w:tr>
        <w:trPr>
          <w:trHeight w:val="87"/>
        </w:trPr>
        <w:tc>
          <w:tcPr>
            <w:tcW w:w="202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McKinnon, Attorney-in-Fact</w:t>
            </w:r>
          </w:p>
        </w:tc>
        <w:tc>
          <w:tcPr>
            <w:tcW w:w="8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20" w:type="dxa"/>
            <w:vAlign w:val="bottom"/>
            <w:tcBorders>
              <w:bottom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53238" TargetMode="External"/><Relationship Id="rId14" Type="http://schemas.openxmlformats.org/officeDocument/2006/relationships/hyperlink" Target="http://www.sec.gov/cgi-bin/browse-edgar?action=getcompany&amp;CIK=00020416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2026-02-18T16:12:34Z</dcterms:created>
  <dcterms:modified xsi:type="dcterms:W3CDTF">2026-02-18T16:12:34Z</dcterms:modified>
</cp:coreProperties>
</file>