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3570d76_sctota.htm"/>
      <w:bookmarkStart w:id="1" w:name="kstm2533570d76_sctot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TO/A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 Offer Statement Pursuant to Section 14(d)(1) or 13(e)(1)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27)</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Warner Bros. Discovery,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Subject Company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Prince Sub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 wholly owned subsidiary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Paramount 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(Parent of Offeror)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Filing Persons (identifying status as offeror, issuer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Common Stock, par value $0.01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934423104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 of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Makan Delrahim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1515 Broadway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258-6000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 Authorized to Receive Notices and Communications on Behalf of Filing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275"/>
        <w:gridCol w:w="3005"/>
      </w:tblGrid>
      <w:tr>
        <w:trPr/>
        <w:tc>
          <w:tcPr>
            <w:tcW w:w="3275" w:type="dxa"/>
            <w:tcBorders/>
            <w:vAlign w:val="center"/>
          </w:tcPr>
          <w:p>
            <w:pPr>
              <w:pStyle w:val="TableContents"/>
              <w:bidi w:val="0"/>
              <w:spacing w:before="0" w:after="283"/>
              <w:jc w:val="center"/>
              <w:rPr>
                <w:b/>
              </w:rPr>
            </w:pPr>
            <w:r>
              <w:rPr>
                <w:b/>
              </w:rPr>
              <w:t>Faiza J. Saeed</w:t>
              <w:br/>
              <w:t>Andrew J. Pitts</w:t>
              <w:br/>
              <w:t>C. Daniel Haaren</w:t>
              <w:br/>
              <w:t>Daniel J. Cerqueira</w:t>
              <w:br/>
              <w:t>Claudia J. Ricciardi</w:t>
              <w:br/>
              <w:t>Cravath, Swaine &amp; Moore LLP</w:t>
              <w:br/>
              <w:t>Two Manhattan West</w:t>
              <w:br/>
              <w:t>375 Ninth Avenue</w:t>
              <w:br/>
              <w:t>New York, New York 10001</w:t>
              <w:br/>
              <w:t>(212) 474-1000</w:t>
            </w:r>
          </w:p>
        </w:tc>
        <w:tc>
          <w:tcPr>
            <w:tcW w:w="3005" w:type="dxa"/>
            <w:tcBorders/>
            <w:vAlign w:val="center"/>
          </w:tcPr>
          <w:p>
            <w:pPr>
              <w:pStyle w:val="TableContents"/>
              <w:bidi w:val="0"/>
              <w:spacing w:before="0" w:after="283"/>
              <w:jc w:val="center"/>
              <w:rPr>
                <w:b/>
              </w:rPr>
            </w:pPr>
            <w:r>
              <w:rPr>
                <w:b/>
              </w:rPr>
              <w:t>Ian Nussbaum</w:t>
              <w:br/>
              <w:t>Max Schleusener</w:t>
              <w:br/>
              <w:t>Latham &amp; Watkins LLP</w:t>
              <w:br/>
              <w:t>1271 Avenue of the Americas</w:t>
              <w:br/>
              <w:t>New York, New York 10020</w:t>
              <w:br/>
              <w:t>(212) 906-1200</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245"/>
        <w:gridCol w:w="9950"/>
      </w:tblGrid>
      <w:tr>
        <w:trPr/>
        <w:tc>
          <w:tcPr>
            <w:tcW w:w="24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Check the box if the filing relates solely to preliminary communications made before the commencement of a tender offer.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boxes below to designate any transactions to which the statement relates:</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45"/>
        <w:gridCol w:w="3770"/>
      </w:tblGrid>
      <w:tr>
        <w:trPr/>
        <w:tc>
          <w:tcPr>
            <w:tcW w:w="245"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tender offer subject to Rule 14d-1. </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245"/>
        <w:gridCol w:w="3350"/>
      </w:tblGrid>
      <w:tr>
        <w:trPr/>
        <w:tc>
          <w:tcPr>
            <w:tcW w:w="245"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tender offer subject to Rule 13e-4. </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45"/>
        <w:gridCol w:w="3965"/>
      </w:tblGrid>
      <w:tr>
        <w:trPr/>
        <w:tc>
          <w:tcPr>
            <w:tcW w:w="245"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going-private transaction subject to Rule 13e-3. </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to Schedule 13D under Rule 13d-2.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following box if the filing is a final amendment reporting the results of the tender offer: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check the appropriate box(es) below to designate the appropriate rule provision(s) relied upon:</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45"/>
        <w:gridCol w:w="3965"/>
      </w:tblGrid>
      <w:tr>
        <w:trPr/>
        <w:tc>
          <w:tcPr>
            <w:tcW w:w="245"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Rule 13e-4(i) (Cross-Border Issuer Tender Offer) </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245"/>
        <w:gridCol w:w="4490"/>
      </w:tblGrid>
      <w:tr>
        <w:trPr/>
        <w:tc>
          <w:tcPr>
            <w:tcW w:w="245"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Rule 14d-1(d) (Cross-Border Third-Party Tender Offer)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27 to Schedule TO (together with any exhibits and annexes attached hereto, and as it may be amended or supplemented from time to time,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filed by (i) Prince Sub Inc., a Delaware corporation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a direct wholly owned subsidiary of Paramount Skydance Corporation, a Delaware corporation (“</w:t>
      </w:r>
      <w:r>
        <w:rPr>
          <w:rFonts w:ascii="Times New Roman;Times;Serif" w:hAnsi="Times New Roman;Times;Serif"/>
          <w:b/>
          <w:i w:val="false"/>
          <w:caps w:val="false"/>
          <w:smallCaps w:val="false"/>
          <w:sz w:val="20"/>
        </w:rPr>
        <w:t>Paramount</w:t>
      </w:r>
      <w:r>
        <w:rPr>
          <w:rFonts w:ascii="Times New Roman;Times;Serif" w:hAnsi="Times New Roman;Times;Serif"/>
          <w:b w:val="false"/>
          <w:i w:val="false"/>
          <w:caps w:val="false"/>
          <w:smallCaps w:val="false"/>
          <w:sz w:val="20"/>
        </w:rPr>
        <w:t>”), and (ii) Paramount, and amends and supplements the Tender Offer Statement on Schedule TO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December 8, 2025 (together with any amendments and supplements thereto, the “</w:t>
      </w:r>
      <w:r>
        <w:rPr>
          <w:rFonts w:ascii="Times New Roman;Times;Serif" w:hAnsi="Times New Roman;Times;Serif"/>
          <w:b/>
          <w:i w:val="false"/>
          <w:caps w:val="false"/>
          <w:smallCaps w:val="false"/>
          <w:sz w:val="20"/>
        </w:rPr>
        <w:t>Schedule TO</w:t>
      </w:r>
      <w:r>
        <w:rPr>
          <w:rFonts w:ascii="Times New Roman;Times;Serif" w:hAnsi="Times New Roman;Times;Serif"/>
          <w:b w:val="false"/>
          <w:i w:val="false"/>
          <w:caps w:val="false"/>
          <w:smallCaps w:val="false"/>
          <w:sz w:val="20"/>
        </w:rPr>
        <w:t>”)  by the Purchaser and Paramount. This Schedule TO relates to the offer by the Purchaser to purchase all of the outstanding shares of Series A Common Stock, par value $0.01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Warner Bros. Discovery, Inc., a Delaware corporation (“</w:t>
      </w:r>
      <w:r>
        <w:rPr>
          <w:rFonts w:ascii="Times New Roman;Times;Serif" w:hAnsi="Times New Roman;Times;Serif"/>
          <w:b/>
          <w:i w:val="false"/>
          <w:caps w:val="false"/>
          <w:smallCaps w:val="false"/>
          <w:sz w:val="20"/>
        </w:rPr>
        <w:t>Warner Bros.</w:t>
      </w:r>
      <w:r>
        <w:rPr>
          <w:rFonts w:ascii="Times New Roman;Times;Serif" w:hAnsi="Times New Roman;Times;Serif"/>
          <w:b w:val="false"/>
          <w:i w:val="false"/>
          <w:caps w:val="false"/>
          <w:smallCaps w:val="false"/>
          <w:sz w:val="20"/>
        </w:rPr>
        <w:t>”), at $30.00 per share, net to the seller in cash, without interest and less any required withholding taxes, upon the terms and subject to the conditions set forth in the Offer to Purchase, dated December 8, 2025 (as it may be amended or supplemented from time to time, the “</w:t>
      </w:r>
      <w:r>
        <w:rPr>
          <w:rFonts w:ascii="Times New Roman;Times;Serif" w:hAnsi="Times New Roman;Times;Serif"/>
          <w:b/>
          <w:i w:val="false"/>
          <w:caps w:val="false"/>
          <w:smallCaps w:val="false"/>
          <w:sz w:val="20"/>
        </w:rPr>
        <w:t>Offer to Purchase</w:t>
      </w:r>
      <w:r>
        <w:rPr>
          <w:rFonts w:ascii="Times New Roman;Times;Serif" w:hAnsi="Times New Roman;Times;Serif"/>
          <w:b w:val="false"/>
          <w:i w:val="false"/>
          <w:caps w:val="false"/>
          <w:smallCaps w:val="false"/>
          <w:sz w:val="20"/>
        </w:rPr>
        <w:t>”), a copy of which is attached as Exhibit (a)(1)(A) to the Schedule TO filed with the SEC on December 8, 2025, and in the related Letter of Transmittal (as it may be amended or supplemented from time to time, the “</w:t>
      </w:r>
      <w:r>
        <w:rPr>
          <w:rFonts w:ascii="Times New Roman;Times;Serif" w:hAnsi="Times New Roman;Times;Serif"/>
          <w:b/>
          <w:i w:val="false"/>
          <w:caps w:val="false"/>
          <w:smallCaps w:val="false"/>
          <w:sz w:val="20"/>
        </w:rPr>
        <w:t>Letter of Transmittal</w:t>
      </w:r>
      <w:r>
        <w:rPr>
          <w:rFonts w:ascii="Times New Roman;Times;Serif" w:hAnsi="Times New Roman;Times;Serif"/>
          <w:b w:val="false"/>
          <w:i w:val="false"/>
          <w:caps w:val="false"/>
          <w:smallCaps w:val="false"/>
          <w:sz w:val="20"/>
        </w:rPr>
        <w:t>,” and together with the Offer to Purchase, the “</w:t>
      </w:r>
      <w:r>
        <w:rPr>
          <w:rFonts w:ascii="Times New Roman;Times;Serif" w:hAnsi="Times New Roman;Times;Serif"/>
          <w:b/>
          <w:i w:val="false"/>
          <w:caps w:val="false"/>
          <w:smallCaps w:val="false"/>
          <w:sz w:val="20"/>
        </w:rPr>
        <w:t>Offer</w:t>
      </w:r>
      <w:r>
        <w:rPr>
          <w:rFonts w:ascii="Times New Roman;Times;Serif" w:hAnsi="Times New Roman;Times;Serif"/>
          <w:b w:val="false"/>
          <w:i w:val="false"/>
          <w:caps w:val="false"/>
          <w:smallCaps w:val="false"/>
          <w:sz w:val="20"/>
        </w:rPr>
        <w:t>”), a copy of which is attached as Exhibit (a)(1)(B) to the Schedule TO filed with the SEC on December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Amendment, the information in Schedule TO remains unchanged and is incorporated herein by reference to the extent relevant to the items in this Amendment. Capitalized terms used but not defined herein have the meanings ascribed to them in the Schedule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Items 1 through 9 and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to Purchase and Items 1 through 9 and Item 11 of the Schedule TO, to the extent such Items 1 through 9 and Item 11 incorporate by reference the information contained in the Offer to Purchase, are hereby amended and supplemented by adding the following paragraphs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Paramount and the Purchaser entered into an agreement and plan of merger with Warner Bros. (the “</w:t>
      </w:r>
      <w:r>
        <w:rPr>
          <w:rFonts w:ascii="Times New Roman;Times;Serif" w:hAnsi="Times New Roman;Times;Serif"/>
          <w:b/>
          <w:i w:val="false"/>
          <w:caps w:val="false"/>
          <w:smallCaps w:val="false"/>
          <w:sz w:val="20"/>
        </w:rPr>
        <w:t>Merger Agreement</w:t>
      </w:r>
      <w:r>
        <w:rPr>
          <w:rFonts w:ascii="Times New Roman;Times;Serif" w:hAnsi="Times New Roman;Times;Serif"/>
          <w:b w:val="false"/>
          <w:i w:val="false"/>
          <w:caps w:val="false"/>
          <w:smallCaps w:val="false"/>
          <w:sz w:val="20"/>
        </w:rPr>
        <w:t>”), which Merger Agreement did not provide for a tender offer. Pursuant to the terms of the Offer, we reserved the right to terminate the Offer if we entered into a merger agreement with Warner Bros. and such merger agreement did not provide for a tender offer. We are terminating the Offer concurrently with the execution of the Merger Agreement. As a result of the termination of the Offer, no Shares were accepted for payment or paid for pursuant to the Offer. The Purchaser has instructed the Depositary to promptly return all Shares tendered and not withdrawn to the tendering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the signing of the Merger Agreement and the termination of the Offer is attached hereto as Exhibit (a)(5)(AO)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12.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12 of the Schedule TO is hereby amended and supplemented by adding the following exhibit. </w:t>
      </w:r>
    </w:p>
    <w:tbl>
      <w:tblPr>
        <w:tblW w:w="7555" w:type="dxa"/>
        <w:jc w:val="left"/>
        <w:tblInd w:w="0" w:type="dxa"/>
        <w:tblLayout w:type="fixed"/>
        <w:tblCellMar>
          <w:top w:w="0" w:type="dxa"/>
          <w:left w:w="0" w:type="dxa"/>
          <w:bottom w:w="0" w:type="dxa"/>
          <w:right w:w="0" w:type="dxa"/>
        </w:tblCellMar>
      </w:tblPr>
      <w:tblGrid>
        <w:gridCol w:w="860"/>
        <w:gridCol w:w="60"/>
        <w:gridCol w:w="6635"/>
      </w:tblGrid>
      <w:tr>
        <w:trPr/>
        <w:tc>
          <w:tcPr>
            <w:tcW w:w="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hyperlink w:anchor="tm2533570d76_exa5ao.htm">
              <w:r>
                <w:rPr>
                  <w:rStyle w:val="InternetLink"/>
                  <w:rFonts w:ascii="Times New Roman;Times;Serif" w:hAnsi="Times New Roman;Times;Serif"/>
                  <w:sz w:val="20"/>
                </w:rPr>
                <w:t>(a)(5)(AO)</w:t>
              </w:r>
            </w:hyperlink>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left"/>
              <w:rPr/>
            </w:pPr>
            <w:hyperlink w:anchor="tm2533570d76_exa5ao.htm">
              <w:r>
                <w:rPr>
                  <w:rStyle w:val="InternetLink"/>
                  <w:sz w:val="20"/>
                </w:rPr>
                <w:t>Joint Press Release of Paramount Skydance Corporation, dated February 27,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27, 2026</w:t>
      </w:r>
    </w:p>
    <w:p>
      <w:pPr>
        <w:pStyle w:val="TextBody"/>
        <w:bidi w:val="0"/>
        <w:spacing w:before="0" w:after="0"/>
        <w:ind w:left="0" w:right="0" w:hanging="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75"/>
        <w:gridCol w:w="385"/>
        <w:gridCol w:w="656"/>
        <w:gridCol w:w="2862"/>
      </w:tblGrid>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518"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Stephanie Kyoko McKinnon</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Kyoko McKinnon</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both"/>
              <w:rPr/>
            </w:pPr>
            <w:r>
              <w:rPr/>
              <w:t> </w:t>
            </w:r>
          </w:p>
        </w:tc>
        <w:tc>
          <w:tcPr>
            <w:tcW w:w="6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3315" w:type="dxa"/>
        <w:jc w:val="left"/>
        <w:tblInd w:w="0" w:type="dxa"/>
        <w:tblLayout w:type="fixed"/>
        <w:tblCellMar>
          <w:top w:w="0" w:type="dxa"/>
          <w:left w:w="0" w:type="dxa"/>
          <w:bottom w:w="0" w:type="dxa"/>
          <w:right w:w="0" w:type="dxa"/>
        </w:tblCellMar>
      </w:tblPr>
      <w:tblGrid>
        <w:gridCol w:w="75"/>
        <w:gridCol w:w="320"/>
        <w:gridCol w:w="545"/>
        <w:gridCol w:w="2375"/>
      </w:tblGrid>
      <w:tr>
        <w:trPr/>
        <w:tc>
          <w:tcPr>
            <w:tcW w:w="75"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 xml:space="preserve">Prince sub inc. </w:t>
            </w:r>
          </w:p>
        </w:tc>
      </w:tr>
      <w:tr>
        <w:trPr/>
        <w:tc>
          <w:tcPr>
            <w:tcW w:w="75" w:type="dxa"/>
            <w:tcBorders/>
            <w:vAlign w:val="center"/>
          </w:tcPr>
          <w:p>
            <w:pPr>
              <w:pStyle w:val="TableContents"/>
              <w:bidi w:val="0"/>
              <w:spacing w:before="0" w:after="283"/>
              <w:jc w:val="left"/>
              <w:rPr/>
            </w:pPr>
            <w:r>
              <w:rPr/>
              <w:t> </w:t>
            </w:r>
          </w:p>
        </w:tc>
        <w:tc>
          <w:tcPr>
            <w:tcW w:w="32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92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Stephanie Kyoko McKinnon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Kyoko McKinnon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28" w:type="dxa"/>
          <w:right w:w="0" w:type="dxa"/>
        </w:tblCellMar>
      </w:tblPr>
      <w:tblGrid>
        <w:gridCol w:w="860"/>
        <w:gridCol w:w="60"/>
        <w:gridCol w:w="6635"/>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Index No.</w:t>
            </w:r>
          </w:p>
        </w:tc>
        <w:tc>
          <w:tcPr>
            <w:tcW w:w="60" w:type="dxa"/>
            <w:tcBorders/>
            <w:tcMar>
              <w:bottom w:w="0" w:type="dxa"/>
            </w:tcMar>
            <w:vAlign w:val="center"/>
          </w:tcPr>
          <w:p>
            <w:pPr>
              <w:pStyle w:val="TableContents"/>
              <w:bidi w:val="0"/>
              <w:spacing w:before="0" w:after="283"/>
              <w:jc w:val="left"/>
              <w:rPr/>
            </w:pPr>
            <w:r>
              <w:rPr/>
              <w:t> </w:t>
            </w:r>
          </w:p>
        </w:tc>
        <w:tc>
          <w:tcPr>
            <w:tcW w:w="6635" w:type="dxa"/>
            <w:tcBorders>
              <w:bottom w:val="single" w:sz="8" w:space="0" w:color="000000"/>
            </w:tcBorders>
            <w:vAlign w:val="center"/>
          </w:tcPr>
          <w:p>
            <w:pPr>
              <w:pStyle w:val="TableContents"/>
              <w:bidi w:val="0"/>
              <w:spacing w:before="0" w:after="283"/>
              <w:jc w:val="left"/>
              <w:rPr/>
            </w:pPr>
            <w:r>
              <w:rPr/>
              <w:t> </w:t>
            </w:r>
          </w:p>
        </w:tc>
      </w:tr>
      <w:tr>
        <w:trPr/>
        <w:tc>
          <w:tcPr>
            <w:tcW w:w="860" w:type="dxa"/>
            <w:tcBorders/>
            <w:tcMar>
              <w:bottom w:w="0" w:type="dxa"/>
            </w:tcMar>
            <w:vAlign w:val="center"/>
          </w:tcPr>
          <w:p>
            <w:pPr>
              <w:pStyle w:val="TableContents"/>
              <w:bidi w:val="0"/>
              <w:spacing w:before="0" w:after="283"/>
              <w:jc w:val="left"/>
              <w:rPr/>
            </w:pPr>
            <w:r>
              <w:rPr/>
              <w:t> </w:t>
            </w:r>
          </w:p>
        </w:tc>
        <w:tc>
          <w:tcPr>
            <w:tcW w:w="6695" w:type="dxa"/>
            <w:gridSpan w:val="2"/>
            <w:tcBorders/>
            <w:tcMar>
              <w:bottom w:w="0" w:type="dxa"/>
            </w:tcMar>
            <w:vAlign w:val="center"/>
          </w:tcPr>
          <w:p>
            <w:pPr>
              <w:pStyle w:val="TableContents"/>
              <w:bidi w:val="0"/>
              <w:spacing w:before="0" w:after="283"/>
              <w:jc w:val="left"/>
              <w:rPr/>
            </w:pPr>
            <w:r>
              <w:rPr/>
              <w:t> </w:t>
            </w:r>
          </w:p>
        </w:tc>
      </w:tr>
      <w:tr>
        <w:trPr/>
        <w:tc>
          <w:tcPr>
            <w:tcW w:w="860" w:type="dxa"/>
            <w:tcBorders/>
            <w:tcMar>
              <w:bottom w:w="0" w:type="dxa"/>
            </w:tcMar>
            <w:vAlign w:val="center"/>
          </w:tcPr>
          <w:p>
            <w:pPr>
              <w:pStyle w:val="TableContents"/>
              <w:bidi w:val="0"/>
              <w:spacing w:before="0" w:after="283"/>
              <w:jc w:val="left"/>
              <w:rPr/>
            </w:pPr>
            <w:hyperlink w:anchor="tm2533570d76_exa5ao.htm">
              <w:r>
                <w:rPr>
                  <w:rStyle w:val="InternetLink"/>
                  <w:rFonts w:ascii="Times New Roman;Times;Serif" w:hAnsi="Times New Roman;Times;Serif"/>
                  <w:sz w:val="20"/>
                </w:rPr>
                <w:t>(a)(5)(AO)</w:t>
              </w:r>
            </w:hyperlink>
          </w:p>
        </w:tc>
        <w:tc>
          <w:tcPr>
            <w:tcW w:w="60" w:type="dxa"/>
            <w:tcBorders/>
            <w:tcMar>
              <w:bottom w:w="0" w:type="dxa"/>
            </w:tcMar>
            <w:vAlign w:val="center"/>
          </w:tcPr>
          <w:p>
            <w:pPr>
              <w:pStyle w:val="TableContents"/>
              <w:bidi w:val="0"/>
              <w:spacing w:before="0" w:after="283"/>
              <w:jc w:val="left"/>
              <w:rPr/>
            </w:pPr>
            <w:r>
              <w:rPr/>
              <w:t> </w:t>
            </w:r>
          </w:p>
        </w:tc>
        <w:tc>
          <w:tcPr>
            <w:tcW w:w="6635" w:type="dxa"/>
            <w:tcBorders/>
            <w:tcMar>
              <w:bottom w:w="0" w:type="dxa"/>
            </w:tcMar>
            <w:vAlign w:val="center"/>
          </w:tcPr>
          <w:p>
            <w:pPr>
              <w:pStyle w:val="TableContents"/>
              <w:bidi w:val="0"/>
              <w:spacing w:before="0" w:after="283"/>
              <w:jc w:val="left"/>
              <w:rPr/>
            </w:pPr>
            <w:hyperlink w:anchor="tm2533570d76_exa5ao.htm">
              <w:r>
                <w:rPr>
                  <w:rStyle w:val="InternetLink"/>
                  <w:rFonts w:ascii="Times New Roman;Times;Serif" w:hAnsi="Times New Roman;Times;Serif"/>
                  <w:sz w:val="20"/>
                </w:rPr>
                <w:t>Joint Press Release of Paramount Skydance Corporation, dated February 27,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533570d76_exa5ao.htm"/>
      <w:bookmarkStart w:id="3" w:name="kstm2533570d76_exa5ao"/>
      <w:bookmarkEnd w:id="2"/>
      <w:bookmarkEnd w:id="3"/>
      <w:r>
        <w:rPr>
          <w:b/>
        </w:rPr>
        <w:t>Exhibit (a)(5)(AO)</w:t>
      </w:r>
      <w:r>
        <w:br w:type="page"/>
      </w:r>
    </w:p>
    <w:p>
      <w:pPr>
        <w:pStyle w:val="TextBody"/>
        <w:bidi w:val="0"/>
        <w:jc w:val="center"/>
        <w:rPr/>
      </w:pPr>
      <w:r>
        <w:rPr/>
        <w:t> </w:t>
      </w:r>
      <w:r>
        <w:rPr/>
        <w:drawing>
          <wp:inline distT="0" distB="0" distL="0" distR="0">
            <wp:extent cx="6572250" cy="1809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72250" cy="180975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TO ACQUIRE WARNER BROS. DISCOVERY TO FORM NEXT-GENERATION GLOBAL MEDIA AND ENTERTAINMENT COMPANY</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newly merged company will be well positioned to compete in the rapidly evolving entertainment industry where storytelling combined with world class technology expertise will be an important driver of value creation across the ecosystem and for shareholders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Investing in the world-class studios of Paramount and WBD, focusing on attracting and retaining the industry’s leading creative talent while expanding the supply of high-quality content for both the combined company’s platforms and third-party distribution platforms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Driving long-term growth by investing in and expanding our DTC business, powered by our combined world-class storytelling to reach more audiences and compete effectively with leading streaming services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Committed to producing a minimum of 30 theatrical films annually, delivering exceptional entertainment to audiences and driving long-term job growth across the film and creative industries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Paramount issuing $47 billion of new Class B shares at $16.02 per share, supported by a fully committed investment from the Ellison Family and RedBird Capital Partners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Transaction values WBD at enterprise value of $110 billion, representing a multiple of 7.5x on fully synergized 2026 EBITDA</w:t>
            </w:r>
          </w:p>
        </w:tc>
      </w:tr>
    </w:tbl>
    <w:p>
      <w:pPr>
        <w:pStyle w:val="TextBody"/>
        <w:bidi w:val="0"/>
        <w:spacing w:before="0" w:after="0"/>
        <w:ind w:left="45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Los Angeles and New York, February 27, 2026</w:t>
      </w:r>
      <w:r>
        <w:rPr>
          <w:rFonts w:ascii="Times New Roman;Times;Serif" w:hAnsi="Times New Roman;Times;Serif"/>
          <w:b w:val="false"/>
          <w:i w:val="false"/>
          <w:caps w:val="false"/>
          <w:smallCaps w:val="false"/>
          <w:sz w:val="20"/>
        </w:rPr>
        <w:t xml:space="preserve"> – Paramount Skydance Corporation (NASDAQ: PSKY) (“Paramount”) and Warner Bros. Discovery, Inc. (NASDAQ: WBD) (“WBD”) today announced they have entered into a definitive merger agreement under which Paramount will acquire WBD, forming a premier global media and entertainment company focused on expanding consumer choice and empowering creative talent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Paramount will pay $31.00 per share in cash for all outstanding shares of WBD. The transaction has been unanimously approved by the Boards of Directors of both companies and is expected to close in Q3 2026, subject to customary closing conditions, including regulatory clearances and approval by WBD shareholders, with a vote expected in the early spring of 2026. In the event the transaction has not closed by September 30, 2026, WBD shareholders will receive a $0.25 per share “ticking fee” for each quarter (measured daily) until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unlocks innovative and compelling storytelling opportunities across the combined company’s best-in-class film and television studios, streaming and linear platforms. Together, Paramount and WBD will deliver greater choice for consumers through its leading streaming platforms with an exceptional intellectual property portfolio that has produced popular franchises such as </w:t>
      </w:r>
      <w:r>
        <w:rPr>
          <w:rFonts w:ascii="Times New Roman;Times;Serif" w:hAnsi="Times New Roman;Times;Serif"/>
          <w:b w:val="false"/>
          <w:i/>
          <w:caps w:val="false"/>
          <w:smallCaps w:val="false"/>
          <w:sz w:val="20"/>
        </w:rPr>
        <w:t xml:space="preserve">Game of Thrones, Mission Impossible, Harry Potter, Top Gun, the DC Universe and SpongeBob SquarePants.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Ellison, Chairman and CEO of Paramount, a Skydance Corporation, said: “</w:t>
      </w:r>
      <w:r>
        <w:rPr>
          <w:rFonts w:ascii="Times New Roman;Times;Serif" w:hAnsi="Times New Roman;Times;Serif"/>
          <w:b w:val="false"/>
          <w:i/>
          <w:caps w:val="false"/>
          <w:smallCaps w:val="false"/>
          <w:sz w:val="20"/>
          <w:shd w:fill="FFFFFF" w:val="clear"/>
        </w:rPr>
        <w:t>From the very beginning, our pursuit of Warner Bros. Discovery has been guided by a clear purpose: to honor the legacy of two iconic companies while accelerating our vision of building a next-generation media and entertainment company. By bringing together these world-class studios, our complementary streaming platforms, and the extraordinary talent behind them, we will create even greater value for audiences, partners and shareholders — and we couldn’t be more excited for what’s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Zaslav, President and CEO of Warner Bros. Discovery said: "</w:t>
      </w:r>
      <w:r>
        <w:rPr>
          <w:rFonts w:ascii="Times New Roman;Times;Serif" w:hAnsi="Times New Roman;Times;Serif"/>
          <w:b w:val="false"/>
          <w:i/>
          <w:caps w:val="false"/>
          <w:smallCaps w:val="false"/>
          <w:sz w:val="20"/>
        </w:rPr>
        <w:t>I’m very pleased with the outcome we achieved for WBD shareholders and the entertainment industry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Our guiding principle throughout this process has been to secure a transaction that maximizes the value of our iconic assets and our century-old studio while delivering as much certainty as possible for our investors. We look forward to working with Paramount to complete this historic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Strategic and Financial Benefits of a Paramount-Warner Bros. Discovery Merger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Hollywood Champion:</w:t>
            </w:r>
            <w:r>
              <w:rPr/>
              <w:t xml:space="preserve"> We will invest in expanding the creative engines at the core of both WBD and Paramount. We will maintain both studios while prioritizing the attraction and retention of world-class creative talent, strengthening our ability to deliver a broad pipeline of high-quality content, including 15 theatrical feature films per year per studio, for our combined platforms and third-party distribution partners.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Establishes a Global Streaming Competitor:</w:t>
            </w:r>
            <w:r>
              <w:rPr/>
              <w:t xml:space="preserve"> By uniting the strengths of Paramount and WBD, we will create a premier direct-to-consumer platform with enhanced reach, engagement, and monetization capabilities – positioning the combined company to increase competition while accelerating subscriber growth, deepening engagement, and driving significant long-term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Pro-Competition: </w:t>
            </w:r>
            <w:r>
              <w:rPr/>
              <w:t>The combination of Paramount+, HBO Max and Pluto creates a highly competitive DTC business that expands both consumer choice and opportunities for creative talent and labor. The deal will deliver compelling value for both content suppliers and consumers – establishing another strong, credible competitor in today’s streaming marketplace.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4"/>
        <w:gridCol w:w="10018"/>
      </w:tblGrid>
      <w:tr>
        <w:trPr/>
        <w:tc>
          <w:tcPr>
            <w:tcW w:w="4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Symbol" w:hAnsi="Symbol"/>
              </w:rPr>
            </w:pPr>
            <w:r>
              <w:rPr>
                <w:rFonts w:ascii="Symbol" w:hAnsi="Symbol"/>
              </w:rPr>
              <w:t>·</w:t>
            </w:r>
          </w:p>
        </w:tc>
        <w:tc>
          <w:tcPr>
            <w:tcW w:w="10018" w:type="dxa"/>
            <w:tcBorders/>
            <w:vAlign w:val="center"/>
          </w:tcPr>
          <w:p>
            <w:pPr>
              <w:pStyle w:val="TableContents"/>
              <w:bidi w:val="0"/>
              <w:spacing w:before="0" w:after="283"/>
              <w:jc w:val="left"/>
              <w:rPr>
                <w:b/>
              </w:rPr>
            </w:pPr>
            <w:r>
              <w:rPr>
                <w:b/>
              </w:rPr>
              <w:t xml:space="preserve">Transaction Supports a Competitive Theatrical and Content Distribution Ecosystem: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Every film will receive a full theatrical release, with a minimum 45-day window globally before becoming available on paid video-on-demand (VOD), with the intention of 60-90 days or more to maximize the audience for our most successful releases.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Both studios will continue to support a vibrant third-party ecosystem by licensing their films and shows across their own and third-party platforms, while remaining active buyers of content from third-party studios and independent producers.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Following its theatrical run, each film will transition to the current industry standard home video window, preserving paid video-on-demand prior to availability on subscription streaming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8" w:type="dxa"/>
            <w:tcBorders/>
            <w:vAlign w:val="center"/>
          </w:tcPr>
          <w:p>
            <w:pPr>
              <w:pStyle w:val="TableContents"/>
              <w:bidi w:val="0"/>
              <w:spacing w:before="0" w:after="283"/>
              <w:jc w:val="left"/>
              <w:rPr/>
            </w:pPr>
            <w:r>
              <w:rPr/>
              <w:t>Paramount will continue to adhere to specific windowing regimes in geographies it operates in, including in France where Paramount maintains its windowing commitments.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A Compelling Portfolio of IP and Content: </w:t>
            </w:r>
            <w:r>
              <w:rPr/>
              <w:t xml:space="preserve">The combined company will own a film library of more than 15,000 titles and thousands of hours of television programming. It will be home to many of the world’s most iconic and enduring franchises, including </w:t>
            </w:r>
            <w:r>
              <w:rPr>
                <w:i/>
              </w:rPr>
              <w:t>Harry Potter</w:t>
            </w:r>
            <w:r>
              <w:rPr/>
              <w:t xml:space="preserve">, </w:t>
            </w:r>
            <w:r>
              <w:rPr>
                <w:i/>
              </w:rPr>
              <w:t>Mission Impossible</w:t>
            </w:r>
            <w:r>
              <w:rPr/>
              <w:t xml:space="preserve">, </w:t>
            </w:r>
            <w:r>
              <w:rPr>
                <w:i/>
              </w:rPr>
              <w:t xml:space="preserve">Lord of the Rings, Game of Thrones, </w:t>
            </w:r>
            <w:r>
              <w:rPr/>
              <w:t xml:space="preserve">the </w:t>
            </w:r>
            <w:r>
              <w:rPr>
                <w:i/>
              </w:rPr>
              <w:t>DC Universe, Teenage Mutant Ninja Turtles</w:t>
            </w:r>
            <w:r>
              <w:rPr/>
              <w:t xml:space="preserve">, </w:t>
            </w:r>
            <w:r>
              <w:rPr>
                <w:i/>
              </w:rPr>
              <w:t>Transformers, Star Trek</w:t>
            </w:r>
            <w:r>
              <w:rPr/>
              <w:t xml:space="preserve"> and </w:t>
            </w:r>
            <w:r>
              <w:rPr>
                <w:i/>
              </w:rPr>
              <w:t>SpongeBob SquarePants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Broad Sports Rights Portfolio:</w:t>
            </w:r>
            <w:r>
              <w:rPr/>
              <w:t xml:space="preserve"> The merged company will hold one of the industry’s most compelling and competitive portfolios of sports rights, including: the NFL, Olympics, UFC, PGA Tour, NHL, Big Ten and Big 12 Football, NCAA College Basketball, and Champions League, with the ability to distribute these rights collectively across all of our platforms, thereby giving sports fans easier access to more of the content they want in one place.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Stronger Linear Networks: </w:t>
            </w:r>
            <w:r>
              <w:rPr/>
              <w:t>A complementary portfolio of cable networks spanning entertainment, sports and news will significantly improve cash flow, unlock efficiencies, and strengthen our ability to manage linear market pressures. It also creates a more compelling, unified platform for advertisers through integrated cross-channel sales and activation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Diverse International Portfolio: </w:t>
            </w:r>
            <w:r>
              <w:rPr/>
              <w:t>A presence in over 200 countries and territories, including cable and free-to-air networks, that will provide more opportunities for world class storytelling – including local production – to be seen globally and allow us to continue to serve local audiences around the world with the best stories across TV, film, sports, and news.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Technology to Create Stronger Infrastructure Backbone and Improved User Interface:</w:t>
            </w:r>
            <w:r>
              <w:rPr/>
              <w:t xml:space="preserve"> By streamlining the technological underpinning of every aspect of the combined company’s businesses, we will improve the user experience, generate financial and operating efficiencies and eliminate redundancies.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Well-Positioned to Invest in Growth: </w:t>
            </w:r>
            <w:r>
              <w:rPr/>
              <w:t xml:space="preserve">The pro forma balance sheet and cash flow will enable continued investment in growth initiatives, as demonstrated by the marquee deals announced by Paramount since the close of the Skydance merger, including: Trey Parker and Matt Stone of </w:t>
            </w:r>
            <w:r>
              <w:rPr>
                <w:i/>
              </w:rPr>
              <w:t>South Park</w:t>
            </w:r>
            <w:r>
              <w:rPr/>
              <w:t>, the UFC, the Duffer Brothers and Activision, among others. The combined company’s resources and backing of Paramount’s committed investors will support increased investment in content generation, reinvigorating the media industry and enhancing competition to the benefit of talent and labor.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 Highlights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will acquire 100% of WBD for $31 per share in cash, plus the “ticking fee”, valuing WBD at $81 billion in equity value and $110 billion in enterprise value. </w:t>
      </w:r>
      <w:r>
        <w:rPr>
          <w:rFonts w:ascii="Times New Roman;Times;Serif" w:hAnsi="Times New Roman;Times;Serif"/>
          <w:b w:val="false"/>
          <w:i w:val="false"/>
          <w:caps w:val="false"/>
          <w:smallCaps w:val="false"/>
          <w:sz w:val="20"/>
          <w:shd w:fill="FFFFFF" w:val="clear"/>
        </w:rPr>
        <w:t>Paramount expects that the acquisition will expected to yield over $6 billion in </w:t>
      </w:r>
      <w:r>
        <w:rPr>
          <w:rFonts w:ascii="Times New Roman;Times;Serif" w:hAnsi="Times New Roman;Times;Serif"/>
          <w:b w:val="false"/>
          <w:i w:val="false"/>
          <w:caps w:val="false"/>
          <w:smallCaps w:val="false"/>
          <w:sz w:val="20"/>
        </w:rPr>
        <w:t>synergies, which are driven by a combination of: technology integration (such as migrating the combined company to a single enterprise resource planning system and consolidating streaming technology stacks), corporate-wide efficiencies, including procurement savings, optimizing the combined real estate footprint, and otherwise streamlining operational efficiencies.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fully synergized basis, this values WBD at 7.5x 2026 EBITDA. At closing, we expect to have a net debt-to-EBITDA of 4.3x on a synergized basis, with a clear path to investment grade credit metrics within three years of closing.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funded by $47 billion in equity, fully backed by the Ellison Family and RedBird Capital Partners. At closing, the equity may include other strategic and financial partners. Under the terms of the equity commitments, new shares of Class B Paramount stock will be issued at a price of $16.02 per share. </w:t>
      </w:r>
      <w:r>
        <w:rPr>
          <w:rFonts w:ascii="Times New Roman;Times;Serif" w:hAnsi="Times New Roman;Times;Serif"/>
          <w:b w:val="false"/>
          <w:i w:val="false"/>
          <w:caps w:val="false"/>
          <w:smallCaps w:val="false"/>
          <w:color w:val="212121"/>
          <w:sz w:val="20"/>
        </w:rPr>
        <w:t>The terms of this equity investment were decided by a Special Committee of the Board of Directors of Paramount comprised of independent directors with independent legal and financial advisors.</w:t>
      </w:r>
      <w:r>
        <w:rPr>
          <w:rFonts w:ascii="Times New Roman;Times;Serif" w:hAnsi="Times New Roman;Times;Serif"/>
          <w:b w:val="false"/>
          <w:i w:val="false"/>
          <w:caps w:val="false"/>
          <w:smallCaps w:val="false"/>
          <w:sz w:val="20"/>
        </w:rPr>
        <w:t> In addition to the new cash equity investment, the transaction is backed by $54 billion of debt commitments from Bank of America, Citigroup, and Apollo, which includes $15 billion to backstop WBD’s existing bridge facility and $39 billion of incremental new debt. The $54 billion excludes $3.5 billion of bridge financing from these institutions to backstop our existing $3.5 billion revolving credit facility.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existing Paramount stockholders will have the opportunity to participate in a rights offering of up to $3.25 billion of Class B Paramount stock alongside the new equity investment, which is expected to occur nearer the closing date, at a price of $16.02 per share.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 between Paramount and WBD is not subject to any financing conditions.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merger agreement, Paramount has terminated its all-cash tender offer to acquire all outstanding shares of WBD.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Centerview Partners LLC and RedBird Advisors are acting as lead financial advisors to Paramount, and Bank of America Securities, Citi, M. Klein &amp; Company and LionTree Advisors are also acting as financial advisors. Cravath, Swaine &amp; Moore LLP and Latham &amp; Watkins LLP are acting as legal counsel to Paramount. Latham &amp; Watkins LLP is also acting as legal counsel to the investor consortium, including the Ellison Family.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&amp; Company, J.P. Morgan and Evercore are serving as financial advisors to WBD and Wachtell Lipton, Rosen &amp; Katz and Debevoise &amp; Plimpton LLP are serving as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are acting as financial advisors to the Special Committee of the Board of Directors of Paramount and Cleary, Gottlieb, Steen &amp; Hamilton LLP are serving as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will conduct a conference call and webcast on Monday, March 2 at 8:30am ET to discuss its merger agreement with WBD. The webcast link and dial-in information will be made available on Paramount’s Investor Relations homepage at ir.paramount.com prior to the call. An audio replay of the call will be available in the Events and Webcasts section of Paramount's Investors homepage.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Paramount, a Skydance Corporation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Paramount, a Skydance Corporation is a leading, next-generation global media and entertainment company, comprised of three business segments: Studios, Direct-to-Consumer, and TV Media. Paramount’s portfolio unites legendary brands, including Paramount Pictures, Paramount Television, CBS – America’s most-watched broadcast network, CBS News, CBS Sports, Nickelodeon, MTV, BET, Comedy Central, Showtime, Paramount+, Paramount TV, and Skydance’s Animation, Film, Television, Interactive/Games, and Sports divisions. For more information, visit </w:t>
      </w:r>
      <w:r>
        <w:rPr>
          <w:rFonts w:ascii="Times New Roman;Times;Serif" w:hAnsi="Times New Roman;Times;Serif"/>
          <w:b w:val="false"/>
          <w:i w:val="false"/>
          <w:caps w:val="false"/>
          <w:smallCaps w:val="false"/>
          <w:color w:val="0000FF"/>
          <w:sz w:val="20"/>
          <w:u w:val="single"/>
        </w:rPr>
        <w:t>paramount.com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Warner Bros. Discovery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Warner Bros. Discovery is a leading global media and entertainment company that creates and distributes the world's most differentiated and complete portfolio of branded content across television, film, streaming and gaming. Warner Bros. Discovery inspires, informs and entertains audiences worldwide through its iconic brands and products including: Discovery Channel, HBO Max, discovery+, CNN, DC, TNT Sports, Eurosport, HBO, HGTV, Food Network, OWN, Investigation Discovery, TLC, Magnolia Network, TNT, TBS, truTV, Travel Channel, Animal Planet, Science Channel, Warner Bros. Motion Picture Group, Warner Bros. Television Group, Warner Bros. Pictures Animation, Warner Bros. Games, New Line Cinema, Cartoon Network, Adult Swim, Turner Classic Movies, Discovery en Español, Hogar de HGTV and others. For more information, please visit </w:t>
      </w:r>
      <w:r>
        <w:rPr>
          <w:rFonts w:ascii="Times New Roman;Times;Serif" w:hAnsi="Times New Roman;Times;Serif"/>
          <w:b w:val="false"/>
          <w:i w:val="false"/>
          <w:caps w:val="false"/>
          <w:smallCaps w:val="false"/>
          <w:color w:val="0000FF"/>
          <w:sz w:val="20"/>
          <w:u w:val="single"/>
        </w:rPr>
        <w:t>www.wbd.com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be deemed to be solicitation material in respect of the proposed acquisition of Warner Bros. Discovery, Inc. (“</w:t>
      </w:r>
      <w:r>
        <w:rPr>
          <w:rFonts w:ascii="Times New Roman;Times;Serif" w:hAnsi="Times New Roman;Times;Serif"/>
          <w:b w:val="false"/>
          <w:i w:val="false"/>
          <w:caps w:val="false"/>
          <w:smallCaps w:val="false"/>
          <w:sz w:val="20"/>
          <w:u w:val="single"/>
        </w:rPr>
        <w:t>WBD</w:t>
      </w:r>
      <w:r>
        <w:rPr>
          <w:rFonts w:ascii="Times New Roman;Times;Serif" w:hAnsi="Times New Roman;Times;Serif"/>
          <w:b w:val="false"/>
          <w:i w:val="false"/>
          <w:caps w:val="false"/>
          <w:smallCaps w:val="false"/>
          <w:sz w:val="20"/>
        </w:rPr>
        <w:t>”) by Paramount Skydance Corporation (“</w:t>
      </w:r>
      <w:r>
        <w:rPr>
          <w:rFonts w:ascii="Times New Roman;Times;Serif" w:hAnsi="Times New Roman;Times;Serif"/>
          <w:b w:val="false"/>
          <w:i w:val="false"/>
          <w:caps w:val="false"/>
          <w:smallCaps w:val="false"/>
          <w:sz w:val="20"/>
          <w:u w:val="single"/>
        </w:rPr>
        <w:t>Paramount</w:t>
      </w:r>
      <w:r>
        <w:rPr>
          <w:rFonts w:ascii="Times New Roman;Times;Serif" w:hAnsi="Times New Roman;Times;Serif"/>
          <w:b w:val="false"/>
          <w:i w:val="false"/>
          <w:caps w:val="false"/>
          <w:smallCaps w:val="false"/>
          <w:sz w:val="20"/>
        </w:rPr>
        <w:t>”). In connection with the proposed transaction, WBD intends to file relevant materials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including WBD’s proxy statement in preliminary and definitive form. INVESTORS AND STOCKHOLDERS OF WBD ARE URGED TO READ ALL RELEVANT DOCUMENTS FILED WITH THE SEC, INCLUDING WBD’S PROXY STATEMENT (WHEN IT IS AVAILABLE), BECAUSE THEY CONTAIN OR WILL CONTAIN IMPORTANT INFORMATION ABOUT THE PROPOSED TRANSACTION AND THE PARTIES TO THE PROPOSED TRANSACTION. Investors and stockholders of WBD are or will be able to obtain these documents (when they are available) free of charge from the SEC’s website at www.sec.gov, or free of charge from WBD under the “SEC Filings” section of WBD’s website at https://ir.wbd.com.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Paramount and WBD and certain of their respective directors and executive officers, under SEC rules, may be deemed to be “participants” in the solicitation of proxies from security holders of WBD in connection with the proposed transaction. Information about the directors and executive officers of Paramount is set forth in its Current Reports on Form 8-K filed with the SEC on August 7, 2025, September 16, 2025 and January 14, 2026 and in its Annual Report on Form 10-K filed with the SEC on February 25, 2026. Information about WBD’s directors and executive officers is available in its Annual Report on Form 10-K for the year ended December 31, 2024, under the heading “Executive Officers of Warner Bros. Discovery, Inc.,” and its definitive proxy statement filed with the SEC on April 23, 2025, under the heading “Proposal 1: Election of Directors.” To the extent holdings of WBD’s securities by its directors or executive officers has changed since the amounts set forth in such 2025 proxy statement, such changes have been or will be reflected on Initial Statements of Beneficial Ownership of Securities on Form 3 or Statements of Changes of Beneficial Ownership of Securities on Form 4 filed with the SEC. Investors and stockholders of Paramount or WBD are or will be able to obtain these documents free of charge from the SEC’s website at www.sec.gov, from Paramount on Paramount’s website at https://ir.paramount.com/sec-filings/paramount, from WBD on WBD’s website at https://ir.wbd.com or on request from Paramount or WBD, as applicable. Additional information concerning the interests of WBD’s participants in the solicitation, which may, in some cases, be different than those of WBD’s stockholders generally, will be set forth in WBD’s proxy statement relating to the proposed transaction when it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regarding the potential acquisition of WBD.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Paramount or WBD. Risks and uncertainties include, but are not limited to: the risk that the closing conditions for the acquisition will not be satisfied, including the risk that clearances under the Hart-Scott-Rodino Antitrust Improvements Act or other applicable antitrust laws will not be obtained; uncertainty as to the percentage of WBD stockholders that will vote to approve the proposed transaction at the applicable WBD stockholder meeting; the possibility that the transaction will not be completed in the expected timeframe or at all; potential adverse effects to the businesses of Paramount or WBD during the pendency of the transaction, such as employee departures or distraction of management from business operations; the risk of stockholder litigation relating to the transaction, including resulting expense or delay; the potential that the expected benefits and opportunities of the acquisition, if completed, may not be realized or may take longer to realize than expected;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Paramount’s decisions to invest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Paramount’s intellectual property rights; domestic and global political, economic and regulatory factors affecting Paramount’s businesses generally; the inability to hire or retain key employees or secure creative talent; disruptions to Paramount’s operations as a result of labor disputes; risks and costs associated with the integration of, and Paramount’s ability to integrate, the businesses of Paramount Global and Skydance Media, LLC successfully and to achieve anticipated synergies; litigation relating to the transactions contemplated by the transaction agreement entered into on July 7, 2024, between Paramount Global and Skydance Media, LLC, potentially resulting in substantial costs; volatility in the price of Paramount’s Class B common stock; the effect Paramount’s dual-class capital structure and the concentrated ownership may have on the price of its Class B common stock or business; risks related to a private sale of a controlling interest in Paramount, including that Paramount’s stockholders may not realize any change of control premium on shares of Paramount’s Class B common stock and that Paramount may become subject to the control of a presently unknown third party; risks associated with Paramount’s status as a “controlled company” under Nasdaq rules, including its exemption from certain corporate governance requirements; risks associated with the lack of voting rights of Paramount’s Class B common stock; risks that anti-takeover provisions in Paramount’s amended and restated certificate of incorporation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and amended and restated bylaws, and under Delaware law, could deter, delay, or prevent a change of control; risks that exclusive forum provisions in Paramount’s Charter could limit a stockholder’s choice of forum for certain claims and discourage lawsuits against Paramount’s directors and officers; risks that corporate opportunity provisions in Paramount’s Charter could permit certain persons to pursue competitive opportunities that might otherwise be available to Paramount; and risks associated with Paramount’s holding company structure, including its dependence on distributions from its subsidiaries to meet tax obligations and other cash requirements;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including in the sections captioned “Cautionary Note Concerning Forward-Looking Statements” and “Item 1A. Risk Factors,” and Paramount’s subsequent filings with the SEC, and WBD’s Annual Report on Form 10-K for the fiscal year ended December 31, 2024, filed with the SEC on February 27, 2025, including in the section captioned “Item 1A. Risk Factors” and in WBD’s most recently filed Quarterly Report on Form 10-Q and WBD’s subsequent filings with the SEC. Copies of these filings, as well as subsequent filings, are available online at www.sec.gov, https://ir.paramount.com/sec-filings/paramount, https://ir.wbd.com or on request from Paramount or WBD. Neither Paramount nor WBD undertakes to update any forward-looking statement as a result of new information or future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Paramount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Contacts: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Melissa Zukerman / Laura Watson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msz@paramount.com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color w:val="0000FF"/>
          <w:sz w:val="20"/>
          <w:u w:val="single"/>
        </w:rPr>
        <w:t>laura.watson@paramount.com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Brunswick Group</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ParamountSkydance@brunswickgroup.com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Gagnier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 Gagnier</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dg@gagnierfc.com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Creighton / Logan Thomas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rPr>
        <w:t>kevin.creighton@paramount.com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color w:val="0000FF"/>
          <w:sz w:val="20"/>
          <w:u w:val="single"/>
        </w:rPr>
        <w:t>logan.thomas@paramount.com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Warner Bros. Discovery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Gibbs</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Robert.gibbs@wbd.com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Lee</w:t>
      </w:r>
    </w:p>
    <w:p>
      <w:pPr>
        <w:pStyle w:val="TextBody"/>
        <w:bidi w:val="0"/>
        <w:spacing w:before="0" w:after="0"/>
        <w:ind w:left="0" w:right="0" w:hanging="0"/>
        <w:jc w:val="left"/>
        <w:rPr>
          <w:rFonts w:ascii="Times New Roman;Times;Serif" w:hAnsi="Times New Roman;Times;Serif"/>
          <w:b w:val="false"/>
          <w:i w:val="false"/>
          <w:caps w:val="false"/>
          <w:smallCaps w:val="false"/>
          <w:color w:val="0000FF"/>
          <w:sz w:val="20"/>
          <w:u w:val="single"/>
        </w:rPr>
      </w:pPr>
      <w:r>
        <w:rPr>
          <w:rFonts w:ascii="Times New Roman;Times;Serif" w:hAnsi="Times New Roman;Times;Serif"/>
          <w:b w:val="false"/>
          <w:i w:val="false"/>
          <w:caps w:val="false"/>
          <w:smallCaps w:val="false"/>
          <w:color w:val="0000FF"/>
          <w:sz w:val="20"/>
          <w:u w:val="single"/>
        </w:rPr>
        <w:t>Peter.lee@wbd.com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4226</Words>
  <Characters>24253</Characters>
  <CharactersWithSpaces>28496</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