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331-1_s3asr.htm"/>
        <w:bookmarkStart w:id="1" w:name="kstm2621331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July 31,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28" w:after="283"/>
        <w:ind w:left="940" w:right="0" w:hanging="0"/>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7"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9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20" w:before="1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before="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7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10" w:after="283"/>
        <w:jc w:val="center"/>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val="false"/>
          <w:i w:val="false"/>
          <w:caps w:val="false"/>
          <w:smallCaps w:val="false"/>
          <w:color w:val="000000"/>
          <w:spacing w:val="4"/>
          <w:sz w:val="19"/>
        </w:rPr>
        <w:t xml:space="preserve"> </w:t>
      </w:r>
      <w:r>
        <w:rPr>
          <w:rFonts w:ascii="Times New Roman;Times;serif" w:hAnsi="Times New Roman;Times;serif"/>
          <w:b w:val="false"/>
          <w:i w:val="false"/>
          <w:caps w:val="false"/>
          <w:smallCaps w:val="false"/>
          <w:color w:val="000000"/>
          <w:sz w:val="19"/>
        </w:rPr>
        <w:br/>
      </w:r>
      <w:r>
        <w:rPr>
          <w:rFonts w:ascii="Times New Roman;Times;serif" w:hAnsi="Times New Roman;Times;serif"/>
          <w:b/>
          <w:i/>
          <w:caps w:val="false"/>
          <w:smallCaps w:val="false"/>
          <w:color w:val="000000"/>
          <w:spacing w:val="-4"/>
          <w:sz w:val="19"/>
        </w:rPr>
        <w:t>UNDER</w:t>
      </w:r>
      <w:r>
        <w:rPr>
          <w:rFonts w:ascii="Times New Roman;Times;serif" w:hAnsi="Times New Roman;Times;serif"/>
          <w:b w:val="false"/>
          <w:i w:val="false"/>
          <w:caps w:val="false"/>
          <w:smallCaps w:val="false"/>
          <w:color w:val="000000"/>
          <w:sz w:val="19"/>
        </w:rPr>
        <w:t xml:space="preserve"> </w:t>
        <w:br/>
      </w:r>
      <w:r>
        <w:rPr>
          <w:rFonts w:ascii="Times New Roman;Times;serif" w:hAnsi="Times New Roman;Times;serif"/>
          <w:b/>
          <w:i/>
          <w:caps w:val="false"/>
          <w:smallCaps w:val="false"/>
          <w:color w:val="000000"/>
          <w:spacing w:val="-4"/>
          <w:sz w:val="19"/>
        </w:rPr>
        <w:t>THE SECURITIES ACT OF 1933</w:t>
      </w:r>
      <w:r>
        <w:rPr>
          <w:rFonts w:ascii="Times New Roman;Times;serif" w:hAnsi="Times New Roman;Times;serif"/>
          <w:b w:val="false"/>
          <w:i w:val="false"/>
          <w:caps w:val="false"/>
          <w:smallCaps w:val="false"/>
          <w:color w:val="000000"/>
          <w:spacing w:val="4"/>
          <w:sz w:val="19"/>
        </w:rPr>
        <w:t xml:space="preserve"> </w:t>
      </w:r>
    </w:p>
    <w:p>
      <w:pPr>
        <w:pStyle w:val="TextBody"/>
        <w:bidi w:val="0"/>
        <w:spacing w:before="9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386" w:type="dxa"/>
        <w:jc w:val="left"/>
        <w:tblInd w:w="540" w:type="dxa"/>
        <w:tblLayout w:type="fixed"/>
        <w:tblCellMar>
          <w:top w:w="0" w:type="dxa"/>
          <w:left w:w="0" w:type="dxa"/>
          <w:bottom w:w="0" w:type="dxa"/>
          <w:right w:w="0" w:type="dxa"/>
        </w:tblCellMar>
      </w:tblPr>
      <w:tblGrid>
        <w:gridCol w:w="124"/>
        <w:gridCol w:w="3556"/>
        <w:gridCol w:w="109"/>
        <w:gridCol w:w="109"/>
        <w:gridCol w:w="3334"/>
        <w:gridCol w:w="154"/>
      </w:tblGrid>
      <w:tr>
        <w:trPr/>
        <w:tc>
          <w:tcPr>
            <w:tcW w:w="124" w:type="dxa"/>
            <w:tcBorders/>
            <w:vAlign w:val="center"/>
          </w:tcPr>
          <w:p>
            <w:pPr>
              <w:pStyle w:val="TableContents"/>
              <w:bidi w:val="0"/>
              <w:spacing w:before="0" w:after="283"/>
              <w:jc w:val="left"/>
              <w:rPr/>
            </w:pPr>
            <w:r>
              <w:rPr/>
              <w:t>​</w:t>
            </w:r>
          </w:p>
        </w:tc>
        <w:tc>
          <w:tcPr>
            <w:tcW w:w="3556" w:type="dxa"/>
            <w:tcBorders/>
            <w:vAlign w:val="center"/>
          </w:tcPr>
          <w:p>
            <w:pPr>
              <w:pStyle w:val="TableContents"/>
              <w:bidi w:val="0"/>
              <w:spacing w:lineRule="atLeast" w:line="220" w:before="0" w:after="0"/>
              <w:jc w:val="center"/>
              <w:rPr/>
            </w:pPr>
            <w:r>
              <w:rPr>
                <w:b/>
                <w:spacing w:val="-6"/>
              </w:rPr>
              <w:t>Paramount Skydance Corporation</w:t>
            </w:r>
            <w:r>
              <w:rPr/>
              <w:t xml:space="preserve"> </w:t>
              <w:br/>
            </w:r>
            <w:r>
              <w:rPr>
                <w:spacing w:val="3"/>
                <w:sz w:val="15"/>
              </w:rPr>
              <w:t>(Exact name of registrant as specified in its charter)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34" w:type="dxa"/>
            <w:tcBorders/>
            <w:vAlign w:val="center"/>
          </w:tcPr>
          <w:p>
            <w:pPr>
              <w:pStyle w:val="TableContents"/>
              <w:bidi w:val="0"/>
              <w:spacing w:before="0" w:after="0"/>
              <w:jc w:val="center"/>
              <w:rPr>
                <w:b/>
              </w:rPr>
            </w:pPr>
            <w:r>
              <w:rPr>
                <w:b/>
                <w:spacing w:val="-6"/>
              </w:rPr>
              <w:t>Paramount Global</w:t>
            </w:r>
            <w:r>
              <w:rPr>
                <w:b/>
              </w:rPr>
              <w:t xml:space="preserve"> </w:t>
            </w:r>
          </w:p>
          <w:p>
            <w:pPr>
              <w:pStyle w:val="TableContents"/>
              <w:bidi w:val="0"/>
              <w:spacing w:lineRule="atLeast" w:line="206" w:before="0" w:after="283"/>
              <w:jc w:val="center"/>
              <w:rPr>
                <w:sz w:val="15"/>
              </w:rPr>
            </w:pPr>
            <w:r>
              <w:rPr>
                <w:spacing w:val="3"/>
                <w:sz w:val="15"/>
              </w:rPr>
              <w:t>(Exact name of registrant as specified in its charter)</w:t>
            </w:r>
            <w:r>
              <w:rPr>
                <w:sz w:val="15"/>
              </w:rPr>
              <w:t xml:space="preserve"> </w:t>
            </w:r>
          </w:p>
        </w:tc>
        <w:tc>
          <w:tcPr>
            <w:tcW w:w="154" w:type="dxa"/>
            <w:tcBorders/>
            <w:vAlign w:val="center"/>
          </w:tcPr>
          <w:p>
            <w:pPr>
              <w:pStyle w:val="TableContents"/>
              <w:bidi w:val="0"/>
              <w:spacing w:before="0" w:after="283"/>
              <w:jc w:val="left"/>
              <w:rPr/>
            </w:pPr>
            <w:r>
              <w:rPr/>
              <w:t>​</w:t>
            </w:r>
          </w:p>
        </w:tc>
      </w:tr>
    </w:tbl>
    <w:tbl>
      <w:tblPr>
        <w:tblW w:w="8259" w:type="dxa"/>
        <w:jc w:val="left"/>
        <w:tblInd w:w="540" w:type="dxa"/>
        <w:tblLayout w:type="fixed"/>
        <w:tblCellMar>
          <w:top w:w="0" w:type="dxa"/>
          <w:left w:w="0" w:type="dxa"/>
          <w:bottom w:w="0" w:type="dxa"/>
          <w:right w:w="0" w:type="dxa"/>
        </w:tblCellMar>
      </w:tblPr>
      <w:tblGrid>
        <w:gridCol w:w="124"/>
        <w:gridCol w:w="3889"/>
        <w:gridCol w:w="109"/>
        <w:gridCol w:w="109"/>
        <w:gridCol w:w="3874"/>
        <w:gridCol w:w="154"/>
      </w:tblGrid>
      <w:tr>
        <w:trPr/>
        <w:tc>
          <w:tcPr>
            <w:tcW w:w="124" w:type="dxa"/>
            <w:tcBorders/>
            <w:vAlign w:val="center"/>
          </w:tcPr>
          <w:p>
            <w:pPr>
              <w:pStyle w:val="TableContents"/>
              <w:bidi w:val="0"/>
              <w:spacing w:before="0" w:after="283"/>
              <w:jc w:val="left"/>
              <w:rPr/>
            </w:pPr>
            <w:r>
              <w:rPr/>
              <w:t>​</w:t>
            </w:r>
          </w:p>
        </w:tc>
        <w:tc>
          <w:tcPr>
            <w:tcW w:w="3889" w:type="dxa"/>
            <w:tcBorders/>
            <w:vAlign w:val="center"/>
          </w:tcPr>
          <w:p>
            <w:pPr>
              <w:pStyle w:val="TableContents"/>
              <w:bidi w:val="0"/>
              <w:spacing w:lineRule="atLeast" w:line="155" w:before="0" w:after="0"/>
              <w:jc w:val="center"/>
              <w:rPr/>
            </w:pPr>
            <w:r>
              <w:rPr>
                <w:b/>
                <w:spacing w:val="-4"/>
              </w:rPr>
              <w:t>Delaware</w:t>
            </w:r>
            <w:r>
              <w:rPr/>
              <w:t xml:space="preserve"> </w:t>
              <w:br/>
            </w:r>
            <w:r>
              <w:rPr>
                <w:spacing w:val="3"/>
                <w:sz w:val="15"/>
              </w:rPr>
              <w:t>(State or other jurisdiction of 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4" w:type="dxa"/>
            <w:tcBorders/>
            <w:vAlign w:val="center"/>
          </w:tcPr>
          <w:p>
            <w:pPr>
              <w:pStyle w:val="TableContents"/>
              <w:bidi w:val="0"/>
              <w:spacing w:before="0" w:after="0"/>
              <w:jc w:val="center"/>
              <w:rPr>
                <w:b/>
              </w:rPr>
            </w:pPr>
            <w:r>
              <w:rPr>
                <w:b/>
                <w:spacing w:val="-4"/>
              </w:rPr>
              <w:t>Delaware</w:t>
            </w:r>
            <w:r>
              <w:rPr>
                <w:b/>
              </w:rPr>
              <w:t xml:space="preserve"> </w:t>
            </w:r>
          </w:p>
          <w:p>
            <w:pPr>
              <w:pStyle w:val="TableContents"/>
              <w:bidi w:val="0"/>
              <w:spacing w:lineRule="atLeast" w:line="188" w:before="0" w:after="283"/>
              <w:jc w:val="center"/>
              <w:rPr>
                <w:sz w:val="15"/>
              </w:rPr>
            </w:pPr>
            <w:r>
              <w:rPr>
                <w:spacing w:val="3"/>
                <w:sz w:val="15"/>
              </w:rPr>
              <w:t>(State or other jurisdiction of incorporation or organization)</w:t>
            </w:r>
            <w:r>
              <w:rPr>
                <w:sz w:val="15"/>
              </w:rPr>
              <w:t xml:space="preserve"> </w:t>
            </w:r>
          </w:p>
        </w:tc>
        <w:tc>
          <w:tcPr>
            <w:tcW w:w="154" w:type="dxa"/>
            <w:tcBorders/>
            <w:vAlign w:val="center"/>
          </w:tcPr>
          <w:p>
            <w:pPr>
              <w:pStyle w:val="TableContents"/>
              <w:bidi w:val="0"/>
              <w:spacing w:before="0" w:after="283"/>
              <w:jc w:val="left"/>
              <w:rPr/>
            </w:pPr>
            <w:r>
              <w:rPr/>
              <w:t>​</w:t>
            </w:r>
          </w:p>
        </w:tc>
      </w:tr>
    </w:tbl>
    <w:tbl>
      <w:tblPr>
        <w:tblW w:w="6474" w:type="dxa"/>
        <w:jc w:val="left"/>
        <w:tblInd w:w="540" w:type="dxa"/>
        <w:tblLayout w:type="fixed"/>
        <w:tblCellMar>
          <w:top w:w="0" w:type="dxa"/>
          <w:left w:w="0" w:type="dxa"/>
          <w:bottom w:w="0" w:type="dxa"/>
          <w:right w:w="0" w:type="dxa"/>
        </w:tblCellMar>
      </w:tblPr>
      <w:tblGrid>
        <w:gridCol w:w="124"/>
        <w:gridCol w:w="2989"/>
        <w:gridCol w:w="109"/>
        <w:gridCol w:w="109"/>
        <w:gridCol w:w="2989"/>
        <w:gridCol w:w="154"/>
      </w:tblGrid>
      <w:tr>
        <w:trPr/>
        <w:tc>
          <w:tcPr>
            <w:tcW w:w="124"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9"/>
              </w:rPr>
            </w:pPr>
            <w:r>
              <w:rPr>
                <w:b/>
                <w:spacing w:val="-4"/>
                <w:sz w:val="19"/>
              </w:rPr>
              <w:t>4833</w:t>
            </w:r>
            <w:r>
              <w:rPr>
                <w:b/>
                <w:sz w:val="19"/>
              </w:rPr>
              <w:t xml:space="preserve"> </w:t>
            </w:r>
          </w:p>
          <w:p>
            <w:pPr>
              <w:pStyle w:val="TableContents"/>
              <w:bidi w:val="0"/>
              <w:spacing w:lineRule="atLeast" w:line="170" w:before="0"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9"/>
              </w:rPr>
            </w:pPr>
            <w:r>
              <w:rPr>
                <w:b/>
                <w:spacing w:val="-4"/>
                <w:sz w:val="19"/>
              </w:rPr>
              <w:t>4833</w:t>
            </w:r>
            <w:r>
              <w:rPr>
                <w:b/>
                <w:sz w:val="19"/>
              </w:rPr>
              <w:t xml:space="preserve"> </w:t>
            </w:r>
          </w:p>
          <w:p>
            <w:pPr>
              <w:pStyle w:val="TableContents"/>
              <w:bidi w:val="0"/>
              <w:spacing w:lineRule="atLeast" w:line="170" w:before="0" w:after="283"/>
              <w:jc w:val="center"/>
              <w:rPr/>
            </w:pPr>
            <w:r>
              <w:rPr>
                <w:spacing w:val="3"/>
              </w:rPr>
              <w:t>(Primary Standard Industrial</w:t>
            </w:r>
            <w:r>
              <w:rPr/>
              <w:t xml:space="preserve"> </w:t>
              <w:br/>
            </w:r>
            <w:r>
              <w:rPr>
                <w:spacing w:val="3"/>
              </w:rPr>
              <w:t>Classification Code Number)</w:t>
            </w:r>
            <w:r>
              <w:rPr/>
              <w:t xml:space="preserve"> </w:t>
            </w:r>
          </w:p>
        </w:tc>
        <w:tc>
          <w:tcPr>
            <w:tcW w:w="154" w:type="dxa"/>
            <w:tcBorders/>
            <w:vAlign w:val="center"/>
          </w:tcPr>
          <w:p>
            <w:pPr>
              <w:pStyle w:val="TableContents"/>
              <w:bidi w:val="0"/>
              <w:spacing w:before="0" w:after="283"/>
              <w:jc w:val="left"/>
              <w:rPr/>
            </w:pPr>
            <w:r>
              <w:rPr/>
              <w:t>​</w:t>
            </w:r>
          </w:p>
        </w:tc>
      </w:tr>
    </w:tbl>
    <w:tbl>
      <w:tblPr>
        <w:tblW w:w="5391" w:type="dxa"/>
        <w:jc w:val="left"/>
        <w:tblInd w:w="540" w:type="dxa"/>
        <w:tblLayout w:type="fixed"/>
        <w:tblCellMar>
          <w:top w:w="0" w:type="dxa"/>
          <w:left w:w="0" w:type="dxa"/>
          <w:bottom w:w="0" w:type="dxa"/>
          <w:right w:w="0" w:type="dxa"/>
        </w:tblCellMar>
      </w:tblPr>
      <w:tblGrid>
        <w:gridCol w:w="124"/>
        <w:gridCol w:w="2455"/>
        <w:gridCol w:w="109"/>
        <w:gridCol w:w="109"/>
        <w:gridCol w:w="2440"/>
        <w:gridCol w:w="154"/>
      </w:tblGrid>
      <w:tr>
        <w:trPr/>
        <w:tc>
          <w:tcPr>
            <w:tcW w:w="124" w:type="dxa"/>
            <w:tcBorders/>
            <w:vAlign w:val="center"/>
          </w:tcPr>
          <w:p>
            <w:pPr>
              <w:pStyle w:val="TableContents"/>
              <w:bidi w:val="0"/>
              <w:spacing w:before="0" w:after="283"/>
              <w:jc w:val="left"/>
              <w:rPr/>
            </w:pPr>
            <w:r>
              <w:rPr/>
              <w:t>​</w:t>
            </w:r>
          </w:p>
        </w:tc>
        <w:tc>
          <w:tcPr>
            <w:tcW w:w="2455" w:type="dxa"/>
            <w:tcBorders/>
            <w:vAlign w:val="center"/>
          </w:tcPr>
          <w:p>
            <w:pPr>
              <w:pStyle w:val="TableContents"/>
              <w:bidi w:val="0"/>
              <w:spacing w:lineRule="atLeast" w:line="155" w:before="0" w:after="0"/>
              <w:jc w:val="center"/>
              <w:rPr/>
            </w:pPr>
            <w:r>
              <w:rPr>
                <w:b/>
                <w:spacing w:val="-4"/>
              </w:rPr>
              <w:t>99-3917985</w:t>
            </w:r>
            <w:r>
              <w:rPr/>
              <w:t xml:space="preserve"> </w:t>
              <w:br/>
            </w:r>
            <w:r>
              <w:rPr>
                <w:spacing w:val="3"/>
                <w:sz w:val="15"/>
              </w:rPr>
              <w:t>(I.R.S. Employer Identification No.)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40" w:type="dxa"/>
            <w:tcBorders/>
            <w:vAlign w:val="center"/>
          </w:tcPr>
          <w:p>
            <w:pPr>
              <w:pStyle w:val="TableContents"/>
              <w:bidi w:val="0"/>
              <w:spacing w:before="0" w:after="0"/>
              <w:jc w:val="center"/>
              <w:rPr>
                <w:b/>
              </w:rPr>
            </w:pPr>
            <w:r>
              <w:rPr>
                <w:b/>
                <w:spacing w:val="-4"/>
              </w:rPr>
              <w:t>04-2949533</w:t>
            </w:r>
            <w:r>
              <w:rPr>
                <w:b/>
              </w:rPr>
              <w:t xml:space="preserve"> </w:t>
            </w:r>
          </w:p>
          <w:p>
            <w:pPr>
              <w:pStyle w:val="TableContents"/>
              <w:bidi w:val="0"/>
              <w:spacing w:lineRule="atLeast" w:line="188" w:before="0" w:after="283"/>
              <w:jc w:val="center"/>
              <w:rPr>
                <w:sz w:val="15"/>
              </w:rPr>
            </w:pPr>
            <w:r>
              <w:rPr>
                <w:spacing w:val="3"/>
                <w:sz w:val="15"/>
              </w:rPr>
              <w:t>(I.R.S. Employer Identification No.)</w:t>
            </w:r>
            <w:r>
              <w:rPr>
                <w:sz w:val="15"/>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4"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1515 Broadway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New York, New York 10036</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(212) 258-6000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val="false"/>
          <w:i w:val="false"/>
          <w:caps w:val="false"/>
          <w:smallCaps w:val="false"/>
          <w:color w:val="000000"/>
          <w:spacing w:val="3"/>
          <w:sz w:val="15"/>
        </w:rPr>
        <w:t>(Address, including zip code, and telephone number, including area code, of registrant’s principal executive offices)</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28"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David Ellison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xml:space="preserve">Paramount Skydance Corporation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1515 Broadway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New York, New York 10036</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(212) 258-6000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val="false"/>
          <w:i w:val="false"/>
          <w:caps w:val="false"/>
          <w:smallCaps w:val="false"/>
          <w:color w:val="000000"/>
          <w:spacing w:val="3"/>
          <w:sz w:val="15"/>
        </w:rPr>
        <w:t>(Name, address, including zip code, and telephone number, including area code, of agent for service)</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4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Copies to:</w:t>
      </w:r>
      <w:r>
        <w:rPr>
          <w:rFonts w:ascii="Times New Roman;Times;serif" w:hAnsi="Times New Roman;Times;serif"/>
          <w:b/>
          <w:i/>
          <w:caps w:val="false"/>
          <w:smallCaps w:val="false"/>
          <w:color w:val="000000"/>
          <w:spacing w:val="4"/>
          <w:sz w:val="19"/>
        </w:rPr>
        <w:t xml:space="preserve"> </w:t>
      </w:r>
    </w:p>
    <w:p>
      <w:pPr>
        <w:pStyle w:val="TextBody"/>
        <w:bidi w:val="0"/>
        <w:spacing w:lineRule="atLeast" w:line="210" w:before="4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Jason M. Licht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Benjamin J. Cohen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Kaj P. Nielsen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Latham &amp; Watkins LLP</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1271 Avenue of the Americas</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New York, New York 10020</w:t>
      </w:r>
      <w:r>
        <w:rPr>
          <w:rFonts w:ascii="Times New Roman;Times;serif" w:hAnsi="Times New Roman;Times;serif"/>
          <w:b/>
          <w:i w:val="false"/>
          <w:caps w:val="false"/>
          <w:smallCaps w:val="false"/>
          <w:color w:val="000000"/>
          <w:spacing w:val="4"/>
          <w:sz w:val="19"/>
        </w:rPr>
        <w:t xml:space="preserve"> </w:t>
      </w:r>
    </w:p>
    <w:p>
      <w:pPr>
        <w:pStyle w:val="TextBody"/>
        <w:bidi w:val="0"/>
        <w:spacing w:before="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02" w:after="283"/>
        <w:ind w:left="540" w:right="0" w:firstLine="400"/>
        <w:jc w:val="both"/>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val="false"/>
          <w:i w:val="false"/>
          <w:caps w:val="false"/>
          <w:smallCaps w:val="false"/>
          <w:color w:val="000000"/>
          <w:spacing w:val="4"/>
          <w:sz w:val="19"/>
        </w:rPr>
        <w:t xml:space="preserve">: From time to time after the effective date of this registration statement.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10" w:before="28"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154" w:after="283"/>
        <w:ind w:left="540"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57"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1393" w:right="0" w:hanging="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PROSPECTUS</w:t>
      </w:r>
      <w:r>
        <w:rPr>
          <w:rFonts w:ascii="Times New Roman;Times;serif" w:hAnsi="Times New Roman;Times;serif"/>
          <w:b/>
          <w:i w:val="false"/>
          <w:caps w:val="false"/>
          <w:smallCaps w:val="false"/>
          <w:color w:val="000000"/>
          <w:spacing w:val="4"/>
          <w:sz w:val="18"/>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190750" cy="1590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1590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8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PARAMOUNT SKYDANCE CORPORATION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70" w:before="1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Guarantees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Preferred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Class B Common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PARAMOUNT GLOBAL</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70" w:before="1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Guarantees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10" w:before="9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Paramount Skydance Corporation, or one or more selling security holders to be identified in a prospectus supplement, may offer and sell, from time to time, in one or more offerings and series, together or separately: </w:t>
      </w:r>
    </w:p>
    <w:p>
      <w:pPr>
        <w:pStyle w:val="TextBody"/>
        <w:bidi w:val="0"/>
        <w:spacing w:lineRule="atLeast" w:line="220" w:before="96"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debt securities; </w:t>
      </w:r>
      <w:r>
        <mc:AlternateContent>
          <mc:Choice Requires="wps">
            <w:drawing>
              <wp:anchor behindDoc="0" distT="6096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guarantees; </w:t>
      </w:r>
      <w:r>
        <mc:AlternateContent>
          <mc:Choice Requires="wps">
            <w:drawing>
              <wp:anchor behindDoc="0" distT="609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preferred stock; </w:t>
      </w:r>
      <w:r>
        <mc:AlternateContent>
          <mc:Choice Requires="wps">
            <w:drawing>
              <wp:anchor behindDoc="0" distT="609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non-voting Class B Common Stock; and </w:t>
      </w:r>
      <w:r>
        <mc:AlternateContent>
          <mc:Choice Requires="wps">
            <w:drawing>
              <wp:anchor behindDoc="0" distT="609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96"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warrants representing rights to purchase any of the other securities that may be sold under this prospectus. </w:t>
      </w:r>
      <w:r>
        <mc:AlternateContent>
          <mc:Choice Requires="wps">
            <w:drawing>
              <wp:anchor behindDoc="0" distT="609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10" w:before="10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Guarantees of Paramount Global, a wholly owned subsidiary of Paramount Skydance Corporation, may be issued in connection with debt securities of Paramount Skydance Corporation. Unless the applicable prospectus supplement states otherwise, any debt securities of Paramount Global will be guaranteed on a full and unconditional basis or co-issued by Paramount Skydance Corporation. Warrants may be co-issued by Paramount Global when the securities with respect to which the warrants are issued will be guaranteed by Paramount Global. </w:t>
      </w:r>
    </w:p>
    <w:p>
      <w:pPr>
        <w:pStyle w:val="TextBody"/>
        <w:bidi w:val="0"/>
        <w:spacing w:lineRule="atLeast" w:line="210" w:before="10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debt securities of Paramount Skydance Corporation or Paramount Global may be convertible into or exchangeable for shares of our Class B Common Stock (“Class B Common Stock”) or preferred stock of Paramount Skydance Corporation, and the preferred stock of Paramount Skydance Corporation may be convertible into or exchangeable for Class B Common Stock of Paramount Skydance Corporation. </w:t>
      </w:r>
    </w:p>
    <w:p>
      <w:pPr>
        <w:pStyle w:val="TextBody"/>
        <w:bidi w:val="0"/>
        <w:spacing w:lineRule="atLeast" w:line="210" w:before="10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non-voting Class B Common Stock is listed and traded on The Nasdaq Global Select Market under the symbol “PSKY”. Shares of our voting Class A Common Stock (“Class A Common Stock”) are not listed on any stock market or exchange. </w:t>
      </w:r>
    </w:p>
    <w:p>
      <w:pPr>
        <w:pStyle w:val="TextBody"/>
        <w:bidi w:val="0"/>
        <w:spacing w:lineRule="atLeast" w:line="220" w:before="100" w:after="283"/>
        <w:ind w:left="1393" w:right="0" w:firstLine="400"/>
        <w:jc w:val="both"/>
        <w:rPr/>
      </w:pPr>
      <w:r>
        <w:rPr>
          <w:rFonts w:ascii="Times New Roman;Times;serif" w:hAnsi="Times New Roman;Times;serif"/>
          <w:b/>
          <w:i w:val="false"/>
          <w:caps w:val="false"/>
          <w:smallCaps w:val="false"/>
          <w:color w:val="000000"/>
          <w:spacing w:val="-4"/>
          <w:sz w:val="18"/>
        </w:rPr>
        <w:t xml:space="preserve">Investing in our securities involves risks that are referenced under the caption “Risk Factors” on page </w:t>
      </w:r>
      <w:hyperlink w:anchor="tRIFA">
        <w:r>
          <w:rPr>
            <w:rStyle w:val="InternetLink"/>
          </w:rPr>
          <w:t>ii</w:t>
        </w:r>
      </w:hyperlink>
      <w:r>
        <w:rPr>
          <w:rFonts w:ascii="Times New Roman;Times;serif" w:hAnsi="Times New Roman;Times;serif"/>
          <w:b/>
          <w:i w:val="false"/>
          <w:caps w:val="false"/>
          <w:smallCaps w:val="false"/>
          <w:color w:val="000000"/>
          <w:spacing w:val="-4"/>
          <w:sz w:val="18"/>
        </w:rPr>
        <w:t xml:space="preserve"> of this prospectus. </w:t>
      </w:r>
    </w:p>
    <w:p>
      <w:pPr>
        <w:pStyle w:val="TextBody"/>
        <w:bidi w:val="0"/>
        <w:spacing w:lineRule="atLeast" w:line="210" w:before="10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When we offer securities, we will provide you with a prospectus supplement or term sheet describing the specific terms of the specific issue of securities, including the offering price of the securities. You should carefully read this prospectus and the prospectus supplements or term sheets relating to the specific issue of securities before you decide to invest in any of these securities. </w:t>
      </w:r>
    </w:p>
    <w:p>
      <w:pPr>
        <w:pStyle w:val="TextBody"/>
        <w:bidi w:val="0"/>
        <w:spacing w:lineRule="atLeast" w:line="210" w:before="10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offer and sell these securities to or through one or more underwriters, dealers or agents, or directly to one or more purchasers, on a delayed or continuous basis. Selling security holders may offer and sell their securities from time to time on terms described in the applicable prospectus supplement. </w:t>
      </w:r>
    </w:p>
    <w:p>
      <w:pPr>
        <w:pStyle w:val="TextBody"/>
        <w:bidi w:val="0"/>
        <w:spacing w:lineRule="atLeast" w:line="210" w:before="100" w:after="283"/>
        <w:ind w:left="1393"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10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date of this prospectus is July 31, 2026.</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7"/>
        <w:gridCol w:w="109"/>
        <w:gridCol w:w="109"/>
        <w:gridCol w:w="109"/>
        <w:gridCol w:w="109"/>
        <w:gridCol w:w="405"/>
        <w:gridCol w:w="109"/>
        <w:gridCol w:w="155"/>
      </w:tblGrid>
      <w:tr>
        <w:trPr/>
        <w:tc>
          <w:tcPr>
            <w:tcW w:w="77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ii</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ATP">
              <w:r>
                <w:rPr>
                  <w:rStyle w:val="InternetLink"/>
                  <w:spacing w:val="4"/>
                </w:rPr>
                <w:t>iii</w:t>
              </w:r>
            </w:hyperlink>
            <w:hyperlink w:anchor="t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iv</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IBR">
              <w:r>
                <w:rPr>
                  <w:rStyle w:val="InternetLink"/>
                  <w:spacing w:val="4"/>
                </w:rPr>
                <w:t>v</w:t>
              </w:r>
            </w:hyperlink>
            <w:hyperlink w:anchor="t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CNCF">
              <w:r>
                <w:rPr>
                  <w:rStyle w:val="InternetLink"/>
                  <w:spacing w:val="4"/>
                </w:rPr>
                <w:t xml:space="preserve">CAUTIONARY NOTE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NCF">
              <w:r>
                <w:rPr>
                  <w:rStyle w:val="InternetLink"/>
                  <w:spacing w:val="4"/>
                </w:rPr>
                <w:t>vii</w:t>
              </w:r>
            </w:hyperlink>
            <w:hyperlink w:anchor="tCN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SC">
              <w:r>
                <w:rPr>
                  <w:rStyle w:val="InternetLink"/>
                  <w:spacing w:val="4"/>
                </w:rPr>
                <w:t xml:space="preserve">PARAMOUNT SKYDANCE 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SC">
              <w:r>
                <w:rPr>
                  <w:rStyle w:val="InternetLink"/>
                  <w:spacing w:val="4"/>
                </w:rPr>
                <w:t>1</w:t>
              </w:r>
            </w:hyperlink>
            <w:hyperlink w:anchor="tP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PAGL">
              <w:r>
                <w:rPr>
                  <w:rStyle w:val="InternetLink"/>
                  <w:spacing w:val="4"/>
                </w:rPr>
                <w:t xml:space="preserve">PARAMOUNT GLOBAL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PAGL">
              <w:r>
                <w:rPr>
                  <w:rStyle w:val="InternetLink"/>
                  <w:spacing w:val="4"/>
                </w:rPr>
                <w:t>2</w:t>
              </w:r>
            </w:hyperlink>
            <w:hyperlink w:anchor="tPA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G">
              <w:r>
                <w:rPr>
                  <w:rStyle w:val="InternetLink"/>
                  <w:spacing w:val="4"/>
                </w:rPr>
                <w:t>17</w:t>
              </w:r>
            </w:hyperlink>
            <w:hyperlink w:anchor="tD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PS">
              <w:r>
                <w:rPr>
                  <w:rStyle w:val="InternetLink"/>
                  <w:spacing w:val="4"/>
                </w:rPr>
                <w:t xml:space="preserve">DESCRIPTION OF 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PS">
              <w:r>
                <w:rPr>
                  <w:rStyle w:val="InternetLink"/>
                  <w:spacing w:val="4"/>
                </w:rPr>
                <w:t>19</w:t>
              </w:r>
            </w:hyperlink>
            <w:hyperlink w:anchor="tDO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CS">
              <w:r>
                <w:rPr>
                  <w:rStyle w:val="InternetLink"/>
                  <w:spacing w:val="4"/>
                </w:rPr>
                <w:t>22</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28</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OD">
              <w:r>
                <w:rPr>
                  <w:rStyle w:val="InternetLink"/>
                  <w:spacing w:val="4"/>
                </w:rPr>
                <w:t>30</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31</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EXP">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RIF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making any investment decision with respect to the securities that we may offer, prospective investors should carefully consider the specific factors set forth under the caption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the applicable prospectus supplement and in Paramount Skydance Corporation’s periodic reports filed with the Securities and Exchange Commission (the “SEC”) that are incorporated by reference herein, together with all of the other information appearing in this prospectus, in the applicable prospectus supplement or incorporated by reference into this prospectus or into the applicable prospectus supplement in light of their particular investment objectives and financial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that Paramount Skydance Corporation and Paramount Global filed with the SEC utilizing the “shelf” registration process. This prospectus provides you with a general description of the securities we may offer. Each time we offer securities, we will provide a prospectus supplement that will contain specific information about the terms of such offering. The prospectus supplement may also add to, update or change information contained in this prospectus. The prospectus supplement will also contain, with respect to the securities being sold, the names of any underwriters, dealers or agents, together with the terms of the offering, the compensation of any underwriters and the net proceeds to us, as applicable. Any underwriters, dealers or agents participating in such offering may be deemed “underwriters” within the meaning of the Securities Act of 1933, as amended (the “Securities Act).” You should carefully read both this prospectus and any prospectus supplement together with the additional information described under the heading “</w:t>
      </w:r>
      <w:r>
        <w:rPr>
          <w:rFonts w:ascii="Times New Roman;Times;serif" w:hAnsi="Times New Roman;Times;serif"/>
          <w:b w:val="false"/>
          <w:i/>
          <w:caps w:val="false"/>
          <w:smallCaps w:val="false"/>
          <w:color w:val="000000"/>
          <w:spacing w:val="4"/>
          <w:sz w:val="20"/>
        </w:rPr>
        <w:t>Incorporation by 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we use the terms “Paramount Skydance Corporation,” “we,” “us,” and “our” and similar words to refer to Paramount Skydance Corporation, a Delaware corporation, and its consolidated subsidiaries, unless the context requires otherwise. References to “securities” include any security that we might offer under this prospectus or any prospectus supplement. References to “$” and “dollars” are to United States dollars.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any information or to make any representation other than those contained or incorporated by reference in this prospectus, in the related prospectus supplement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front of this prospectus or that any document incorporated by reference into this prospectus is accurate as of any date other than the date of such document. Our business, financial condition, results of operations and prospects may have changed since such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omits financial statements for Paramount Global, as permitted by the SEC in Rule 3-10 of Regulation S-X under the Securities Act. Paramount Global is a consolidated subsidiary of Paramount Skydance Corporation. Paramount Skydance Corporation files consolidated financial statements under the Securities Exchange Act of 1934, as amended (the “Exchange Act”) and Paramount Skydance Corporation will provide the alternative disclosure required by Rule 13-01 of Regulation S-X under the Securities Act in the form of summarized financial information for Paramount Global and other members of any applicable “Obligor Group” for purposes of such disclosure.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WY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The Class B Common Stock of Paramount Skydance Corporation is listed on The Nasdaq Global Select Market under the symbol “PSKY”.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B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the documents listed below and any future filings made with the SEC (other than any portion of such filings that are furnished under applicable SEC rules rather than filed) under Sections 13(a), 13(c), 14, or 15(d) of the Exchange Act, including filings made after the date of this prospectus and until the offering of the particular securities covered by a prospectus supplement has been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specified documents that we have filed with the SEC, which means that we can disclose important information to you by referring you to those documents that are considered part of this prospectus. Information that we subsequently file with the SEC will automatically update and supersede this information. For SEC reporting purposes, the predecessor registrant to Paramount Skydance Corporation for the period prior to August 7, 2025, pursuant to Section 12 of the Exchange Act, is Paramount Global. We incorporate by reference: </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10-K for the fiscal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as amended by Amendment No. 1 to such </w:t>
      </w:r>
      <w:hyperlink r:id="rId4">
        <w:r>
          <w:rPr>
            <w:rStyle w:val="InternetLink"/>
          </w:rPr>
          <w:t>Annual Report on Form 10-K/A (filed with the SEC on April 24, 2026)</w:t>
        </w:r>
      </w:hyperlink>
      <w:r>
        <w:rPr>
          <w:rFonts w:ascii="Times New Roman;Times;serif" w:hAnsi="Times New Roman;Times;serif"/>
          <w:b w:val="false"/>
          <w:i w:val="false"/>
          <w:caps w:val="false"/>
          <w:smallCaps w:val="false"/>
          <w:color w:val="000000"/>
          <w:spacing w:val="4"/>
          <w:sz w:val="20"/>
        </w:rPr>
        <w:t xml:space="preserve">, including as superseded by, and solely to the extent set forth in, our </w:t>
      </w:r>
      <w:hyperlink r:id="rId5">
        <w:r>
          <w:rPr>
            <w:rStyle w:val="InternetLink"/>
          </w:rPr>
          <w:t>Current Report on Form 8-K filed with the SEC on 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hyperlink r:id="rId6">
        <w:r>
          <w:rPr>
            <w:rStyle w:val="InternetLink"/>
          </w:rPr>
          <w:t>our Quarterly Report on Form 10-Q for the quarterly period ended March 31, 2026, filed with the SEC on May 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Skydance Media, LLC and accompanying notes included in </w:t>
      </w:r>
      <w:hyperlink r:id="rId7">
        <w:r>
          <w:rPr>
            <w:rStyle w:val="InternetLink"/>
          </w:rPr>
          <w:t>Amendment No. 1 filed with the SEC on October 23, 2025</w:t>
        </w:r>
      </w:hyperlink>
      <w:r>
        <w:rPr>
          <w:rFonts w:ascii="Times New Roman;Times;serif" w:hAnsi="Times New Roman;Times;serif"/>
          <w:b w:val="false"/>
          <w:i w:val="false"/>
          <w:caps w:val="false"/>
          <w:smallCaps w:val="false"/>
          <w:color w:val="000000"/>
          <w:spacing w:val="4"/>
          <w:sz w:val="20"/>
        </w:rPr>
        <w:t xml:space="preserve">, to our </w:t>
      </w:r>
      <w:hyperlink r:id="rId8">
        <w:r>
          <w:rPr>
            <w:rStyle w:val="InternetLink"/>
          </w:rPr>
          <w:t>Current Report on Form 8-K12B filed with the SEC on August 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Warner Bros. Discovery, Inc. as of December 31, 2025 and 2024, and for each of the three fiscal years in the period ended December 31, 2025, and the related notes and schedule of valuation and qualifying accounts, the Report of Independent Registered Public Accounting Firm thereon and Management’s Report on Internal Control Over Financial Reporting (incorporated by reference to Part II, Item 8 and Part IV, Item 15 of Warner Bros. Discovery, Inc.’s </w:t>
      </w:r>
      <w:hyperlink r:id="rId9">
        <w:r>
          <w:rPr>
            <w:rStyle w:val="InternetLink"/>
          </w:rPr>
          <w:t>Annual Report on Form 10-K for the fiscal year ended December 31, 2025 (SEC File No. 001-34177), filed with the SEC on 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Warner Bros. Discovery, Inc. as of March 31, 2026 and for the three months ended March 31, 2026 and March 31, 2025, and the notes related thereto (incorporated by reference to Part I, Item 1 of the Warner Bros. Discovery, Inc. </w:t>
      </w:r>
      <w:hyperlink r:id="rId10">
        <w:r>
          <w:rPr>
            <w:rStyle w:val="InternetLink"/>
          </w:rPr>
          <w:t>Quarterly Report on Form 10-Q for the quarterly period ended March 31, 2026 (SEC File No. 001-34177),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March 2,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thereto), </w:t>
      </w:r>
      <w:hyperlink r:id="rId15">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April 9,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and Exhibit 99.2), </w:t>
      </w:r>
      <w:hyperlink r:id="rId18">
        <w:r>
          <w:rPr>
            <w:rStyle w:val="InternetLink"/>
          </w:rPr>
          <w:t>June 29,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414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description of our capital stock registered under Section 12 of the Exchange Act pursuant to Rule 12g-3(a) promulgated under the Exchange Act in our Registration Statement on </w:t>
      </w:r>
      <w:hyperlink r:id="rId21">
        <w:r>
          <w:rPr>
            <w:rStyle w:val="InternetLink"/>
          </w:rPr>
          <w:t>Form S-4 filed with the SEC on November 4, 2024</w:t>
        </w:r>
      </w:hyperlink>
      <w:r>
        <w:rPr>
          <w:rFonts w:ascii="Times New Roman;Times;serif" w:hAnsi="Times New Roman;Times;serif"/>
          <w:b w:val="false"/>
          <w:i w:val="false"/>
          <w:caps w:val="false"/>
          <w:smallCaps w:val="false"/>
          <w:color w:val="000000"/>
          <w:spacing w:val="4"/>
          <w:sz w:val="20"/>
        </w:rPr>
        <w:t xml:space="preserve"> and declared effective by the SEC on </w:t>
      </w:r>
      <w:hyperlink r:id="rId22">
        <w:r>
          <w:rPr>
            <w:rStyle w:val="InternetLink"/>
          </w:rPr>
          <w:t>February 13, 2025</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such description, including </w:t>
      </w:r>
      <w:hyperlink r:id="rId23">
        <w:r>
          <w:rPr>
            <w:rStyle w:val="InternetLink"/>
          </w:rPr>
          <w:t>Exhibit 4(a)</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(filed with the SEC on February 25, 2026) and Item 5.03 of our </w:t>
      </w:r>
      <w:hyperlink r:id="rId24">
        <w:r>
          <w:rPr>
            <w:rStyle w:val="InternetLink"/>
          </w:rPr>
          <w:t>Current Report on Form 8-K filed with the SEC on April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filings with the SEC, including our Annual Report on Form 10-K, Quarterly Reports on Form 10-Q, Current Reports on Form 8-K and any amendments to those reports, are available free of charge on our website as soon as reasonably practicable after they are filed with, or furnished to, the SEC. Our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our website does not constitute a part of this prospectus or any prospectus supplement. You may obtain a copy of these filings at no cost, by writing or telephoning us at the following address: Paramount Skydance Corporation, 1515 Broadway, New York, New York 10036, Attn: Investor Relations, Telephone Number: (212) 258-6000.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NC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the risks and costs associated with the integration of, and our ability to integrate, the businesses of Paramount Global and Skydance Media, LLC successfully and to achieve anticipated synergies; litigation relating to the transaction pursuant to which we acquired Skydance Media, LLC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us, including that our stockholders may not realize any change of control premium on shares of our Class B Common Stock and that we may become subject to the control of a presently unknown third party; risks associated with our status as a “controlled company” under the rules of The Nasdaq Global Select Market, including our exemption from certain corporate governance requirements; risks associated with the lack of voting rights of our Class B Common Stock; risks that anti-takeover provisions in our amended and restated certificate of incorporation and amended and restated bylaws, and under Delaware law could deter, delay, or prevent a change of control; risks that exclusive forum provisions in our amended and restated certificate of incorporation could limit a stockholder’s choice of forum for certain claims and discourage lawsuits against our directors and officers; risks that corporate opportunity provisions in our amended and restated certificate of incorporation could permit certain persons to pursue competitive opportunities that might otherwise be available to us; risks associated with our holding company structure, including our dependence on distributions from our subsidiaries to meet our tax obligations and other cash requirements; disruptions caused by the acquisition by Paramount Skydance Corporation of Warner Bros. Discovery, Inc. (“WBD”) pursuant to the merger agreement (the “WBD Merger Agreement”), dated February 27, 2026 (the “WBD Merger”) to our and WBD’s business and commercial relationships; the negative impact that a failure to consummate the WBD Merger could have on our business, financial condition, results of operations and stock price; the risk that the WBD Merger may be prevented or delayed or the anticipated benefits reduced if we do not obtain certain regulatory approvals; the risk that the WBD Merger Agreement may be terminated in accordance with its terms, including if any conditions to the closing of the WBD Merger are not satisfied; the risk that litigation relating to the WBD Merger could prevent or delay the closing of the WBD Merger or result in the payment of damages after closing; challenges realizing synergies and other anticipated benefits expected from the WBD Merger, including integrating WBD’s business successfully; risks to our business, financial condition or results of operations as a result of the incurrence of substantial costs and indebtedness in connection with the WBD Merger; risks of reduced ownership and economic interest by our existing stockholders as a result of the WBD Merger; and other factors described in our news releases and filings with the SEC, including but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limited to Paramount Skydance Corporation’s reports on Form 10-K, Form 10-Q and Form 8-K incorporated by reference herein, and in the section entitled “Risk Factors” on page ii of this prospectus. There may be additional risks, uncertainties and factors that we do not currently view as material or that are not necessarily known. The forward-looking statements included or incorporated by reference in this prospectus are made only as of the dates of the respective documents, and we do not undertake any obligation to publicly update any forward-looking statements to reflect subsequent events or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S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PARAMOUNT SKYDANCE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Skydance Corporation, a Delaware corporation, is a next-generation global media and entertainment company, comprised of three business segments: </w:t>
      </w:r>
      <w:r>
        <w:rPr>
          <w:rFonts w:ascii="Times New Roman;Times;serif" w:hAnsi="Times New Roman;Times;serif"/>
          <w:b w:val="false"/>
          <w:i/>
          <w:caps w:val="false"/>
          <w:smallCaps w:val="false"/>
          <w:color w:val="000000"/>
          <w:spacing w:val="4"/>
          <w:sz w:val="20"/>
        </w:rPr>
        <w:t>Studios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Direct-to-Consumer</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TV Media</w:t>
      </w:r>
      <w:r>
        <w:rPr>
          <w:rFonts w:ascii="Times New Roman;Times;serif" w:hAnsi="Times New Roman;Times;serif"/>
          <w:b w:val="false"/>
          <w:i w:val="false"/>
          <w:caps w:val="false"/>
          <w:smallCaps w:val="false"/>
          <w:color w:val="000000"/>
          <w:spacing w:val="4"/>
          <w:sz w:val="20"/>
        </w:rPr>
        <w:t xml:space="preserve">. Paramount Skydance Corporation’s portfolio unites legendary brands, including Paramount Pictures, Paramount Television, CBS, CBS News, CBS Sports, Nickelodeon, MTV, BET, Comedy Central, SHOWTIME, Paramount+, Pluto TV, and Skydance Animation, Film, Television, Interactive/Games, and Paramount Sports Entertainment. Paramount Skydance Corporation is the holding company for Paramount Global and Skydance Media, LLC. A description of Paramount Global is provided below under “Paramount Global.”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Skydance Corporation was incorporated as New Pluto Global, Inc., a Delaware corporation, on June 3, 2024. On August 7, 2025, New Pluto Global, Inc. changed its name to Paramount Skydance Corporation in connection with its acquisition of Paramount Global and Skydance Media, LLC. The principal offices of Paramount Skydance Corporation are at 1515 Broadway, New York, New York 10036. Paramount Skydance Corporation’s telephone number is (212) 258-6000 and its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this website does not constitute a part of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AGL"/>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PARAMOUNT GLOBAL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Global was organized as a Delaware corporation in 1986. In December 2019, its name was changed to ViacomCBS Inc. in connection with the merger of Viacom Inc. and CBS Corporation. In February 2022, ViacomCBS Inc. changed its name to Paramount Global. On August 7, 2025, Paramount Skydance Corporation consummated the acquisition of Paramount Global and Skydance Media, LLC and Paramount Global became a direct, wholly-owned subsidiary of Paramount Skydance Corporation. The principal offices of Paramount Global are at 1515 Broadway, New York, New York 10036. Paramount Global’s telephone number is (212) 258-6000 and its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this website does not constitute a part of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indicated otherwise in a prospectus supplement, we expect to use the proceeds, net of transaction costs, from the sale of our securities for general corporate purposes, including, but not limited to, repayment of borrowings, working capital, acquisitions, capital expenditures and discretionary share repurchases. Such proceeds may be temporarily invested pending use. We will not receive any of the proceeds from the sale of securities by any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D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Paramount Skydance Corporation’s and Paramount Global’s debt securities to be issued under the Indenture (as defined below) summarizes the general terms and provisions of the debt securities to which any prospectus supplement may relate. The description set forth below and in any prospectus supplement is not complete and is subject to, and qualified in its entirety by reference to, the Indenture. We will describe the specific terms of the debt securities offered by any prospectus supplement and the extent, if any, to which the general provisions summarized in this description may apply to any series of its debt securities in the prospectus supplement relating to that series. References to “Paramount Skydance Corporation” in this description refer only to Paramount Skydance Corporation and not its consolidated subsidiaries, unless the context requires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may issue debt securities from time to time, in one or more series under a base indenture to be entered into between Paramount Skydance Corporation and Deutsche Bank Trust Company Americas, as trustee, or another trustee named in a prospectus supplement. The form of indenture has been filed as an exhibit to our SEC registration statement relating to this prospectus. References to our “Indenture” in this section mean the applicable form of indenture filed as an exhibit to the registration statement of which this prospectus forms a part, such form of indenture having not been executed as of the date of this prospectus. The trustee under the Indenture is called the “Trustee.”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may be issued thereunder. The Indenture provides that debt securities may be issued up to an aggregate principal amount authorized by us and may be payable in any currency or currency unit designated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may issue debt securities from time to time and offer such debt securities on terms determined by market conditions at the time of their sale. Paramount Skydance Corporation and Paramount Global may issue debt securities in one or more series with the same or various maturities and at the same or various prices including at par, at a premium, or at a discount. Any debt securities bearing no interest or interest at a rate which at the time of issuance is below market rates will be sold at a discount, which may be substantial, from their stated principal amount. We will describe the material United States federal income tax consequences and other special considerations applicable to any substantially discounted debt securities in a related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prospectus supplement for the following terms of the debt securities offered by this registration statement: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debt securities;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and authorized denominations of the debt securities;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we will issue the debt securities;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debt securities will mature;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interest rate(s) of the debt securities, or the method of determining the rate(s);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interest shall be payable in cash or additional debt securities of the same series or shall accrue and increase the aggregate principal amount outstanding of such series;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any interest will be payable, the date(s) on which payment of any interest will commence and the regular record date(s) for the payment of interest;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guaranteed;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subject to subordination and the terms of such subordination;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and the nature of the collateral securing such debt securities, as well as the priority of any liens thereon;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mandatory or optional redemption(s), including any provisions for sinking, purchase or other similar funds or repayment options;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unit(s) for which the debt securities may be purchased and in which the principal, any premium and any interest may be payable;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currency unit(s) for which the debt securities may be purchased or in which the principal, any premium and any interest may be payable is at our election or the purchaser’s election, the manner in which the election may be made;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of payments on the debt securities is determined by an index based on one or more currency units, or changes in the price of one or more securities or commodities, the manner in which the amounts will be determined;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any of the debt securities will be issuable in temporary or permanent global form, and the manner in which any interest payable on a temporary or permanent global security will be paid;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upon which the debt securities may be convertible into or exchangeable for common stock, preferred stock, indebtedness or other debt or equity securities of any person, including Paramount Skydance Corporation;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covenants that will apply to Paramount Skydance Corporation or any guarantor with respect to such series of debt securities; </w:t>
      </w:r>
      <w:r>
        <mc:AlternateContent>
          <mc:Choice Requires="wps">
            <w:drawing>
              <wp:anchor behindDoc="0" distT="800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800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debt securities; and </w:t>
      </w:r>
      <w:r>
        <mc:AlternateContent>
          <mc:Choice Requires="wps">
            <w:drawing>
              <wp:anchor behindDoc="0" distT="8001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of the debt securities not inconsistent with the Indenture. </w:t>
      </w:r>
      <w:r>
        <mc:AlternateContent>
          <mc:Choice Requires="wps">
            <w:drawing>
              <wp:anchor behindDoc="0" distT="8128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any of the debt securities for one or more foreign currencies or foreign currency units or if the principal of, premium, if any, or interest on any series of debt securities will be payable in one or more foreign currencies or foreign currency units, we will describe the restrictions, elections, any material United States federal income tax consequences, specific terms and other information with respect to the issue of debt securities and the currencies or currency units in the related prospectus supplement. Unless otherwise specified in the prospectus supplement, debt securities will be issued in U.S. dollars.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specified otherwise in a prospectus supplement, the principal of, premium, if any, and interest on the debt securities will be payable, and the debt securities will be transferable, at the corporate trust office of the applicable Trustee in New York, New York. However, we may make payment of interest, at our option, by check mailed on or before the payment date to the address of the person entitled to the interest payment or by transfer to an account held by the payee as it appears on the registry books of the Trustee, the issuer or its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specified otherwise in a prospectus supplement, we will issue the debt securities in registered form and in denominations of $2,000 and any integral multiple of $1,000. No service charge will be made for any transfer or exchange of any debt securities, but we may, except in specific cases not involving any transfer, require payment of a sufficient amount to cover any tax or other governmental charge payable in connection with the transfer or exchange.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rights and the rights of our creditors, including holders of debt securities, to participate in any distribution of assets of any of our subsidiaries upon its liquidation, reorganization or otherwise is subject to the prior claims of creditors of the subsidiary, except to the extent that Paramount Skydance Corporation’s or Paramount Global’s, as applicable, claims as a creditor of the subsidiary may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senior debt securities of Paramount Skydance Corporation will be senior unsecured obligations of Paramount Skydance Corporation and will rank equally in right of payment with all of Paramount Skydance Corporation’s other unsecured and unsubordinated indebtedness from time to time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subordinated debt securities of Paramount Skydance Corporation will be unsecured obligations of Paramount Skydance Corporation and will be subordinated in right of payment to Paramount Skydance Corporation’s Senior Indebtedness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unsecured debt securities of Paramount Skydance Corporation will be effectively subordinated to any secured indebtedness of Paramount Skydance Corporation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senior debt securities of Paramount Global will be senior unsecured obligations of Paramount Global and will rank equally in right of payment with all of Paramount Global’s other unsecured and unsubordinated indebtedness from time to time outstanding.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subordinated debt securities of Paramount Global will be unsecured obligations of Paramount Global and will be subordinated in right of payment to Paramount Global’s Senior Indebtedness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unsecured debt securities of Paramount Global will be effectively subordinated to any secured indebtedness of Paramount Global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that Paramount Skydance Corporation or Paramount Global, or their respective subsidiaries, can incur.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Paramount Skydance Corporation and Paramount Global conduct their operations through subsidiaries, which generate a substantial portion of Paramount Skydance Corporation’s and Paramount Global’s respective consolidated operating income and cash flow. As a result, distributions or advances from Paramount Skydance Corporation’s and Paramount Global’s subsidiaries are a major source of funds necessary to meet Paramount Skydance Corporation’s or Paramount Global’s debt service and other obligations, or any payment obligations under the guarantees. Contractual provisions, laws or regulations, as well as a subsidiary’s financial condition and operating requirements, may limit the ability of Paramount Skydance Corporation and Paramount Global to obtain cash required to pay Paramount Skydance Corporation’s debt service obligations, including payments on the debt securities or Paramount Global’s payment obligations on the guarantees, if any. The debt securities (whether senior or subordinated obligations) will be structurally subordinated to all obligations of Paramount Skydance Corporation’s subsidiaries (other than Paramount Global, to the extent such debt securities of Paramount Skydance Corporation are guaranteed by Paramount Global) including claims with respect to trade payables. This means that holders of the debt securities of Paramount Skydance Corporation will have a junior position to the claims of creditors of Paramount Skydance Corporation’s subsidiaries (other than Paramount Global, to the extent such debt securities of Paramount Skydance Corporation are guaranteed by Paramount Global) on the assets and earnings of such subsidiaries. The guarantees of Paramount Global (whether senior or subordinated obligations) will be structurally subordinated to all obligations of Paramount Global’s subsidiaries that do not guarantee the debt securities, including claims with respect to trade payables.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Paramount Global may issue debt securities of a series, in whole or in part, in the form of one or more global securities and will deposit them with, or on behalf of, a depositary identified in the prospectus supplement relating to that series. Paramount Skydance Corporation or Paramount Global may issue global securities in either temporary or permanent form. Unless and until it is exchanged in whole or in part for the individual debt securities represented thereby, a global security may only be transferred among the depositary, its nominees and any successors.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depositary arrangement relating to a series of debt securities will be described in the prospectus supplement relating to that series. It is anticipated that the following provisions will generally apply to depositary arrangements.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a global security, the depositary for the global security or its nominee will credit on its book-entry registration and transfer system the principal amounts of the individual debt securities represented by the global security to the accounts of persons that have accounts with the depositary.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will be designated by the dealers, underwriters or agents with respect to the debt securities, or by us if the debt securities are offered and sold directly by us. Ownership of beneficial interests in a global security will be limited to persons that have accounts with the applicable depositary participants or persons that hold interests through these participants. Ownership of beneficial interests in a global security will be shown on, and the transfer of that ownership will be effected only through, records maintained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depositary or its nominee, with respect to interests of depositary participants; and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records of depositary participants, with respect to interests of persons other than depositary participants.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for a global security or its nominee is the registered owner of that global security, the depositary or the nominee will be considered the sole owner or holder of the debt securities represented by the global security for all purposes under the Indenture. Except as provided in the applicable prospectus supplement, owners of beneficial interests in a global security will: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entitled to have any of the individual debt securities of the series represented by the global security registered in their names;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receive, or be entitled to receive, physical delivery of any debt security of that series in definitive form; and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considered the owners or holders thereof under the Indenture governing the debt securities.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require that certain purchasers of securities take physical delivery of securities. Those laws may limit the market for beneficial interests in a global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limited-purpose trust company organized under the New York Banking Law;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Banking Law;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New York Uniform Commercial Code; and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pursuant to the provisions of Section 17A of the Exchange Act.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or any applicable free writing prospectus, where notices and demands in respect of the securities and the indenture may be delivered to us and where certificated securities may be surrendered for payment, registration of transfer or exchange.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not to have such securities represented by one or more global securities; or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with respect to such series of securities;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 and 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or free writing prospectus,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or its accuracy.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all debt securities of any one series need be issued at the same time and, unless otherwise provided, a series may be reopened, without notice to or the consent of the holders, for issuances of additional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payments of principal, premium or interest on individual debt securities represented by a global security registered in the name of a depositary or its nominee will be made to the depositary or its nominee as the registered owner of the global security representing the debt securities. Neither Paramount Skydance Corporation, Paramount Global, the Trustee, any paying agent, nor the security registrar for the debt securities will have any responsibility or liability for the records relating to or payments made on account of beneficial ownership interests of the global security for the debt securities or for maintaining, supervising or reviewing any records relating to the beneficial ownership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 series of debt securities or its nominee, upon receipt of any payment of principal, premium or interest in respect of a permanent global security representing any of the debt securities, will immediately credit participants’ accounts with payments in amounts proportionate to their beneficial interests in the principal amount of the global security for the debt securities as shown on the records of the depositary or its nominee. We also expect that payments by participants to owners of beneficial interests in the global security held through the participants will be governed by standing instructions and customary practices, as is now the case with securities held for the accounts of customers in bearer form or registered in “street name.” The payments will be the responsibility of those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Indenture, Paramount Skydance Corporation generally would be permitted to consolidate with or merge with or into another entity or convey, transfer or lease, in one transaction or a series of transactions, all or substantially all of Paramount Skydance Corporation’s assets to another entity, subject to Paramount Skydance Corporation meeting all of the following conditions: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pro forma effect to such transaction, no Default (as defined below) shall have occurred and be continuing;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surviving or transferee entity (the “Successor Company”) will be organized and existing under the laws of the (i) United States of America, any State thereof or the District of Columbia, (ii) Canada, (iii) Ireland, (iv) England and Wales, (v) any member state of the European Union as in effect on the date specified in the Indenture or (vi) Switzerland; </w:t>
      </w:r>
      <w:r>
        <mc:AlternateContent>
          <mc:Choice Requires="wps">
            <w:drawing>
              <wp:anchor behindDoc="0" distT="863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(if other than Paramount Skydance Corporation) will not be organized outside of the United States of America, any State thereof or the District of Columbia unless Paramount Skydance Corporation determines in good faith that such jurisdiction of incorporation would not result in material adverse tax consequences to holders of debt securities; </w:t>
      </w:r>
      <w:r>
        <mc:AlternateContent>
          <mc:Choice Requires="wps">
            <w:drawing>
              <wp:anchor behindDoc="0" distT="863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entity (if other than Paramount Skydance Corporation) must agree through a supplemental indenture to expressly assume all the obligations of Paramount Skydance Corporation under the debt securities and the Indenture, and with respect to any series of debt securities that are secured, the Successor Company (if not Paramount Skydance Corporation) will, by supplement to the security documents, assume all obligations of Paramount Skydance Corporation under the applicable security documents; </w:t>
      </w:r>
      <w:r>
        <mc:AlternateContent>
          <mc:Choice Requires="wps">
            <w:drawing>
              <wp:anchor behindDoc="0" distT="863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must deliver certain certificates and documents to the Trustee; and </w:t>
      </w:r>
      <w:r>
        <mc:AlternateContent>
          <mc:Choice Requires="wps">
            <w:drawing>
              <wp:anchor behindDoc="0" distT="863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must satisfy any other requirements specified in the prospectus supplement relating to a particular series of debt securities. </w:t>
      </w:r>
      <w:r>
        <mc:AlternateContent>
          <mc:Choice Requires="wps">
            <w:drawing>
              <wp:anchor behindDoc="0" distT="863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may merge or consolidate with, or sell all or substantially all of its assets to any of its subsidiaries. References in this section to the sale or conveyance of “all or substantially all of its property and assets” mean property and assets contributing, in the aggregate, at least 80% of the total consolidated revenues of Paramount Skydance Corporation as of its last available quarterly or annual report filed with the SEC. The sale, lease, conveyance, assignment, transfer or other disposition of all or substantially all of the assets of one or more subsidiaries of Paramount Skydance Corporation, which assets, if held by Paramount Skydance Corporation instead of such subsidiaries, would constitute all or substantially all of the assets of Paramount Skydance Corporation on a consolidated basis, shall be deemed to be the transfer of all or substantially all of the assets of Paramount Skydance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Paramount Skydance Corporation consolidates or merges with another entity or sells all or substantially all of its assets to another entity, the surviving entity shall be substituted for Paramount Skydance Corporation under the Indenture and Paramount Skydance Corporation shall be discharged from all of its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Defaults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debt securities will have specified rights if an Event of Default (as defined below) occurs in respect of the debt securities of that series,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in respect of the debt securities of a particular series means any of the following: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does not pay interest on a debt security of such series within 30 days of its due date;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does not pay the principal of or any premium on a debt security of such series when due and payable, at its maturity, or upon its acceleration, redemption or otherwise; </w:t>
      </w:r>
      <w:r>
        <mc:AlternateContent>
          <mc:Choice Requires="wps">
            <w:drawing>
              <wp:anchor behindDoc="0" distT="876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if guarantees are issued, any guarantor (including Paramount Global), fails to comply for 60 days after notice with its covenants or other agreements (other than those described in the bullets above) contained in the Indenture, provided that in the case of a failure to comply with the reporting covenant of the Indenture, such period of continuance of such default or breach shall be 120 days after written notice described in this bullet has been given; </w:t>
      </w:r>
      <w:r>
        <mc:AlternateContent>
          <mc:Choice Requires="wps">
            <w:drawing>
              <wp:anchor behindDoc="0" distT="0" distB="0" distL="254000" distR="0" simplePos="0" locked="0" layoutInCell="1" allowOverlap="1" relativeHeight="63">
                <wp:simplePos x="0" y="0"/>
                <wp:positionH relativeFrom="column">
                  <wp:align>left</wp:align>
                </wp:positionH>
                <wp:positionV relativeFrom="line">
                  <wp:posOffset>635</wp:posOffset>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if guarantees are issued, any guarantor (including Paramount Global), files for bankruptcy or other events of bankruptcy, insolvency or reorganization specified in the Indenture occur; </w:t>
      </w:r>
      <w:r>
        <mc:AlternateContent>
          <mc:Choice Requires="wps">
            <w:drawing>
              <wp:anchor behindDoc="0" distT="660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guarantees are issued with respect to the debt securities of such series, any guarantor that is a “significant subsidiary” of Paramount Skydance Corporation, as defined in Regulation S-X of the SEC (a “Material Subsidiary”) or any group of guarantors that, taken together, would constitute a Material Subsidiary, ceases to be in full force and effect (other than in accordance with the terms of such series or the Indenture) or any guarantor denies or disaffirms its obligations in writing under its guarantee; or </w:t>
      </w:r>
      <w:r>
        <mc:AlternateContent>
          <mc:Choice Requires="wps">
            <w:drawing>
              <wp:anchor behindDoc="0" distT="660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that may be specified for the debt securities of such series when such series is created. </w:t>
      </w:r>
      <w:r>
        <mc:AlternateContent>
          <mc:Choice Requires="wps">
            <w:drawing>
              <wp:anchor behindDoc="0" distT="660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“Default” means any event that is, or with the passage of time or the giving of notice or both would be, an Event of Default.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the Trustee or the holders of at least 30% in principal amount of the outstanding debt securities of the affected series may declare the entire unpaid principal amount of (and premium, if any), and all the accrued interest on, the debt securities of that series to be due and immediately payable. This is called a declaration of acceleration of maturity. There is no action on the part of the Trustee or any holder of debt securities required for such declaration if the Event of Default is a bankruptcy, insolvency or reorganization. Holders of a majority in principal amount of the debt securities of a series may also waive certain past defaults under the Indenture on behalf of all of the holders of such series of debt securities. A declaration of acceleration of maturity with respect to a series of debt securities may be rescinded and annulled, under specified circumstances, by the holders of a majority in principal amount of the outstanding debt securities of such series.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special duties, the Trustee is not required to take any action under the Indenture at the request of holders unless the holders offer the Trustee reasonable protection from costs, expenses, claims and liability satisfactory to the Trustee. If a reasonable indemnity satisfactory to the Trustee is provided, the holders of a majority in principal amount of a series of debt securities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holders of a series of debt securities are allowed to bypass the Trustee and bring a lawsuit or other formal legal action or take other steps to enforce their rights or protect their interests relating to the debt securities of such series, the following must occur: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must give the Trustee written notice of a continuing Event of Default with respect to such series;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at least 30% in principal amount of the outstanding debt securities of such series must make a written request to the Trustee to institute proceedings in respect of such Event of Default in its own name as Trustee; </w:t>
      </w:r>
      <w:r>
        <mc:AlternateContent>
          <mc:Choice Requires="wps">
            <w:drawing>
              <wp:anchor behindDoc="0" distT="660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must offer to the Trustee indemnity reasonably satisfactory to it against the costs, expenses, claims and liabilities to be incurred in compliance with such request; </w:t>
      </w:r>
      <w:r>
        <mc:AlternateContent>
          <mc:Choice Requires="wps">
            <w:drawing>
              <wp:anchor behindDoc="0" distT="660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have failed to institute any such proceeding for 60 days after receipt of the notice, request and offer of indemnity; and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outstanding debt securities of such series must not have given the Trustee a direction inconsistent with the above request during such 60-day period.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are, however, entitled at any time to bring a lawsuit for the payment of money due on the debt securities on or after the due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provisions requiring, in certain circumstances, that any notice of default, notice of acceleration or similar instruction to the Trustee provided by any one or more holders of the debt securities of the applicable series, must be accompanied by a written representation from each such holder to Paramount Skydance Corporation and the Trustee that such holder is not Net Short. A Holder or beneficial owner is considered “Net Short” if, as of the applicable determination date, the value of its short derivative positions referencing the Issuer exceeds the combined value of its Notes and long derivative positions, or if such a position would reasonably be expected to result from a Failure to Pay or Bankruptcy Credit Event (each as defined in the 2014 ISDA Credit Derivatives Definitions) occurring with respect to the Issuer immediately before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Paramount Skydance Corporation and the Trustee may, without the consent of any holders of debt securities, enter into supplemental indentures for the purposes, among other things,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the form or terms of any series of debt securities;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curing any ambiguity, omission, mistake, defect or inconsistency;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the assumption by a successor person of the obligations of Paramount Skydance Corporation or any guarantor under the Indenture;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debt securities in addition to or in place of certificated debt securities;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 add a co-issuer of the debt securities or to release any previously added co-issuer of the debt securities, (b) add guarantees or add collateral to secure any series of notes or (c) add a holding company above Paramount Skydance Corporation, in each case, subject to the requirements and limitations described in the Indenture;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Paramount Skydance Corporation or, if applicable, any guarantor for the benefit of the holders of debt securities or to surrender any right or power conferred upon Paramount Skydance Corporation or, if applicable, any guarantor;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would provide any additional rights or benefits to holders of any series or that does not adversely affect the rights under the Indenture of any such holder;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Indenture, the notes or any note guarantee to the description and terms of any offering document applicable to such debt securities as the time of the initial sale thereof;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 relating to the transfer and legending of debt securities; provided, however, that (a) compliance with the Indenture as so amended would not result in debt securities being transferred in violation of the Securities Act or any other applicable securities law and (b) such amendment does not materially and adversely affect the rights of holders to transfer debt securities;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and appointment under the Indenture of a successor Trustee thereunder pursuant to the requirements thereof;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release a guarantor, if applicable, pursuant to the terms of the Indenture;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 or the notes to eliminate the effect of any accounting change or in the application thereof; or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or eliminate any of the provisions of the Indenture; provided that any such change or elimination shall not be effective with respect to any outstanding debt securities of any series created prior to the execution of such supplemental indenture that is entitled to the benefit of such provision.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specific exceptions, the Indenture or the rights of the holders of the debt securities may be modified by Paramount Skydance Corporation and the Trustee with the consent of the holders of a majority in aggregate principal amount of the debt securities of each series affected by the modification then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series voting together as a single class); however, no modification may be made without the consent of the holders of each outstanding debt security affected, which would, among other things: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debt securities whose holders must consent to an amendment, supplement or waiver;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on any such debt security;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maturity date of any such debt security;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provisions applicable to the redemption of any such debt security as set forth in any supplemental indenture relating to such debt security (other than the timing for the notice of redemption);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money other than that stated therein;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contractual right of any holder of such debt securities to receive payment of principal of and interest on such holder’s debt securities on or after the due dates therefor or impair the right of any holder of such debt securities to institute suit for the enforcement of any payment on or with respect to such holder’s debt securities (provided the amendment, supplement or modification applicable to the redemption of any such debt security in connection with a change of control as set forth in any supplemental indenture relating to such debt securities shall be deemed not to impair the contractual right of any holder to receive payment of principal of and interest on such holder’s debt securities on or after the due dates therefor or to institute suit for the enforcement of any such payment on or with respect to such holder’s debt securities); provided, however, that an acceleration of such debt securities may be rescinded and any payment default that resulted from such acceleration may be waived by the holders of at least the percentage of aggregate principal amount of the debt securities of such series required to amend the covenant or provision contained in the Indenture or any guarantee, the breach of which resulted in such acceleration;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amendment provisions which require each holder’s consent or in the waiver provisions; or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ranking of the Notes.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may elect either (i) to defease and be discharged (and, if applicable, to have Paramount Global defeased and discharged) from any and all obligations with respect to a series of the debt securities (except as otherwise provided in the Indenture) (“defeasance”) or (ii) to be released from its obligations with respect to certain covenants that are described in the Indenture (“covenant defeasance”), upon the deposit with the Trustee, in trust for such purpose, of money and/or government obligations that through the payment of principal and interest in accordance with their terms will provide money in an amount sufficient, without reinvestment, to pay the principal of, premium, if any, and interest on the debt securities of such series to maturity or redemption, as the case may be, and any mandatory sinking fund or analogous senior payments thereon. As a condition to defeasance or covenant defeasance, we must deliver to the Trustee an opinion of counsel to the effect that the holders of the debt securities of such series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United States federal income tax law occurring after the date of the Indenture.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exercise our defeasance option with respect to the debt securities of any series notwithstanding its prior exercise of its covenant defeasance option. If we exercise our defeasance option, payment of the debt securities of such series may not be accelerated because of an event of default. If we exercise our covenant defeasance option, payment of the debt securities of such series may not be accelerated by reference to any covenant from which Paramount Skydance Corporation or Paramount Global is released as described under clause (ii) of the immediately preceding paragraph. However, if acceleration were to occur for other reasons, the realizable value at the acceleration date of the money and government obligations in the defeasance trust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could be less than the principal and interest then due on the debt securities of such series, in that the required deposit in the defeasance trust is based upon scheduled cash flows rather than market value, which will vary depending upon interest rates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of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under the Indenture will cease to be of further effect with respect to a series of debt securities when: </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all debt securities of that series have been delivered (except destroyed, lost or stolen debt securities which have been replaced or paid and debt securities for which payment money has theretofore been deposited in trust with the Trustee or paying agent or segregated and held in trust by Paramount Skydance Corporation or Paramount Global, as the case may be, and thereafter repaid to Paramount Skydance Corporation or Paramount Global, as the case may be, or discharged from such trust in accordance with the Indenture) to the Trustee for cancellation, or (b) all such debt securities not theretofore delivered to the Trustee for cancellation have become due and payable, will become due and payable at maturity within one year or are to be called for redemption within one year under arrangements satisfactory to the Trustee for the giving of notice of redemption and Paramount Skydance Corporation or Paramount Global, as the case may be, has deposited or caused to be deposited with the Trustee, in trust, an amount sufficient to pay and discharge the entire indebtedness on such debt securities not theretofore delivered to the Trustee for cancellation, for principal (and premium, if any) and interest, if any, to the date of maturity or date of redemption, as the case may be; </w:t>
      </w:r>
      <w:r>
        <mc:AlternateContent>
          <mc:Choice Requires="wps">
            <w:drawing>
              <wp:anchor behindDoc="0" distT="8128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sums payable by us under the Indenture with respect to such series; and </w:t>
      </w:r>
      <w:r>
        <mc:AlternateContent>
          <mc:Choice Requires="wps">
            <w:drawing>
              <wp:anchor behindDoc="0" distT="889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and an opinion of counsel relating to compliance with the conditions set forth in the Indenture. </w:t>
      </w:r>
      <w:r>
        <mc:AlternateContent>
          <mc:Choice Requires="wps">
            <w:drawing>
              <wp:anchor behindDoc="0" distT="889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to holders of debt securities will be given by mail to the addresses of such holders as they appear in the security register or in accordance with the procedures of the applicable depositary, if 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the Trustee and any agent of Paramount Skydance Corporation or the Trustee may treat the registered owner of any registered debt security as the absolute owner thereof (whether or not the debt security shall be overdue and notwithstanding any notice to the contrary) for the purpose of making payment and for all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Replacement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replace any mutilated debt security at the expense of the holders upon surrender to the Trustee. We will replace debt securities that become destroyed, lost or stolen at the expense of the holder upon delivery to the Trustee of satisfactory evidence of the destruction, loss or theft thereof. In the event of a destroyed, lost or stolen debt security, an indemnity or security satisfactory to us and the Trustee may be required at the expense of the holder of the debt security before a replacement debt security will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laws of the State of New York, without regard to principles of conflicts of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specific instances, we or the holders of a majority of the then outstanding principal amount of the debt securities of a series issued under the Indenture may remove the Trustee with respect to debt securities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series and appoint a successor trustee. The Trustee may become the owner or pledgee of any of the debt securities with the same rights, subject to conflict of interest restrictions, it would have if it were not the Trustee.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and any successor trustee must be eligible to act as trustee under Section 310(a)(1) of the Trust Indenture Act of 1939, as amended, and shall have a combined capital and surplus of at least $100,000,000 and be subject to examination by federal or state authority. Subject to applicable law relating to conflicts of interest, the Trustee may also serve as trustee under other indentures relating to securities issued by Paramount Skydance Corporation or its affiliated companies and may engage in commercial transactions with Paramount Skydance Corporation and its affiliated companies. The initial Trustee under the Indenture is Deutsche Bank Trust Company Americas.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provisions previously described in this prospectus and applicable to all debt securities, the following description of any subordinated debt securities, which may be senior or junior subordinated, summarizes the additional terms and provisions of such subordinated debt securities to which any prospectus supplement may relate. The specific terms of Paramount Skydance Corporation’s or Paramount Global’s subordinated debt securities offered by any prospectus supplement and the extent, if any, to which the general provisions summarized below may apply to any series of subordinated debt securities will be described in the prospectus supplement relating to that series.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subordinated debt securities will be subordinated in right of payment to Paramount Skydance Corporation’s or Paramount Global’s, as applicable, Senior Indebtedness to the extent set forth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of the principal of, premium, if any, and interest on any subordinated debt securities will be subordinated in right of payment to the prior payment in full of all of Paramount Skydance Corporation’s or Paramount Global’s, as applicable, Senior Indebtedness. Paramount Skydance Corporation or Paramount Global, as applicable, may not make payment of principal, premium, if any, sinking funds or interest, if any, on any subordinated debt securities unless full payment of amounts then due for principal, premium, if any, sinking funds and interest on all Senior Indebtedness has been made or duly provided for.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description of any subordinated debt securities, the term “Senior Indebtedness” of any person means all Indebtedness of such person, except (a) Indebtedness that, pursuant to its terms, is subordinated in right of payment to other Indebtedness and (b) Indebtedness evidenced by an instrument that expressly provides that such Indebtedness is not Senior Indebtedness. Notwithstanding anything to the contrary in the foregoing, Senior Indebtedness will not include any liability for taxes owed or owing by any person or any trade payables.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G"/>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Global may fully and unconditionally guarantee the due and punctual payment of the principal of (and premium, if any) and interest, if any, on the debt securities of Paramount Skydance Corporation or Paramount Global when and as the same shall become due and payable, whether at maturity, upon redemption, upon acceleration or otherwise. Additionally, Paramount Skydance Corporation may fully and unconditionally guarantee the due and punctual payment of the principal of (and premium, if any) and interest, if any, on the debt securities of Paramount Global when and as the same shall become due and payable, whether at maturity, upon redemption, upon acceleration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Global of senior debt securities of Paramount Skydance Corporation will be unsecured senior obligations of Paramount Global and will rank equally in right of payment with all of Paramount Global’s other unsecured and unsubordinated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Global of any subordinated debt securities of Paramount Skydance Corporation will be unsecured obligations of Paramount Global and will be subordinated in right of payment to Paramount Global’s Senior Indebtedness (as defined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Global of any debt securities of Paramount Skydance Corporation will be effectively subordinated to any secured indebtedness of Paramount Global,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Skydance Corporation of senior debt securities of Paramount Global will be unsecured senior obligations of Paramount Skydance Corporation and will rank equally in right of payment with all of Paramount Skydance Corporation’s other unsecured and unsubordinated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Skydance Corporation of any subordinated debt securities of Paramount Global will be unsecured obligations of Paramount Skydance Corporation and will be subordinated in right of payment to Paramount Skydance Corporation’s Senior Indebtedness (as defined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Skydance Corporation of any debt securities of Paramount Global will be effectively subordinated to any secured indebtedness of Paramount Skydance Corporation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federal and state fraudulent conveyance laws have been enacted for the protection of creditors and may be utilized by a court of competent jurisdiction to subordinate or avoid all or part of any guarantee. The applicable debt indentures will provide that in the event that the guarantees would constitute or result in a fraudulent transfer or conveyance for purposes of, or result in a violation of, any United States federal, or applicable United States state, fraudulent transfer or conveyance or similar law, then the liability of Paramount Global or Paramount Skydance Corporation, as applicable, under the guarantees shall be reduced to the extent necessary to eliminate such fraudulent transfer or conveyance or violation under the applicable fraudulent transfer or conveyance or similar law. Application of this clause could limit the amount which holders of debt securities may be entitled to collect under the guarantees. Holders, by their acceptance of the debt securities, will have agreed to such limitations.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 court were to find that (a) a guarantee was incurred with the intent to hinder, delay or defraud any present or future creditor or (b) Paramount Global or Paramount Skydance Corporation, as applicable, did not receive fair consideration or reasonably equivalent value for issuing its guarantee and Paramount Global or Paramount Skydance Corporation, as applicable, (i) was insolvent or rendered insolvent by reason of the issuance of the guarantee, (ii) was engaged or about to engage in a business or transaction for which the remaining assets of Paramount Global or Paramount Skydance Corporation, as applicable, constituted unreasonably small capital to carry on its business or (iii) intended to incur, or believed that it would incur, debts beyond its ability to pay such debts as they matured, the court could subordinate or avoid all or part of such guarantee in favor of Paramount Global’s or Paramount Skydance Corporation’s, as applicable, other creditors. To the extent any guarantee was voided as a fraudulent conveyance or held unenforceable for any other reason, the holders of any debt securities guaranteed by Paramount Global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as applicable, could cease to have any claim against Paramount Global or Paramount Skydance Corporation, as applicable, and would be creditors solely of the issuer of the debt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believe that the issuances of the guarantees are not fraudulent conveyances. There can be no assurance, however, that a court passing on such questions would reach the same conclusions. In rendering their opinions on the validity of the senior debt securities and senior subordinated debt securities and, if applicable, the related guarantees, none of our counsel or counsel for any underwriter will express any opinion as to federal or state laws relating to fraudulent transfers.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PS"/>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sets forth certain general terms of preferred stock that Paramount Skydance Corporation may offer. The terms of any series of the preferred stock will be described in the applicable prospectus supplement relating to the preferred stock being offered. The description set forth below and in any prospectus supplement is not complete, and is subject to, and qualified in its entirety by reference to, Paramount Skydance Corporation’s amended and restated certificate of incorporation, amended and restated bylaws and the certificate of designations relating to each particular series of the preferred stock, which was or will be filed with the SEC at or before the issuance of the series of preferred stock. You are urged to read our amended and restated certificate of incorporation and amended and restated bylaws in their entirety. References to “Paramount Skydance Corporation” in this description refer only to Paramount Skydance Corporation and not its consolidated subsidiaries, unless the context requires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Paramount Skydance Corporation’s amended and restated certificate of incorporation, Paramount Skydance Corporation is authorized to issue up to 100,000,000 shares of preferred stock, par value $0.001 per share. The Board of Directors has the authority, without approval of the stockholders, to cause shares of preferred stock to be issued from time to time in one or more series, with the numbers of shares of each series and the designations, powers, preferences and relative, participating, optional, dividend and other special rights of the shares of each such series and the qualifications, limitations, restrictions, conditions and other characteristics thereof as fixed by 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each series of preferred stock, including, where applicable,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liquidation preference and number of shares offered;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price(s);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rate(s), or method of calculation, the dividend periods, the date on which dividends shall be payable and whether dividends are cumulative or noncumulative and, if cumulative, the date(s) from which dividends begin to accumulate;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voting rights;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issued in certificated or book-entry form;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listed on a national securities exchange;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any book-entry procedures;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preferred stock; and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privileges, limitations and restrictions of the preferred stock which are not inconsistent with the provisions of the amended and restated certificate of incorporation.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will be, when issued against payment, fully paid and nonassessable. Holders will have no preemptive rights to subscribe for any additional securities that Paramount Skydance Corporation may issue. Unless otherwise specified in the applicable prospectus supplement, the shares of each series of preferred stock will rank equally with all other outstanding series of preferred stock issued by Paramount Skydance Corporation as to payment of dividends, other than with respect to cumulation of dividends, and as to the distribution of assets upon liquidation, dissolution, or winding up of Paramount Skydance Corporation. Each series of preferred stock will rank senior to the common stock and any other stock of Paramount Skydance Corporation that is expressly made junior to that series of preferred stock. However, the Board of Directors may not cause us to issue any preferred stock, or preferred stock that is convertible into or exchangeable for other securities, that, in the aggregate with all other outstanding shares of preferred stock, could elect a majority of the Board of Directors, unless such issuance has been approved by the holders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outstanding shares of Class A Common Stock, voting separately as a class. The ability of the Board of Directors to provide for the issuance of preferred stock without stockholder approval could have the effect of delaying, deferring or preventing a change in control of Paramount Skydance Corporation or changes in our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Corporation’s rights and the rights of holders of Paramount Skydance Corporation securities, including the holders of preferred stock, to participate in the distribution of assets of any subsidiary of Paramount Skydance Corporation upon its liquidation or recapitalization will be subject to the prior claims of the subsidiary’s creditors and preferred stockholders, except to the extent Paramount Skydance Corporation may itself be a creditor with recognized claims against the subsidiary or a holder of preferred stock of the subsidiary.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holders of shares of the preferred stock will be entitled to receive, as, if and when declared by the Board of Directors or a duly authorized committee of the Board of Directors, out of funds legally available for the payment of dividends, cash dividends at the rate set forth in, or calculated in accordance with the formula set forth in, the prospectus supplement relating to the preferred stock being offered. Dividends on the preferred stock may be cumulative or noncumulative as provided in the applicable prospectus supplement. Dividends on the cumulative preferred stock will accumulate from the date of original issue and will be payable as specified in the applicable prospectus supplement. The applicable prospectus supplement will set forth the applicable dividend period with respect to a dividend payment date. If the Board of Directors or a duly authorized committee of the Board of Directors fails to declare a dividend on any series of noncumulative preferred stock for any dividend period, Paramount Skydance Corporation will have no obligation to pay a dividend for that period, whether or not dividends on that series of noncumulative preferred stock are declared for any future dividend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will be declared or paid or set apart for payment on the preferred stock of any series ranking, as to dividends, equally with or junior to any other series of preferred stock for any period unless dividends have been or are contemporaneously declared and paid or declared and a sum sufficient for the payment of those dividends has been set apart for: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cumulative preferred stock, all dividend periods terminating on or before the date of payment of full cumulative dividends; or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noncumulative preferred stock, the immediately preceding dividend period.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dividends are not paid in full upon any series of preferred stock, and any other preferred stock ranking equally as to dividends with that series of preferred stock, all dividends declared upon shares of that series of preferred stock and any other preferred stock ranking equally as to dividends will be declared pro rata so that the amount of dividends declared per share on that series of preferred stock and any other preferred stock ranking equally as to dividends will in all cases bear to each other the same ratio that accrued dividends per share on the shares of that series of preferred stock and the other preferred stock bear to each other. In the case of noncumulative preferred stock, any accrued dividends described in the immediately preceding paragraph will not include any cumulation in respect of unpaid dividends for prior dividend periods.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the immediately preceding paragraph or the applicable prospectus supplement, unless full dividends on all outstanding shares of any series of preferred stock have been declared and paid, in the case of a series of cumulative preferred stock, for all past dividend periods, or in the case of noncumulative preferred stock, for the immediately preceding dividend period, Paramount Skydance Corporation may not declare dividends or pay or set aside amounts for payment or other distribution on any of its capital stock ranking junior to or equally with that series of preferred stock as to dividends or upon liquidation, other than dividends or distributions paid in shares of, or options, warrants or rights to subscribe for or purchase shares of, the common stock of Paramount Skydance Corporation or other capital stock of Paramount Skydance Corporation ranking junior to that series of preferred stock as to dividends and upon liquidation. Other than in connection with the distribution or trading of any of its capital stock, Paramount Skydance Corporation may not redeem, purchase or otherwise acquire any of its capital stock ranking junior to or equally with that series of preferred stock as to dividends or upon liquidation, for any consideration or any moneys paid to or made available for a sinking fund for the redemption of any shares of any of its capital stock, except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for capital stock of Paramount Skydance Corporation ranking junior to that series of preferred stock as to dividends and upon liquidation.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amount of dividends payable for any period shorter than a full dividend period shall be computed on the basis of twelve 30-day months, a 360-day year and the actual number of days elapsed in any period of less than one month.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upon any voluntary or involuntary liquidation, dissolution or winding up of Paramount Skydance Corporation, the holders of the preferred stock will have preference and priority over the common stock of Paramount Skydance Corporation and any other class of stock of Paramount Skydance Corporation ranking junior to the preferred stock upon liquidation, dissolution or winding up, for payments out of or distributions of the assets of Paramount Skydance Corporation or proceeds from any liquidation, of the amount per share set forth in the applicable prospectus supplement plus all accrued and unpaid dividends, to the date of final distribution to such holders. After any liquidating payment, the holders of preferred stock will not be entitled to any other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in the prospectus supplement relating to a series of preferred stock being offered, Paramount Skydance Corporation may, at its option, at any time or from time to time, redeem that series of preferred stock, in whole or in part, at the redemption prices and on the dates set forth in the applicable prospectus supplement. The Board of Directors or a duly authorized committee of the Board of Directors may fix other terms of redemption, if any, of such series including, without limitation, redemption prices payable in shares of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outstanding shares of a series of preferred stock is to be redeemed, the selection of the shares to be redeemed shall be determined by lot or pro rata as may be determined to be equitable by the Board of Directors or a duly authorized committee of the Board of Directors. From and after the redemption date, unless Paramount Skydance Corporation is in default in providing for the payment of the redemption price, dividends shall cease to accrue on the shares of that series of preferred stock called for redemption and all rights of the holders shall cease, other than the right to receive the redemption price.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described in the applicable prospectus supplement, holders of the preferred stock will have no voting rights except as required by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preferred stock that is convertible or exchangeable will state the terms on which shares of that series are convertible or exchangeable into common stock, another series of preferred stock or debt securities and the terms and conditions, including, without limitation, price and rate of exchange, of such conversion or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CS"/>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common stock of Paramount Skydance Corporation as set forth in its amended and restated certificate of incorporation includes 55,000,000 shares of Class A Common Stock, par value $0.001 per share, and 7,000,000,000 shares of Class B Common Stock, par value $0.001 per share. Paramount Skydance Corporation is registering with the SEC shares of Class B Common Stock, which may be offered by Paramount Skydance Corporation or one or more selling security holders to be identified in a prospectus supplement. References to “Paramount Skydance Corporation” in this description refer only to Paramount Skydance Corporation and not its consolidated subsidiaries, unless the context requires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set forth below and in any prospectus supplement are not complete, and are subject to, and qualified in their entirety by reference to, Paramount Skydance Corporation’s amended and restated certificate of incorporation and amended and restated bylaws and the General Corporation Law of the State of Delaware. You are urged to read our amended and restated certificate of incorporation and amended and restated bylaws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30, 2026, there were 31,500,087 shares of Class A Common Stock outstanding and 1,087,672,971 shares of Class B Common Stock outstanding. The holders of all issued and outstanding shares of Class A Common Stock and Class B Common Stock are entitled to the same rights and powers, except as provided in Paramount Skydance Corporation’s amended and restated certificate of incorporation as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Class A Common Stock are entitled to one vote per share with respect to all matters on which the holders of Paramount Skydance Corporation common stock are entitled to vote and hold 100% of the aggregate voting power of the outstanding Paramount Skydance Corporation common stock. Holders of Class B Common Stock do not have any voting rights, except as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subject to any prior approval by the Specified Reserved Matter Designees (as defined in our amended and restated certificate of incorporation) that is required by our amended and restated certificate of incorporation, all matters to be voted on by the stockholders of Paramount Skydance Corporation must be approved by a majority of the aggregate voting power of the shares of capital stock of Paramount Skydance Corporation having voting power present in person or represented by proxy, except as required by applicable law or the election of directors, for which a plurality of the votes cast shall be sufficient. Additionally, the affirmative vote of a majority of the outstanding shares of Class A Common Stock, voting separately as a class, is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the Board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Corporation’s amended and restated certificate of incorporation provides that, subject to any prior approval by the Specified Reserved Matter Designees that is required by our amended and restated certificate of incorporation, any action required or permitted to be taken by the stockholders of Paramount Skydance Corporation may be effected by the written consent of the holders of outstanding capital stock of Paramount Skydance Corporation having not less than the minimum number of votes that would be necessary to authorize or take such action at a meeting at which all shares entitled to vote thereon were present and voted.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Class A Common Stock and Class B Common Stock share ratably in any cash dividend declared by the Board of Directors, subject to the rights and preferences of any outstanding preferred stock. The Board of Directors may, at its discretion, and subject to any prior approval by the Specified Reserved Matter Designees that is required by our amended and restated certificate of incorporation, declare a dividend of any securities of Paramount Skydance Corporation or of another entity, to the holders of Class A Common Stock and Class B Common Stock in the form of (i) a ratable distribution of identical securities to the holders of Class A Common Stock and Class B Common Stock or (ii) a distribution of one class or series of securities to the holders of Class A Common Stock and another class or series of securities to the holders of Class B Common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securities so distributed (or securities issuable upon the conversion or exchange thereof) do not differ in any respect other than (x) differences in their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voting rights and powers) consistent in all material respects with the differences between Class A Common Stock and Class B Common Stock and (y) differences in their relative voting rights and powers, with the holders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the amended and restated certificate of incorporation of Paramount Skydance Corporation). Notwithstanding the foregoing, the Board of Directors may declare and pay a dividend to the holders of Class B Common Stock, and will not be required to declare and pay a corresponding dividend to the holders of Class A Common Stock, with the prior written consent or approval of the holders of all of the outstanding shares of Class A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Each share of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Class A Common Stock or the Class B Common Stock) of Class B Common Stock (rounded to the nearest whole share). Paramount Skydance Corporation will at all times reserve and keep available out of its authorized but unissued shares of Class B Common Stock, solely for the purpose of effecting the conversion of the shares of Class A Common Stock, as applicable, such number of shares of Class B Common Stock as will from time to time be sufficient to effect the conversion of all then-outstanding shares of Class A Common Stock into shares of Class B Common Stock or will take such corporate action as may be necessary to increase its authorized but unissued shares of Class B Common Stock to such number of shares as will be sufficient for such purpose.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In the event of a liquidation, dissolution or winding-up of Paramount Skydance Corporation, all holders of Paramount Skydance Corporation common stock, regardless of class, are entitled to share ratably in any assets available for distributions to holders of shares of Paramount Skydance Corporation common stock subject to the preferential rights of any outstanding preferred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Restrictions on Stock Ownership and Transfer; Redemption by Paramount Skydance Corporation</w:t>
      </w:r>
      <w:r>
        <w:rPr>
          <w:rFonts w:ascii="Times New Roman;Times;serif" w:hAnsi="Times New Roman;Times;serif"/>
          <w:b w:val="false"/>
          <w:i w:val="false"/>
          <w:caps w:val="false"/>
          <w:smallCaps w:val="false"/>
          <w:color w:val="000000"/>
          <w:spacing w:val="4"/>
          <w:sz w:val="20"/>
        </w:rPr>
        <w:t xml:space="preserve">.   The amended and restated certificate of incorporation of Paramount Skydance Corporation provides that Paramount Skydance Corporation may restrict the ownership and transfer of, or redemption of, shares of its capital stock in order to ensure compliance with, or prevent the applicability of limitations imposed by, the requirements of federal communications laws and regulations applicable to specified types of media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Shares of Class A Common Stock and Class B Common Stock do not entitle a holder to any preemptive rights enabling a holder to subscribe for or receive shares of stock of any class or any other securities convertible into shares of stock of any class of Paramount Skydance Corporation. The Board of Directors possesses the power to issue shares of authorized but unissued Class A Common Stock and Class B Common Stock without further stockholder action, subject to the requirements of applicable law and stock exchanges and such other prior approvals specified in the amended and restated certificate of incorporation of Paramount Skydance Corporation. The number of authorized shares of Class A Common Stock and Class B Common Stock may be increased with the approval of the holders of a majority of the outstanding shares of Class A Common Stock and without any action by the holders of shares of Class B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val="false"/>
          <w:i w:val="false"/>
          <w:caps w:val="false"/>
          <w:smallCaps w:val="false"/>
          <w:color w:val="000000"/>
          <w:spacing w:val="4"/>
          <w:sz w:val="20"/>
        </w:rPr>
        <w:t xml:space="preserve">.   The amended and restated certificate of incorporation of Paramount Skydance Corporation provides that Paramount Skydance Corporation may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will have been approved by the holders of a majority of the outstanding shares of Class A Common Stock, voting separately as a class. Subject to these limitations, the Board of Directors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Board of Directors’ authority described above may adversely affect the rights of the holders of our common stock. For example, preferred stock issued by Paramount Skydance Corporation may rank prior to its common stock as to dividend rights, liquidation preference or both,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full or limited voting rights and may be convertible into shares of Paramount Skydance Corporation’s common stock. Accordingly, the issuance of shares of preferred stock may adversely affect the market price of the Class B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Certain Equity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Board Nominations.   </w:t>
      </w:r>
      <w:r>
        <w:rPr>
          <w:rFonts w:ascii="Times New Roman;Times;serif" w:hAnsi="Times New Roman;Times;serif"/>
          <w:b w:val="false"/>
          <w:i w:val="false"/>
          <w:caps w:val="false"/>
          <w:smallCaps w:val="false"/>
          <w:color w:val="000000"/>
          <w:spacing w:val="4"/>
          <w:sz w:val="20"/>
        </w:rPr>
        <w:t xml:space="preserve">The amended and restated certificate of incorporation of Paramount Skydance Corporation provides that Paramount Skydance Corporation will take all Necessary Action (as defined in the amended and restated certificate of incorporation) to cause the slate of nominees recommended by Paramount Skydance Corporation for election as directors to be consistent with the following: (i) (A) for so long as Ellison (as defined in our amended and restated certificate of incorporation) has an Original Ownership Percentage (as defined in our amended and restated certificate of incorporation) of at least 50%, Ellison will be entitled to nominate five individuals for election to the Board of Directors, and will have the right to designate each of them as either an Ellison Designee (as defined in our amended and restated certificate of incorporation) or a Low-Vote Designee (as defined in our amended and restated certificate of incorporation); (B) for so long as Ellison has an Original Ownership Percentage of at least 25% but less than 50%, Ellison will be entitled to nominate three Low-Vote Designees for election to the Board of Directors; and (C) for so long as Ellison has an Ownership Percentage of at least 5% but an Original Ownership Percentage less than 25%, Ellison will be entitled to nominate two Low-Vote Designees for election to the Board of Directors; and (ii) for so long as RedBird (as defined in our amended and restated certificate of incorporation) has an Original Ownership Percentage of at least 50%, RedBird will be entitled to nominate two RedBird Designees (as defined in our amended and restated certificate of incorporation) for election to the Board of Directors. RedBird will maintain the right to nominate one RedBird Designee for election to the Board of Directors for so long as it has an Ownership Percentage of at least 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RedBird’s right to nominate one or more individuals for election to the Board of Directors, along with the right to remove, replace or otherwise designate any director of the Board of Directors, is personal to RedBird and may not be assigned or delegated to any person (by contract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certificate of incorporation of Paramount Skydance Corporation provides that until the first date on which Ellison is no longer entitled to nominate for election to the Board of Directors any Ellison Designee or Low-Vote Designee, Ellison will have the right to designate the chairperson of the Board of Directors (the “Chair”). The Chair is initially David Ellison. Our amended and restated certificate of incorporation provides that David Ellison will serve an initial term as Chair until the earlier of (i) two years following the consummation of the Transactions (as defined in our amended and restated certificate of incorporation) and (ii) his death, resignation or incapacitation. Any vacancy in the Chair will be filled by Ellison; provided that if the designation for Chair is neither David Ellison nor Lawrence Ellison, the filling of any such vacancy will also require the approval of at least one RedBird Designee for so long as RedBird has an Original Ownership Percentage of at least 50%. In the event that David Ellison no longer serves as our chief executive officer, then we will cause our then-serving chief executive officer to be nominated for election to the Board of Directors. We will cause the nomination of our president for election to the Board of Directors. We will cause the nomination of up to three independent directors based on the recommendation of our nominating and corporate governance committee to the extent required by stock exchanges and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Board Voting.   </w:t>
      </w:r>
      <w:r>
        <w:rPr>
          <w:rFonts w:ascii="Times New Roman;Times;serif" w:hAnsi="Times New Roman;Times;serif"/>
          <w:b w:val="false"/>
          <w:i w:val="false"/>
          <w:caps w:val="false"/>
          <w:smallCaps w:val="false"/>
          <w:color w:val="000000"/>
          <w:spacing w:val="4"/>
          <w:sz w:val="20"/>
        </w:rPr>
        <w:t xml:space="preserve">Except as otherwise provided in the amended and restated certificate of incorporation and bylaws of Paramount Skydance Corporation or as required by applicable law or the requirements of any national stock exchange, any action of the Board of Directors (or any committee thereof) requires approval by the affirmative vote of directors holding a majority of the voting power of the directors (or a majority of the voting power of the directors on such committee, as applicable) at a meeting at which a quorum is present. The amended and restated certificate of incorporation provides that each director (except for the Ellison Designees, but including any Low-Vote Designee) is entitled to one vote; provided that, for so long as Ellison holds an Original Ownership Percentage of at least 50%, each Ellison Designee (which will not include any Low-Vote Designee) will have a number of votes on any matter presented to the Board of Directors (or any committee thereof) equal to one more than the total number of directors on the Board of Directors or committee thereof, as applicable. If Ellison ceases to have an Original Ownership Percentage of at least 50%, then each Ellison Designee will be entitled to one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Specified Reserved Matters.   </w:t>
      </w:r>
      <w:r>
        <w:rPr>
          <w:rFonts w:ascii="Times New Roman;Times;serif" w:hAnsi="Times New Roman;Times;serif"/>
          <w:b w:val="false"/>
          <w:i w:val="false"/>
          <w:caps w:val="false"/>
          <w:smallCaps w:val="false"/>
          <w:color w:val="000000"/>
          <w:spacing w:val="4"/>
          <w:sz w:val="20"/>
        </w:rPr>
        <w:t>In addition to any other approval of our stockholders or our Board of Directors required by our amended and restated certificate of incorporation, our amended and restated bylaws or applicable law, until the first date on which none of the Specified Stockholders (as defined in our amended and restated certificate of incorporation) have the right to nominate two or more Specified Stockholder Designees (as defined in our amended and restated certificate of incorporation) for election to our Board of Directors, the prior approval (by vote or written consent) of the Specified Reserved Matter Designees (as applicable) will be required for us to, either directly or indirectly by merger, consolidation, division, operation of law, or otherwise, take any of the following actions: (a) issue any shares of our common stock (subject to certain exceptions described in our amended and restated certificate of incorporation, including any issuance of shares of our common stock which, in the aggregate, represent less than 5% of the then-outstanding shares of our common stock for a bona fide capital raising purpose in any 90-day period); (b) incur, assume or guarantee (subject to certain exceptions described in our amended and restated certificate of incorporation) any indebtedness for borrowed money that would cause our Pro Forma Leverage Ratio (as defined in our then-effective credit agreement or, if not defined therein, as set forth in our amended and restated certificate of incorporation) to be greater than 4-to-1; (c) enter into a binding agreement contemplating, or otherwise consummating, a Change of Control Event (as defined in our amended and restated certificate of incorporation); (d) make a contribution to certain joint ventures of assets that generated more than 20% of our Consolidated EBITDA (as defined in our then-effective credit agreement or, if not defined therein, as set forth in our amended and restated certificate of incorporation) over the 12</w:t>
        <w:noBreakHyphen/>
        <w:t xml:space="preserve">month period ended as of the final day of our most recently completed fiscal quarter for which financial statements are available; or (e) make certain acquisitions, dispositions and investments, in each case, having a value or for a purchase price (inclusive of any debt and debt-like items paid off or assumed by the acquirer in such a transaction), in excess of $250 million.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in addition to any other approval of our stockholders or our Board of Directors required by our amended and restated certificate of incorporation, our amended and restated bylaws or applicable law, until the first date on which none of the Specified Stockholders have an Original Ownership Percentage of 20% or more, the prior approval (by vote or written consent) of the Specified Other Reserved Matter Designees (as defined in our amended and restated certificate of incorporation) will be required for us to, either directly or indirectly by merger, consolidation, division, operation of law, or otherwise, take any of the following actions: (a) implement any amendments to our amended and restated certificate of incorporation that would adversely affect the rights (economic or otherwise) of a Specified Stockholder under our amended and restated certificate of incorporation in a manner that is disproportionate as compared to the effect on the other Specified Stockholders or other holders of our common stock, as applicable; (b) other than in accordance with our amended and restated certificate of incorporation or our amended and restated bylaws, (i) purchase, redeem, acquire or repurchase any shares of our common stock or other equity interests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of our securities or of any other corporation, limited liability company, partnership, joint venture, trust or other legal entity (other than distributions or dividends made pro rata to all holders of the applicable securities and other than any dividends or distributions between us and any of our wholly-owned subsidiaries); or (c) subject to certain exceptions described in our amended and restated certificate of incorporation, enter into any Related Party Transaction (as defined in our amended and restated certificate of incorporation) with a value or consideration in excess of $25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of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our amended and restated certificate of incorporation and amended and restated bylaws, in addition to those relating to the voting rights of our Class A Common Stock and the exclusive right of the Specified Stockholders (as defined in the amended and restated certificate of incorporation) to remove their respective director designees, may have the effect of delaying, deferring or preventing a change in control of Paramount Skydance Corporation or changes in our management. These include provisions that: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our Board of Directors to provide for the issuance, without stockholder approval, of up to 100,000,000 shares of preferred stock with rights fixed by the Board of Directors (subject to certain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set forth in our amended and restated certificate of incorporation), which rights could be senior to those of the common stock;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each director will be entitled to one vote; provided that, for so long as Ellison holds an Original Ownership Percentage of at least 50%, each Ellison Designee (which will not include any Low-Vote Designee), will have a number of votes on any matter presented to the Board of Directors or any committee thereof equal to one more than the total number of directors of the Board of Directors or committee thereof, as applicable (each term as defined in our amended and restated certificate of incorporation);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any special rights of the holders of any series of preferred stock, a special meeting of stockholders may be called only by or at the direction of (i) the Board of Directors, (ii) the Chair, (iii) the chief executive officer of Paramount Skydance Corporation, or (iv) any holder of at least 25% of the aggregate voting power of all outstanding shares of the capital stock of Paramount Skydance Corporation; and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advance notice procedures for stockholders to make nominations of candidates for election as directors or to present any other proposal to be acted upon at any annual or special meeting of stockholders.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elected in our amended and restated certificate of incorporation not to be subject to Section 203 of the General Corporation Law of the State of Delaware (the “Delaware General Corporation Law”). Subject to specified exemptions, Section 203 of the Delaware General Corporation Law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our election in our amended and restated certificate of incorporation to not be subject to Section 203 of the Delaware General Corporation Law, such restrictions on business combinations under Section 203 of the Delaware General Corporation Law are not applicable to Paramount Skydance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 Corporate Opportunities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General Corporation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certain of our officers, directors or stockholders or their respective affiliates, other than with respect to any business opportunity that is expressly offered to an exempted person solely in his or her capacity as member of our Board of Directors. Our amended and restated certificate of incorporation provides that, to the fullest extent permitted by law, none of Ellison, RedBird (each, as defined in our amended and restated certificate of incorporation) or any other investor that entered into subscription agreements, dated July 7, 2024, with Paramount Skydance Corporation and Paramount Global, or their respective affiliates, or any of their respective directors, principals, officers, employees, members, equityholders, and/or other representatives, including any of the foregoing who serve as our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we or any of our controlled affiliates, directly or indirectly, could have an interest or expectancy, (ii) otherwise competing with us or any of our controlled affiliates, (iii) otherwise doing business or transacting with any potential or actual customer, supplier or other business relation ours or any of our controlled affiliates or (iv) otherwise employing or engaging any officer, employee or other service provider of ours or any of our controlled affiliates’ officers, employees or other service providers. In addition, to the fullest extent permitted by law, in the event that any exempted person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themselves or offer it to another person or entity. No exempted person will be liable to us for breach of any fiduciary or other duty, as a director or officer or otherwise, by reason of the fact that such person engaged in any such activities. Our amended and restated certificate of incorporation will not renounce our interest in any business opportunity that is expressly offered to an exempted person solely in his or her capacity as our director or officer. To the fullest extent permitted by law, no business opportunity will be deemed to be a potential corporate opportunity for us if (1) we (together with our controlled affiliates) are not financially or legally able or contractually permitted to undertake it, (2) from its nature, the opportunity is not in our line of business or is of no practical advantage to us or (3) we have no interest or reasonable expectancy in such business opportunity. Neither the exempted persons nor any of their representatives have any duty to refrain from engaging directly or indirectly in the same or similar business activities or lines of business as us or any of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Forum Provision of our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unless our Board of Directors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 (a) any derivative action or proceeding brought on our behalf; (b) any action asserting a claim of breach of a fiduciary duty owed by any of our directors, officers, employees, agents or stockholders to us or to our stockholders; (c)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the federal district courts of the United States of America will be the exclusive forum for the resolution of any complaint asserting a cause or causes of action arising under the Securities Act. Such provision is intended to benefit and may be enforced by us and our officers and directors, employees and agents. Our amended and restated certificate of incorporation provides that, to the fullest extent permitted by law, any person or entity purchasing or otherwise acquiring or holding any interest in our shares of capital stock will be deemed to have notice of and consented to the foregoing. Nothing in our amended and restated certificate of incorporation precludes stockholders that assert claims under the Exchange Act from bringing such claims in state or federal court, subject to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W"/>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sets forth certain general terms of warrants that Paramount Skydance Corporation may offer. Paramount Skydance Corporation may issue warrants for the purchase of its debt securities or shares of preferred stock or Class B Common Stock. The warrants may be co-issued by Paramount Global when the securities with respect to which the warrants are issued will be guaranteed by Paramount Global. Warrants may be issued independently or together with any debt securities or shares of preferred stock or Class B Common Stock offered by any prospectus supplement and may be attached to or separate from such debt securities or shares of preferred stock or Class B Common Stock. The warrants are to be issued under warrant agreements to be entered into among Paramount Skydance Corporation or Paramount Global as co-issuer, as applicable, and a bank or trust company, as warrant agent, to be named in the prospectus supplement relating to the particular issue of warrants. The warrant agent will act solely as an agent of Paramount Skydance Corporation in connection with the warrants and will not assume any obligation or relationship of agency or trust for or with any holders of warrants or beneficial owners of warrants. The description set forth below and in any prospectus supplement is not complete and is subject to, and qualified in its entirety by reference to, any warrant agreement pursuant to which warrants may be issued. References to “Paramount Skydance Corporation” in this description refer only to Paramount Skydance Corporation and not its consolidated subsidiaries, unless the context requires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warrants are offered, the prospectus supplement will describe the terms of the warrants,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warrants are co-issued or guaranteed by Paramount Global;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unit(s) for which warrants may be purchased;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securities purchasable upon exercise of the warrants may be purchased;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warrants that may be exercised at any time;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currency unit(s) and terms of debt securities which may be purchased upon such exercise;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number of shares and terms, as applicable, of the preferred stock or Class B Common Stock purchasable upon exercise of the stock warrants and the price at which the shares of preferred stock or Class B Common Stock may be purchased upon such exercise;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debt securities or preferred stock with which the warrants are issued and the number of warrants issued with each debt security or share of preferred stock;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debt securities, preferred stock or Class B Common Stock will be separately transferable;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registered or bearer form;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warrants; and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exchanged for new warrants of different denominations. If in registered form, the warrants may be presented for registration of transfer. The warrants may be exercised at the corporate trust office of the warrant agent or any other office indicated in the prospectus supplement. Before the exercise of their warrants, holders of warrants will not have any of the rights of holders of the various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purchasable upon the exercise of such warrants, including the right to receive payments of principal of, any premium on, or any interest on debt securities purchasable upon the exercise or to enforce the covenants in the applicable indenture or to exercise any rights as stockholders of Paramount Skydance Corporation, as described below under “— </w:t>
      </w:r>
      <w:r>
        <w:rPr>
          <w:rFonts w:ascii="Times New Roman;Times;serif" w:hAnsi="Times New Roman;Times;serif"/>
          <w:b w:val="false"/>
          <w:i/>
          <w:caps w:val="false"/>
          <w:smallCaps w:val="false"/>
          <w:color w:val="000000"/>
          <w:spacing w:val="4"/>
          <w:sz w:val="20"/>
        </w:rPr>
        <w:t>No Rights as Stockholders</w:t>
      </w:r>
      <w:r>
        <w:rPr>
          <w:rFonts w:ascii="Times New Roman;Times;serif" w:hAnsi="Times New Roman;Times;serif"/>
          <w:b w:val="false"/>
          <w:i w:val="false"/>
          <w:caps w:val="false"/>
          <w:smallCaps w:val="false"/>
          <w:color w:val="000000"/>
          <w:spacing w:val="4"/>
          <w:sz w:val="20"/>
        </w:rPr>
        <w:t xml:space="preserve">.” If Paramount Skydance Corporation maintains the ability to reduce the exercise price of any stock warrant and the right is triggered, it will comply with federal securities laws, including Rule 13e-4 under the Exchange Act, to the extent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a principal amount of debt securities or a number of shares of preferred stock or Class B Common Stock at the exercise price as will in each case be set forth in, or calculable from, the prospectus supplement relating to the warrant. Warrants may be exercised at the times that are set forth in the prospectus supplement relating to the warrants. After the close of business on the date on which the warrant expires, or any later date to which Paramount Skydance Corporation may extend the expiration date, unexercised warrants will become void.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restrictions and additional requirements that may be set forth in the prospectus supplement relating thereto, warrants may be exercised by delivery to the warrant agent of the certificate evidencing the warrants properly completed and duly executed and of payment as provided in the prospectus supplement of the amount required to purchase the debt securities or shares of preferred stock or Class B Common Stock purchasable upon the exercise. The exercise price will be the price applicable on the date of payment in full, as set forth in the prospectus supplement relating to the warrants. Upon receipt of the payment and the certificate representing the warrants to be exercised, properly completed and duly executed at the corporate trust office of the warrant agent or any other office indicated in the prospectus supplement, Paramount Skydance Corporation will, as soon as reasonably practicable, issue and deliver the debt securities or shares of preferred stock or Class B Common Stock purchasable upon the exercise and, if applicable, Paramount Skydance Corporation or Paramount Global, as applicable, will issue guarantees relating to those securities. If fewer than all of the warrants represented by a certificate are exercised, a new certificate will be issued for the remaining amount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and the number of shares of preferred stock or Class B Common Stock purchasable upon the exercise of each stock warrant will be subject to adjustment in specific events, including the issuance of a stock dividend to holders of preferred stock or Class B Common Stock, or a combination, subdivision or reclassification of preferred stock or Class B Common Stock, in each case as applicable. In lieu of adjusting the number of shares of preferred stock or Class B Common Stock purchasable upon exercise of each stock warrant, Paramount Skydance Corporation may elect to adjust the number of stock warrants. Paramount Skydance Corporation may, at its option, reduce the exercise price at any time. No fractional shares will be issued upon exercise of stock warrants, but Paramount Skydance Corporation will pay the cash value of any fractional shares otherwise issuable. The treatment of warrants in connection with any consolidation, merger, or sale or conveyance of the property of Paramount Skydance Corporation as an may be set forth in the prospectus supplement relating to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Rights as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may be set forth in the prospectus supplement relating thereto, holders of stock warrants will not be entitled, by virtue of being the holders, to vote, to consent, to receive dividends, to receive notice as stockholders with respect to any meeting of stockholders for the election of the directors or any other matter, or to exercise any rights whatsoever as its stockholders, with respect to either Paramount Skydance Corporation or Paramount Global.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to be identified in a prospectus supplement, may offer and sell the securities in any of three ways (or in any combination): (a) through underwriters or dealers; (b) directly to a limited number of purchasers or to a single purchaser; or (c) through agents. The prospectus supplement will set forth the terms of the offering of such securities, including but not limited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dealers or agents and the amounts of securities underwritten or purchased by each of them;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securities and the proceeds to us or the selling security holders, as the case may be, and any discounts, commissions or concessions allowed or reallowed or paid to dealers; and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offering price and any discounts or concessions allowed or reallowed or paid to dealers may be changed from time to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may sell the securities through agents from time to time. The prospectus supplement will name any agent involved in the offer or sale of the securities and any commissions we or one or more selling security holders pay to them. Generally, any agent will be acting on a best efforts basis for the period of its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may authorize underwriters, dealers or agents to solicit offers by certain purchasers to purchase the securities from Paramount Skydance Corporation or one or more selling security holders, as the case may be,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one or more selling security holders, as the case may be, pay for soliciting these contracts.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of the securities owned by them and, if a selling security holder defaults in the performance of its secured obligations, the pledgees or secured parties may offer and sell such securities, as applicable, from time to time, under a prospectus supplement. The selling security holders also may transfer our securities in other circumstances, in which case the transferees, pledgees or other successors-in-interest will be the selling beneficial owners for purposes of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agents and underwriters may be entitled to indemnification by us and/or any selling security holders against certain civil liabilities, including liabilities under the Securities Act, or to contribution with respect to payments which the dealers, agents or underwriters may be required to make in respect thereof. Dealers, agents and underwriters may be customers of, engage in transactions with, or perform services for us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LEMA"/>
      <w:bookmarkEnd w:id="17"/>
      <w:r>
        <w:rPr>
          <w:rFonts w:ascii="calibri;arial;sans-serif" w:hAnsi="calibri;arial;sans-serif"/>
          <w:b w:val="false"/>
          <w:i w:val="false"/>
          <w:caps w:val="false"/>
          <w:smallCaps w:val="false"/>
          <w:color w:val="000000"/>
          <w:sz w:val="16"/>
        </w:rPr>
        <w:t>​</w:t>
      </w:r>
      <w:bookmarkStart w:id="18" w:name="t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hereby will be passed upon for us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Paramount Skydance Corporation (Successor) as of December 31, 2025 and for the period from August 7, 2025 to December 31, 2025 and management’s assessment of the effectiveness of internal control over financial reporting of Paramount Skydance Corporation as of December 31, 2025 (which is included in Management’s Report on Internal Control over Financial Reporting) and the financial statements of Paramount Global (Predecessor) as of December 31, 2024 and for the periods from January 1, 2025 to August 6, 2025 and for each of the two years in the period ended December 31, 2024 incorporated in this prospectus by reference to our </w:t>
      </w:r>
      <w:hyperlink r:id="rId25">
        <w:r>
          <w:rPr>
            <w:rStyle w:val="InternetLink"/>
          </w:rPr>
          <w:t>Current Report on Form 8-K filed with the SEC on May 13,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Warner Bros. Discovery, Inc. and management’s assessment of the effectiveness of internal control over financial reporting (which is included in Management’s Report on Internal Control over Financial Reporting) incorporated in this prospectus by reference to </w:t>
      </w:r>
      <w:hyperlink r:id="rId26">
        <w:r>
          <w:rPr>
            <w:rStyle w:val="InternetLink"/>
          </w:rPr>
          <w:t xml:space="preserve">the </w:t>
        </w:r>
      </w:hyperlink>
      <w:hyperlink r:id="rId27">
        <w:r>
          <w:rPr>
            <w:rStyle w:val="InternetLink"/>
          </w:rPr>
          <w:t>Annual Report on Form 10-K for the fiscal year ended December 31, 2025, filed with the SEC on February 27,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Skydance Media, LLC as of December 31, 2024 and 2023, and for each of the three years in the period ended December 31, 2024 incorporated in this prospectus by reference to </w:t>
      </w:r>
      <w:hyperlink r:id="rId28">
        <w:r>
          <w:rPr>
            <w:rStyle w:val="InternetLink"/>
          </w:rPr>
          <w:t xml:space="preserve">Amendment No. 1 filed </w:t>
        </w:r>
      </w:hyperlink>
      <w:hyperlink r:id="rId29">
        <w:r>
          <w:rPr>
            <w:rStyle w:val="InternetLink"/>
          </w:rPr>
          <w:t xml:space="preserve">with the SEC </w:t>
        </w:r>
      </w:hyperlink>
      <w:hyperlink r:id="rId30">
        <w:r>
          <w:rPr>
            <w:rStyle w:val="InternetLink"/>
          </w:rPr>
          <w:t>on October 23, 2025</w:t>
        </w:r>
      </w:hyperlink>
      <w:r>
        <w:rPr>
          <w:rFonts w:ascii="Times New Roman;Times;serif" w:hAnsi="Times New Roman;Times;serif"/>
          <w:b w:val="false"/>
          <w:i w:val="false"/>
          <w:caps w:val="false"/>
          <w:smallCaps w:val="false"/>
          <w:color w:val="000000"/>
          <w:spacing w:val="4"/>
          <w:sz w:val="20"/>
        </w:rPr>
        <w:t xml:space="preserve">, to the </w:t>
      </w:r>
      <w:hyperlink r:id="rId31">
        <w:r>
          <w:rPr>
            <w:rStyle w:val="InternetLink"/>
          </w:rPr>
          <w:t>Current Report of Paramount Skydance Corporation on Form 8-K12B</w:t>
        </w:r>
      </w:hyperlink>
      <w:hyperlink r:id="rId32">
        <w:r>
          <w:rPr>
            <w:rStyle w:val="InternetLink"/>
          </w:rPr>
          <w:t xml:space="preserve"> filed </w:t>
        </w:r>
      </w:hyperlink>
      <w:hyperlink r:id="rId33">
        <w:r>
          <w:rPr>
            <w:rStyle w:val="InternetLink"/>
          </w:rPr>
          <w:t xml:space="preserve">with the SEC </w:t>
        </w:r>
      </w:hyperlink>
      <w:hyperlink r:id="rId34">
        <w:r>
          <w:rPr>
            <w:rStyle w:val="InternetLink"/>
          </w:rPr>
          <w:t>on August 7, 2025</w:t>
        </w:r>
      </w:hyperlink>
      <w:r>
        <w:rPr>
          <w:rFonts w:ascii="Times New Roman;Times;serif" w:hAnsi="Times New Roman;Times;serif"/>
          <w:b w:val="false"/>
          <w:i w:val="false"/>
          <w:caps w:val="false"/>
          <w:smallCaps w:val="false"/>
          <w:color w:val="000000"/>
          <w:spacing w:val="4"/>
          <w:sz w:val="20"/>
        </w:rPr>
        <w:t>, have been audited by Ernst &amp; Young LLP, independent auditor, as set forth in their report appearing in such financial statements, and are included in reliance upon such report given 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costs and expenses payable by Paramount Skydance Corporation in connection with the sale of the securities being registered hereby. All amounts are estimates except the registration fee. </w:t>
      </w:r>
    </w:p>
    <w:tbl>
      <w:tblPr>
        <w:tblW w:w="5192" w:type="dxa"/>
        <w:jc w:val="left"/>
        <w:tblInd w:w="1393" w:type="dxa"/>
        <w:tblLayout w:type="fixed"/>
        <w:tblCellMar>
          <w:top w:w="0" w:type="dxa"/>
          <w:left w:w="0" w:type="dxa"/>
          <w:bottom w:w="28" w:type="dxa"/>
          <w:right w:w="0" w:type="dxa"/>
        </w:tblCellMar>
      </w:tblPr>
      <w:tblGrid>
        <w:gridCol w:w="3130"/>
        <w:gridCol w:w="109"/>
        <w:gridCol w:w="109"/>
        <w:gridCol w:w="109"/>
        <w:gridCol w:w="226"/>
        <w:gridCol w:w="124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Amounts </w:t>
            </w:r>
            <w:r>
              <w:rPr/>
              <w:br/>
            </w:r>
            <w:r>
              <w:rPr>
                <w:spacing w:val="-3"/>
              </w:rPr>
              <w:t xml:space="preserve">to be 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Blue Sky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Printing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Trustee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Rating agency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46" w:type="dxa"/>
            <w:tcBorders>
              <w:bottom w:val="single" w:sz="2" w:space="0" w:color="000000"/>
            </w:tcBorders>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4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deferred pursuant to Rule 456(b) and calculated in connection with an offering of securities under this registration statement pursuant to Rule 457(r) under the Securities Act of 1933, as amended. </w:t>
      </w:r>
      <w:r>
        <mc:AlternateContent>
          <mc:Choice Requires="wps">
            <w:drawing>
              <wp:anchor behindDoc="0" distT="9906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expenses not presently known. </w:t>
      </w:r>
      <w:r>
        <mc:AlternateContent>
          <mc:Choice Requires="wps">
            <w:drawing>
              <wp:anchor behindDoc="0" distT="4826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are incorporated in the State of Delaware.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Delaware General Corporation Law</w:t>
      </w:r>
      <w:r>
        <w:rPr>
          <w:rFonts w:ascii="Times New Roman;Times;serif" w:hAnsi="Times New Roman;Times;serif"/>
          <w:b w:val="false"/>
          <w:i w:val="false"/>
          <w:caps w:val="false"/>
          <w:smallCaps w:val="false"/>
          <w:color w:val="000000"/>
          <w:spacing w:val="4"/>
          <w:sz w:val="20"/>
        </w:rPr>
        <w:t xml:space="preserve">.   Section 145(a) of the General Corporation Law of the State of Delaware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145(d) of the Delaware General Corporation Law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Delaware General Corporation Law allows a corporation to include in its certificate of incorporation a provision eliminating or limiting the personal liability of a director or officer to the corporation or its stockholders for monetary damages for breach of fiduciary duty as a director or officer, except in cases where the director or officer breached his or her duty of loyalty to the corporation or its stockholders, the director’s or officer’s act or omission was not in good faith or which involved intentional misconduct or a knowing violation of the law, the director willfully or negligently authorized the unlawful payment of a dividend or approved an unlawful stock redemption or repurchase, or where the director or officer obtained an improper personal benefit, or, in the case of an officer, in any action by or in the right of the corporation. Paramount Skydance Corporation’s and Paramount Global’s respective amended and restated certificates of incorporation contain provisions that eliminate directors’ and officers’ personal liability in certain circumstances, including the instances described above.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Amended and Restated Certificate of Incorporation and Amended and Restated Bylaws</w:t>
      </w:r>
      <w:r>
        <w:rPr>
          <w:rFonts w:ascii="Times New Roman;Times;serif" w:hAnsi="Times New Roman;Times;serif"/>
          <w:b w:val="false"/>
          <w:i w:val="false"/>
          <w:caps w:val="false"/>
          <w:smallCaps w:val="false"/>
          <w:color w:val="000000"/>
          <w:spacing w:val="4"/>
          <w:sz w:val="20"/>
        </w:rPr>
        <w:t xml:space="preserve">.   Paramount Skydance Corporation’s and Paramount Global’s respective amended and restated certificate of incorporation and amended and restated bylaws provide that Paramount Skydance Corporation and Paramount Global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respectively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Paramount Skydance Corporation or Paramount Global, as applicable, or is or was serving at the request of Paramount Skydance Corporation or Paramount Global, as applicable, as a director, officer (including, without limitation, a trustee) employee or agent of another corporation, limited liability company, partnership, joint venture, trust or other enterprise, to the fullest extent authorized by the Delaware General Corporation Law, as the same exists or may hereafter be amended, against judgments, fines, amounts paid in settlement and expenses (including attorneys’ fees), actually and reasonably incurred by him or her in connection with such action, suit or proceeding. Notwithstanding the foregoing, except with respect to proceedings to enforce rights to indemnification and advancement of expenses, Paramount Skydance Corporation and Paramount Global shall respectively indemnify an indemnitee in connection with a proceeding (or part thereof) initiated by the indemnitee, if and only if the respective board of directors authorized the bringing of the action, suit or proceeding (or part thereof) in advance of the commencement of the proceeding.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Corporation’s and Paramount Global’s respective amended and restated certificate of incorporation and amended and restated bylaws provide that, to the extent that a director, officer or employee of Paramount Skydance Corporation or Paramount Global, as applicable,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Indemnification Agreements</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the indemnification provisions of the amended and restated certificate of incorporation and the amended and restated bylaws of Paramount Skydance Corporation and Paramount Global, as applicable,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Paramount Skydance Corporation and Paramount Global are authorized to enter into an agreement with any director, officer or employee of Paramount Skydance Corporation or Paramount Global, respectively,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Paramount Skydance Corporation or Paramount Global, respectively, that arises by reason of the fact that such person is or was a director, officer or employee of Paramount Skydance Corporation or Paramount Global, as applicable, or is or was serving at the request of Paramount Skydance Corporation or Paramount Global, as applicable, as a director, officer or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Pursuant to the foregoing authorization, Paramount Skydance Corporation has entered into indemnification agreements with each of its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Liability Insurance</w:t>
      </w:r>
      <w:r>
        <w:rPr>
          <w:rFonts w:ascii="Times New Roman;Times;serif" w:hAnsi="Times New Roman;Times;serif"/>
          <w:b w:val="false"/>
          <w:i w:val="false"/>
          <w:caps w:val="false"/>
          <w:smallCaps w:val="false"/>
          <w:color w:val="000000"/>
          <w:spacing w:val="4"/>
          <w:sz w:val="20"/>
        </w:rPr>
        <w:t xml:space="preserve">.   Paramount Skydance Corporation and Paramount Global may purchase and maintain insurance on behalf of any person who is or was a director, officer or employee of Paramount Skydance Corporation or Paramount Global, as applicable, or is or was serving at the request of Paramount Skydance Corporation or Paramount Global, as applicable, as a director, officer or employee of another corporation, limited liability company, partnership, joint venture, trust or other enterprise against any liability asserted against him or her and incurred by him or her in any such capacity, or arising out of his or her status as such, whether or not Paramount Skydance Corporation and Paramount Global would respectively have the power to indemnify him or her against such liability under the provisions of the respective Paramount Skydance Corporation and Paramount Global amended and restated certificate of incorporation or the amended and restated bylaws. Paramount Skydance Corporation and Paramount Global have purchased certain liability insurance for their respective officers and directors as permitted by Section 145(g) of the Delaware General Corporation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statements are subject to the detailed provisions of Sections 145 and 102 of the Delaware General Corporation Law and Paramount Skydance Corporation’s and Paramount Global’s respective amended and restated certificate of incorporation and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Exhibit Index.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undersigned registrants hereby undertakes: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as applicable, in the effective registration statement;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(1)(i), (1)(ii) and (1)(iii) above do not apply if the information required to be included in a post-effective amendment by those paragraphs is contained in reports filed with or furnished to the Commission by the applicable registrants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each prospectus filed by the applicable registrants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applicable registrants under the Securities Act of 1933 to any purchaser in the initial distribution of the securities, each of the undersigned registrants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such undersigned registrant relating to the offering required to be filed pursuant to Rule 424;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such undersigned registrant or used or referred to by such undersigned registrant;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such undersigned registrant or its securities provided by or on behalf of the undersigned registrant;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such undersigned registrant to the purchaser.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undersigned registrants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registrants pursuant to the provisions set forth in response to Item 15, or otherwise, each of the registrants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registrants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51"/>
        <w:gridCol w:w="109"/>
        <w:gridCol w:w="109"/>
        <w:gridCol w:w="746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51" w:type="dxa"/>
            <w:tcBorders>
              <w:bottom w:val="single" w:sz="2" w:space="0" w:color="000000"/>
            </w:tcBorders>
            <w:tcMar>
              <w:bottom w:w="43" w:type="dxa"/>
            </w:tcMar>
            <w:vAlign w:val="center"/>
          </w:tcPr>
          <w:p>
            <w:pPr>
              <w:pStyle w:val="TableContents"/>
              <w:bidi w:val="0"/>
              <w:spacing w:before="0" w:after="0"/>
              <w:jc w:val="center"/>
              <w:rPr/>
            </w:pPr>
            <w:r>
              <w:rPr>
                <w:spacing w:val="-3"/>
              </w:rPr>
              <w:t>Exhibit </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6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r:id="rId35">
              <w:r>
                <w:rPr>
                  <w:rStyle w:val="InternetLink"/>
                </w:rPr>
                <w:t>Amended and Restated Certificate of Incorporation of Paramount Skydance Corporation, effective August 7, 2025 (incorporated by reference to Exhibit 3.1 to the Current Report on Form 8-K12B of Paramount Skydance Corporation filed August 7,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r:id="rId36">
              <w:r>
                <w:rPr>
                  <w:rStyle w:val="InternetLink"/>
                </w:rPr>
                <w:t xml:space="preserve">Certificate of Amendment to the Amended and Restated Certificate of Incorporation of Paramount Skydance Corporation (incorporated by reference to Exhibit 3.1 to the Current Report on Form 8-K of Paramount Skydance Corporation filed April 7, 2026).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r:id="rId37">
              <w:r>
                <w:rPr>
                  <w:rStyle w:val="InternetLink"/>
                </w:rPr>
                <w:t>Amended and Restated Bylaws of Paramount Skydance Corporation, effective August 7, 2025 (incorporated by reference to Exhibit 3.2 to the Current Report on Form 8-K12B of Paramount Skydance Corporation filed August 7,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w:anchor="tm2621331d2_ex4-1.htm">
              <w:r>
                <w:rPr>
                  <w:rStyle w:val="InternetLink"/>
                  <w:spacing w:val="4"/>
                </w:rPr>
                <w:t>Form of Indenture, between Paramount Skydance Corporation, as issuer, and Deutsche Bank Trust Company Americas, as trustee.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283"/>
              <w:jc w:val="left"/>
              <w:rPr>
                <w:spacing w:val="4"/>
              </w:rPr>
            </w:pPr>
            <w:r>
              <w:rPr>
                <w:spacing w:val="4"/>
              </w:rPr>
              <w:t xml:space="preserve">Form of Note.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283"/>
              <w:jc w:val="left"/>
              <w:rPr>
                <w:spacing w:val="4"/>
              </w:rPr>
            </w:pPr>
            <w:r>
              <w:rPr>
                <w:spacing w:val="4"/>
              </w:rPr>
              <w:t xml:space="preserve">Form of Warrant.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283"/>
              <w:jc w:val="left"/>
              <w:rPr>
                <w:spacing w:val="4"/>
              </w:rPr>
            </w:pPr>
            <w:r>
              <w:rPr>
                <w:spacing w:val="4"/>
              </w:rPr>
              <w:t xml:space="preserve">Form of Warrant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m2621331d2_ex5-1.htm">
              <w:r>
                <w:rPr>
                  <w:rStyle w:val="InternetLink"/>
                  <w:spacing w:val="4"/>
                </w:rPr>
                <w:t>Opinion of Latham &amp; Watkins LLP as to the validity of the securities being registered.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w:anchor="tm2621331d2_ex23-1.htm">
              <w:r>
                <w:rPr>
                  <w:rStyle w:val="InternetLink"/>
                  <w:spacing w:val="4"/>
                </w:rPr>
                <w:t>Consents of PricewaterhouseCoopers LLP, independent registered public accounting firm for Paramount Skydance Corporation (Successor) and Paramount Global (Predecessor).</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both"/>
              <w:rPr/>
            </w:pPr>
            <w:hyperlink w:anchor="tm2621331d2_ex23-2.htm">
              <w:r>
                <w:rPr>
                  <w:rStyle w:val="InternetLink"/>
                  <w:spacing w:val="4"/>
                </w:rPr>
                <w:t>Consent of PricewaterhouseCoopers LLP, independent registered public accounting firm for Warner Bros. Discovery,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m2621331d2_ex23-3.htm">
              <w:r>
                <w:rPr>
                  <w:rStyle w:val="InternetLink"/>
                  <w:spacing w:val="4"/>
                </w:rPr>
                <w:t>Consent of Ernst &amp; Young LLP, independent auditor for Skydance Media, LLC.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m2621331d2_ex5-1.htm">
              <w:r>
                <w:rPr>
                  <w:rStyle w:val="InternetLink"/>
                  <w:spacing w:val="4"/>
                </w:rPr>
                <w:t>Consent of Latham &amp; Watkins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POATT">
              <w:r>
                <w:rPr>
                  <w:rStyle w:val="InternetLink"/>
                  <w:spacing w:val="4"/>
                </w:rPr>
                <w:t>Powers of Attorney (included on signature page to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m2621331d2_ex25-1.htm">
              <w:r>
                <w:rPr>
                  <w:rStyle w:val="InternetLink"/>
                  <w:spacing w:val="4"/>
                </w:rPr>
                <w:t>Form T-1 Statement of Eligibility of the Trustee.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1"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64" w:type="dxa"/>
            <w:tcBorders/>
            <w:tcMar>
              <w:bottom w:w="0" w:type="dxa"/>
            </w:tcMar>
            <w:vAlign w:val="center"/>
          </w:tcPr>
          <w:p>
            <w:pPr>
              <w:pStyle w:val="TableContents"/>
              <w:bidi w:val="0"/>
              <w:spacing w:before="0" w:after="0"/>
              <w:jc w:val="left"/>
              <w:rPr/>
            </w:pPr>
            <w:hyperlink w:anchor="tm2621331d1_ex-filingfees.htm">
              <w:r>
                <w:rPr>
                  <w:rStyle w:val="InternetLink"/>
                  <w:spacing w:val="4"/>
                </w:rPr>
                <w:t>Calculation of 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Executed versions of these documents will, if applicable, be filed by amendment or as an exhibit to a document to be incorporated by reference herein after the issuance of the securities to which they relate. </w:t>
      </w:r>
      <w:r>
        <mc:AlternateContent>
          <mc:Choice Requires="wps">
            <w:drawing>
              <wp:anchor behindDoc="0" distT="1016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Filed herewith.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OAT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31, 2026. </w:t>
      </w:r>
    </w:p>
    <w:p>
      <w:pPr>
        <w:pStyle w:val="TextBody"/>
        <w:bidi w:val="0"/>
        <w:spacing w:lineRule="atLeast" w:line="230" w:before="198"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PARAMOUNT SKYDANCE 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David Ellison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304800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Name: David Ellison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199"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David Ellison and Stephanie Kyoko McKinnon and each of them, as attorneys-in-fact and agents, each with the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attorney-in-fact and agents, and each of them, full power and authority to do and perform each and every act and thing requisite and necessary to be done in and about the premises, as fully for all intents and purposes as he or she might or could do in person, hereby ratifying and confirming all that such attorneys-in-fact and agents or any of them, or his, her or their substitute or substitutes, may lawfully do or cause to be done by virtue hereof. </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321"/>
        <w:gridCol w:w="109"/>
        <w:gridCol w:w="109"/>
        <w:gridCol w:w="4535"/>
        <w:gridCol w:w="109"/>
        <w:gridCol w:w="109"/>
        <w:gridCol w:w="124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2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David Ellison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Ellison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pPr>
            <w:r>
              <w:rPr>
                <w:spacing w:val="4"/>
              </w:rPr>
              <w:t xml:space="preserve">Chairman and Chief Executive Officer </w:t>
            </w:r>
            <w:r>
              <w:rPr/>
              <w:br/>
            </w:r>
            <w:r>
              <w:rPr>
                <w:spacing w:val="4"/>
              </w:rPr>
              <w:t>(</w:t>
            </w:r>
            <w:r>
              <w:rPr>
                <w:i/>
                <w:spacing w:val="4"/>
              </w:rPr>
              <w:t>Principal Executive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Dennis Cinelli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Dennis Cinelli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w:t>
            </w:r>
            <w:r>
              <w:rPr>
                <w:i/>
                <w:spacing w:val="4"/>
              </w:rPr>
              <w:t>Principal Financial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Katherine M. Gill-Charest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Katherine M. Gill-Charest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pPr>
            <w:r>
              <w:rPr>
                <w:spacing w:val="4"/>
              </w:rPr>
              <w:t>Executive Vice President, Controller and Chief Accounting Officer</w:t>
            </w:r>
            <w:r>
              <w:rPr/>
              <w:t xml:space="preserve"> </w:t>
              <w:br/>
            </w:r>
            <w:r>
              <w:rPr>
                <w:spacing w:val="4"/>
              </w:rPr>
              <w:t>(</w:t>
            </w:r>
            <w:r>
              <w:rPr>
                <w:i/>
                <w:spacing w:val="4"/>
              </w:rPr>
              <w:t>Principal Accounting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Barbara M. Byrne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Barbara M. Byrne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Andrew Campion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Campion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Gerald J. Cardinale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Gerald J. Cardinale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1" w:type="dxa"/>
            <w:tcBorders/>
            <w:tcMar>
              <w:bottom w:w="0" w:type="dxa"/>
            </w:tcMar>
            <w:vAlign w:val="center"/>
          </w:tcPr>
          <w:p>
            <w:pPr>
              <w:pStyle w:val="TableContents"/>
              <w:bidi w:val="0"/>
              <w:spacing w:before="0" w:after="0"/>
              <w:jc w:val="center"/>
              <w:rPr/>
            </w:pPr>
            <w:r>
              <w:rPr>
                <w:spacing w:val="4"/>
              </w:rPr>
              <w:t>/s/ Safra A. Catz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Safra A. Catz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1"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67" w:type="dxa"/>
        <w:jc w:val="left"/>
        <w:tblInd w:w="1393" w:type="dxa"/>
        <w:tblLayout w:type="fixed"/>
        <w:tblCellMar>
          <w:top w:w="0" w:type="dxa"/>
          <w:left w:w="0" w:type="dxa"/>
          <w:bottom w:w="28" w:type="dxa"/>
          <w:right w:w="0" w:type="dxa"/>
        </w:tblCellMar>
      </w:tblPr>
      <w:tblGrid>
        <w:gridCol w:w="124"/>
        <w:gridCol w:w="2991"/>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99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91" w:type="dxa"/>
            <w:tcBorders/>
            <w:tcMar>
              <w:bottom w:w="0" w:type="dxa"/>
            </w:tcMar>
            <w:vAlign w:val="center"/>
          </w:tcPr>
          <w:p>
            <w:pPr>
              <w:pStyle w:val="TableContents"/>
              <w:bidi w:val="0"/>
              <w:spacing w:before="0" w:after="0"/>
              <w:jc w:val="center"/>
              <w:rPr/>
            </w:pPr>
            <w:r>
              <w:rPr>
                <w:spacing w:val="4"/>
              </w:rPr>
              <w:t>/s/ Andrew Brandon-Gordon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Brandon-Gordon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91" w:type="dxa"/>
            <w:tcBorders/>
            <w:tcMar>
              <w:bottom w:w="0" w:type="dxa"/>
            </w:tcMar>
            <w:vAlign w:val="center"/>
          </w:tcPr>
          <w:p>
            <w:pPr>
              <w:pStyle w:val="TableContents"/>
              <w:bidi w:val="0"/>
              <w:spacing w:before="0" w:after="0"/>
              <w:jc w:val="center"/>
              <w:rPr/>
            </w:pPr>
            <w:r>
              <w:rPr>
                <w:spacing w:val="4"/>
              </w:rPr>
              <w:t>/s/ Justin G. Hamill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Justin G. Hamill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91" w:type="dxa"/>
            <w:tcBorders/>
            <w:tcMar>
              <w:bottom w:w="0" w:type="dxa"/>
            </w:tcMar>
            <w:vAlign w:val="center"/>
          </w:tcPr>
          <w:p>
            <w:pPr>
              <w:pStyle w:val="TableContents"/>
              <w:bidi w:val="0"/>
              <w:spacing w:before="0" w:after="0"/>
              <w:jc w:val="center"/>
              <w:rPr/>
            </w:pPr>
            <w:r>
              <w:rPr>
                <w:spacing w:val="4"/>
              </w:rPr>
              <w:t>/s/ Sherry Lansing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Sherry Lansing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91" w:type="dxa"/>
            <w:tcBorders/>
            <w:tcMar>
              <w:bottom w:w="0" w:type="dxa"/>
            </w:tcMar>
            <w:vAlign w:val="center"/>
          </w:tcPr>
          <w:p>
            <w:pPr>
              <w:pStyle w:val="TableContents"/>
              <w:bidi w:val="0"/>
              <w:spacing w:before="0" w:after="0"/>
              <w:jc w:val="center"/>
              <w:rPr/>
            </w:pPr>
            <w:r>
              <w:rPr>
                <w:spacing w:val="4"/>
              </w:rPr>
              <w:t>/s/ Paul T. Marinelli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Paul T. Marinelli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91" w:type="dxa"/>
            <w:tcBorders/>
            <w:tcMar>
              <w:bottom w:w="0" w:type="dxa"/>
            </w:tcMar>
            <w:vAlign w:val="center"/>
          </w:tcPr>
          <w:p>
            <w:pPr>
              <w:pStyle w:val="TableContents"/>
              <w:bidi w:val="0"/>
              <w:spacing w:before="0" w:after="0"/>
              <w:jc w:val="center"/>
              <w:rPr/>
            </w:pPr>
            <w:r>
              <w:rPr>
                <w:spacing w:val="4"/>
              </w:rPr>
              <w:t>/s/ John L. Thornton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L. Thornton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31,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31, 2026.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PARAMOUNT GLOBAL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Andrew Brandon-Gordon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304800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Name: Andrew Brandon-Gordon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Executive Vice President, Chief </w:t>
      </w:r>
    </w:p>
    <w:p>
      <w:pPr>
        <w:pStyle w:val="TextBody"/>
        <w:bidi w:val="0"/>
        <w:spacing w:lineRule="atLeast" w:line="240" w:before="40" w:after="283"/>
        <w:ind w:left="725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Strategy Officer and Chief Operating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David Ellison and Stephanie Kyoko McKinnon and each of them, as attorneys-in-fact and agents, each with the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attorney-in-fact and agents, and each of them, full power and authority to do and perform each and every act and thing requisite and necessary to be done in and about the premises, as fully for all intents and purposes as he or she might or could do in person, hereby ratifying and confirming all that such attorneys-in-fact and agents or any of them, or his, her or their substitute or substitutes, may lawfully do or cause to be done by virtue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on behalf of Paramount Global. </w:t>
      </w:r>
    </w:p>
    <w:tbl>
      <w:tblPr>
        <w:tblW w:w="8812" w:type="dxa"/>
        <w:jc w:val="left"/>
        <w:tblInd w:w="1393" w:type="dxa"/>
        <w:tblLayout w:type="fixed"/>
        <w:tblCellMar>
          <w:top w:w="0" w:type="dxa"/>
          <w:left w:w="0" w:type="dxa"/>
          <w:bottom w:w="28" w:type="dxa"/>
          <w:right w:w="0" w:type="dxa"/>
        </w:tblCellMar>
      </w:tblPr>
      <w:tblGrid>
        <w:gridCol w:w="124"/>
        <w:gridCol w:w="2427"/>
        <w:gridCol w:w="109"/>
        <w:gridCol w:w="109"/>
        <w:gridCol w:w="4474"/>
        <w:gridCol w:w="109"/>
        <w:gridCol w:w="109"/>
        <w:gridCol w:w="1195"/>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Andrew Brandon-Gordon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Brandon-Gordon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74" w:type="dxa"/>
            <w:tcBorders/>
            <w:tcMar>
              <w:bottom w:w="0" w:type="dxa"/>
            </w:tcMar>
            <w:vAlign w:val="center"/>
          </w:tcPr>
          <w:p>
            <w:pPr>
              <w:pStyle w:val="TableContents"/>
              <w:bidi w:val="0"/>
              <w:spacing w:before="0" w:after="0"/>
              <w:jc w:val="center"/>
              <w:rPr/>
            </w:pPr>
            <w:r>
              <w:rPr>
                <w:spacing w:val="4"/>
              </w:rPr>
              <w:t xml:space="preserve">Executive Vice President, Chief Strategy Officer, Chief Operating Officer </w:t>
            </w:r>
            <w:r>
              <w:rPr/>
              <w:br/>
            </w:r>
            <w:r>
              <w:rPr>
                <w:spacing w:val="4"/>
              </w:rPr>
              <w:t>and Director</w:t>
            </w:r>
            <w:r>
              <w:rPr/>
              <w:t xml:space="preserve"> </w:t>
              <w:br/>
            </w:r>
            <w:r>
              <w:rPr>
                <w:spacing w:val="4"/>
              </w:rPr>
              <w:t>(</w:t>
            </w:r>
            <w:r>
              <w:rPr>
                <w:i/>
                <w:spacing w:val="4"/>
              </w:rPr>
              <w:t>Principal Executive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0"/>
              <w:jc w:val="center"/>
              <w:rPr>
                <w:spacing w:val="4"/>
              </w:rPr>
            </w:pPr>
            <w:r>
              <w:rPr>
                <w:spacing w:val="4"/>
              </w:rPr>
              <w:t xml:space="preserve">July 31,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7" w:type="dxa"/>
            <w:tcBorders/>
            <w:tcMar>
              <w:bottom w:w="0" w:type="dxa"/>
            </w:tcMar>
            <w:vAlign w:val="center"/>
          </w:tcPr>
          <w:p>
            <w:pPr>
              <w:pStyle w:val="TableContents"/>
              <w:bidi w:val="0"/>
              <w:spacing w:before="0" w:after="0"/>
              <w:jc w:val="center"/>
              <w:rPr/>
            </w:pPr>
            <w:r>
              <w:rPr>
                <w:spacing w:val="4"/>
              </w:rPr>
              <w:t>/s/ Katherine M. Gill-Charest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Katherine M. Gill-Charest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74" w:type="dxa"/>
            <w:tcBorders/>
            <w:tcMar>
              <w:bottom w:w="0" w:type="dxa"/>
            </w:tcMar>
            <w:vAlign w:val="center"/>
          </w:tcPr>
          <w:p>
            <w:pPr>
              <w:pStyle w:val="TableContents"/>
              <w:bidi w:val="0"/>
              <w:spacing w:before="0" w:after="0"/>
              <w:jc w:val="center"/>
              <w:rPr/>
            </w:pPr>
            <w:r>
              <w:rPr>
                <w:spacing w:val="4"/>
              </w:rPr>
              <w:t xml:space="preserve">Executive Vice President, Controller, </w:t>
            </w:r>
            <w:r>
              <w:rPr/>
              <w:br/>
            </w:r>
            <w:r>
              <w:rPr>
                <w:spacing w:val="4"/>
              </w:rPr>
              <w:t>Chief Accounting Officer and Director</w:t>
            </w:r>
            <w:r>
              <w:rPr/>
              <w:t xml:space="preserve"> </w:t>
              <w:br/>
            </w:r>
            <w:r>
              <w:rPr>
                <w:spacing w:val="4"/>
              </w:rPr>
              <w:t>(</w:t>
            </w:r>
            <w:r>
              <w:rPr>
                <w:i/>
                <w:spacing w:val="4"/>
              </w:rPr>
              <w:t>Principal Financial Officer, Principal Accounting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0"/>
              <w:jc w:val="center"/>
              <w:rPr/>
            </w:pPr>
            <w:r>
              <w:rPr>
                <w:spacing w:val="4"/>
              </w:rPr>
              <w:t>July 31,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0" w:name="tm2621331d2_ex4-1.htm"/>
      <w:bookmarkStart w:id="21" w:name="kstm2621331d2_ex41"/>
      <w:bookmarkEnd w:id="20"/>
      <w:bookmarkEnd w:id="21"/>
      <w:r>
        <w:rPr/>
        <w:t> </w:t>
      </w:r>
      <w:r>
        <w:br w:type="page"/>
      </w:r>
    </w:p>
    <w:p>
      <w:pPr>
        <w:pStyle w:val="TextBody"/>
        <w:bidi w:val="0"/>
        <w:jc w:val="right"/>
        <w:rPr>
          <w:b/>
        </w:rPr>
      </w:pPr>
      <w:r>
        <w:rPr>
          <w:b/>
        </w:rPr>
        <w:t>Exhibit 4.1</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 20[___]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ISSUANCE OF SENIOR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CROSS-REFERENCE TABLE*</w:t>
      </w:r>
    </w:p>
    <w:p>
      <w:pPr>
        <w:pStyle w:val="TextBody"/>
        <w:bidi w:val="0"/>
        <w:spacing w:before="0" w:after="0"/>
        <w:ind w:left="0" w:right="0" w:hanging="0"/>
        <w:jc w:val="left"/>
        <w:rPr>
          <w:caps w:val="false"/>
          <w:smallCaps w:val="false"/>
        </w:rPr>
      </w:pPr>
      <w:r>
        <w:rPr>
          <w:caps w:val="false"/>
          <w:smallCaps w:val="false"/>
        </w:rPr>
        <w:t> </w:t>
      </w:r>
    </w:p>
    <w:tbl>
      <w:tblPr>
        <w:tblW w:w="3690" w:type="dxa"/>
        <w:jc w:val="center"/>
        <w:tblInd w:w="0" w:type="dxa"/>
        <w:tblLayout w:type="fixed"/>
        <w:tblCellMar>
          <w:top w:w="0" w:type="dxa"/>
          <w:left w:w="0" w:type="dxa"/>
          <w:bottom w:w="0" w:type="dxa"/>
          <w:right w:w="0" w:type="dxa"/>
        </w:tblCellMar>
      </w:tblPr>
      <w:tblGrid>
        <w:gridCol w:w="350"/>
        <w:gridCol w:w="1805"/>
        <w:gridCol w:w="1535"/>
      </w:tblGrid>
      <w:tr>
        <w:trPr/>
        <w:tc>
          <w:tcPr>
            <w:tcW w:w="2155"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 Indenture</w:t>
              <w:br/>
              <w:t>Act Section</w:t>
            </w:r>
          </w:p>
        </w:tc>
        <w:tc>
          <w:tcPr>
            <w:tcW w:w="15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Indenture</w:t>
              <w:br/>
              <w:t>Section</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(a)(5)</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2.05</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11.03</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11.03</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(b)(2)</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 7.07</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 11.02</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 11.02; 11.04</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11.04</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11.04</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(c)(3)</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11.05</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 7.02</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7.05; 11.02</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  (a) (last sentence)</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2.09</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6.05</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6.04</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6.07</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6.08</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6.09</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2.04</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11.01</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Cross Reference Table is not part of this Indenture.</w:t>
      </w:r>
    </w:p>
    <w:p>
      <w:pPr>
        <w:pStyle w:val="TextBody"/>
        <w:bidi w:val="0"/>
        <w:spacing w:before="0" w:after="0"/>
        <w:ind w:left="0" w:right="0" w:hanging="0"/>
        <w:jc w:val="left"/>
        <w:rPr>
          <w:caps w:val="false"/>
          <w:smallCaps w:val="false"/>
        </w:rPr>
      </w:pPr>
      <w:r>
        <w:rPr>
          <w:caps w:val="false"/>
          <w:smallCaps w:val="false"/>
        </w:rPr>
        <w:t> </w:t>
      </w:r>
    </w:p>
    <w:tbl>
      <w:tblPr>
        <w:tblW w:w="193" w:type="dxa"/>
        <w:jc w:val="left"/>
        <w:tblInd w:w="0" w:type="dxa"/>
        <w:tblLayout w:type="fixed"/>
        <w:tblCellMar>
          <w:top w:w="0" w:type="dxa"/>
          <w:left w:w="0" w:type="dxa"/>
          <w:bottom w:w="0" w:type="dxa"/>
          <w:right w:w="0" w:type="dxa"/>
        </w:tblCellMar>
      </w:tblPr>
      <w:tblGrid>
        <w:gridCol w:w="38"/>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369" w:type="dxa"/>
        <w:jc w:val="left"/>
        <w:tblInd w:w="0" w:type="dxa"/>
        <w:tblLayout w:type="fixed"/>
        <w:tblCellMar>
          <w:top w:w="0" w:type="dxa"/>
          <w:left w:w="0" w:type="dxa"/>
          <w:bottom w:w="0" w:type="dxa"/>
          <w:right w:w="0" w:type="dxa"/>
        </w:tblCellMar>
      </w:tblPr>
      <w:tblGrid>
        <w:gridCol w:w="1260"/>
        <w:gridCol w:w="4864"/>
        <w:gridCol w:w="245"/>
      </w:tblGrid>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w:t>
            </w:r>
            <w:r>
              <w:rPr/>
              <w:t xml:space="preserve"> </w:t>
            </w:r>
            <w:r>
              <w:rPr>
                <w:b/>
                <w:sz w:val="20"/>
              </w:rPr>
              <w:t>DEFINITIONS AND INCORPORATION BY REFERENCE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1.02</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1.03</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245" w:type="dxa"/>
            <w:tcBorders/>
            <w:vAlign w:val="center"/>
          </w:tcPr>
          <w:p>
            <w:pPr>
              <w:pStyle w:val="TableContents"/>
              <w:bidi w:val="0"/>
              <w:spacing w:before="0" w:after="283"/>
              <w:jc w:val="right"/>
              <w:rPr/>
            </w:pPr>
            <w:r>
              <w:rPr/>
              <w:t>8</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1.04</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2</w:t>
            </w:r>
            <w:r>
              <w:rPr/>
              <w:t xml:space="preserve"> </w:t>
            </w:r>
            <w:r>
              <w:rPr>
                <w:b/>
                <w:sz w:val="20"/>
              </w:rPr>
              <w:t>THE NOTES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2.02</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2.03</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2.04</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2.05</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2.06</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2.07</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2.08</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2.09</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2.10</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2.12</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2.13</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ISIN and Common Code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3</w:t>
            </w:r>
            <w:r>
              <w:rPr/>
              <w:t xml:space="preserve"> </w:t>
            </w:r>
            <w:r>
              <w:rPr>
                <w:b/>
                <w:sz w:val="20"/>
              </w:rPr>
              <w:t>REDEMPTION AND PREPAYMENT</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and Prepayment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4</w:t>
            </w:r>
            <w:r>
              <w:rPr/>
              <w:t xml:space="preserve"> </w:t>
            </w:r>
            <w:r>
              <w:rPr>
                <w:b/>
                <w:sz w:val="20"/>
              </w:rPr>
              <w:t>COVENANTS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4.02</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4.03</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5</w:t>
            </w:r>
            <w:r>
              <w:rPr/>
              <w:t xml:space="preserve"> </w:t>
            </w:r>
            <w:r>
              <w:rPr>
                <w:b/>
                <w:sz w:val="20"/>
              </w:rPr>
              <w:t>SUCCESSORS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Consolidation or Sale of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6</w:t>
            </w:r>
            <w:r>
              <w:rPr/>
              <w:t xml:space="preserve"> </w:t>
            </w:r>
            <w:r>
              <w:rPr>
                <w:b/>
                <w:sz w:val="20"/>
              </w:rPr>
              <w:t>DEFAULTS AND REMEDIES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6.02</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6.03</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6.04</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Existing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6.05</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6.06</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6.07</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of Notes to Receive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6.08</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6.09</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6.10</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6.11</w:t>
            </w:r>
          </w:p>
        </w:tc>
        <w:tc>
          <w:tcPr>
            <w:tcW w:w="4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283"/>
        <w:jc w:val="left"/>
        <w:rPr/>
      </w:pPr>
      <w:r>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930" w:type="dxa"/>
        <w:jc w:val="left"/>
        <w:tblInd w:w="0" w:type="dxa"/>
        <w:tblLayout w:type="fixed"/>
        <w:tblCellMar>
          <w:top w:w="0" w:type="dxa"/>
          <w:left w:w="0" w:type="dxa"/>
          <w:bottom w:w="0" w:type="dxa"/>
          <w:right w:w="0" w:type="dxa"/>
        </w:tblCellMar>
      </w:tblPr>
      <w:tblGrid>
        <w:gridCol w:w="1160"/>
        <w:gridCol w:w="8525"/>
        <w:gridCol w:w="245"/>
      </w:tblGrid>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7</w:t>
            </w:r>
            <w:r>
              <w:rPr/>
              <w:t xml:space="preserve"> </w:t>
            </w:r>
            <w:r>
              <w:rPr>
                <w:b/>
                <w:sz w:val="20"/>
              </w:rPr>
              <w:t>TRUSTEE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7.07</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7.08</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7.09</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7.10</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7.11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8</w:t>
            </w:r>
            <w:r>
              <w:rPr/>
              <w:t xml:space="preserve"> </w:t>
            </w:r>
            <w:r>
              <w:rPr>
                <w:b/>
                <w:sz w:val="20"/>
              </w:rPr>
              <w:t>LEGAL DEFEASANCE AND COVENANT DEFEASANCE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to Effect Legal Defeasance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Legal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 and U.S. Government Obligations to Be Held in Trust; Other Miscellaneous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the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8.07</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9</w:t>
            </w:r>
            <w:r>
              <w:rPr/>
              <w:t xml:space="preserve"> </w:t>
            </w:r>
            <w:r>
              <w:rPr>
                <w:b/>
                <w:sz w:val="20"/>
              </w:rPr>
              <w:t>AMENDMENT, SUPPLEMENT AND WAIVER</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Sign Amendments,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10</w:t>
            </w:r>
            <w:r>
              <w:rPr/>
              <w:t xml:space="preserve"> </w:t>
            </w:r>
            <w:r>
              <w:rPr>
                <w:b/>
                <w:sz w:val="20"/>
              </w:rPr>
              <w:t>GUARANTEE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Non-Impairment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11</w:t>
            </w:r>
            <w:r>
              <w:rPr/>
              <w:t xml:space="preserve"> </w:t>
            </w:r>
            <w:r>
              <w:rPr>
                <w:b/>
                <w:sz w:val="20"/>
              </w:rPr>
              <w:t>MISCELLANEOUS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 by Holders with Other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Required in Certificate or Opinion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w:t>
      </w:r>
    </w:p>
    <w:tbl>
      <w:tblPr>
        <w:tblW w:w="313" w:type="dxa"/>
        <w:jc w:val="left"/>
        <w:tblInd w:w="0" w:type="dxa"/>
        <w:tblLayout w:type="fixed"/>
        <w:tblCellMar>
          <w:top w:w="0" w:type="dxa"/>
          <w:left w:w="0" w:type="dxa"/>
          <w:bottom w:w="0" w:type="dxa"/>
          <w:right w:w="0" w:type="dxa"/>
        </w:tblCellMar>
      </w:tblPr>
      <w:tblGrid>
        <w:gridCol w:w="38"/>
        <w:gridCol w:w="2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60" w:type="dxa"/>
        <w:jc w:val="left"/>
        <w:tblInd w:w="0" w:type="dxa"/>
        <w:tblLayout w:type="fixed"/>
        <w:tblCellMar>
          <w:top w:w="0" w:type="dxa"/>
          <w:left w:w="0" w:type="dxa"/>
          <w:bottom w:w="0" w:type="dxa"/>
          <w:right w:w="0" w:type="dxa"/>
        </w:tblCellMar>
      </w:tblPr>
      <w:tblGrid>
        <w:gridCol w:w="1160"/>
        <w:gridCol w:w="6755"/>
        <w:gridCol w:w="245"/>
      </w:tblGrid>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11.07</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Personal Liability of Directors, Officers, Employees, Members and Stockholders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11.08</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11.09</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11.10</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11.12</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 Originals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11.13</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11.14</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11.15</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11.16</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11.17</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1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12</w:t>
            </w:r>
            <w:r>
              <w:rPr/>
              <w:t xml:space="preserve"> </w:t>
            </w:r>
            <w:r>
              <w:rPr>
                <w:b/>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12.01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12.02</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1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13</w:t>
            </w:r>
            <w:r>
              <w:rPr/>
              <w:t xml:space="preserve"> </w:t>
            </w:r>
            <w:r>
              <w:rPr>
                <w:b/>
                <w:sz w:val="20"/>
              </w:rPr>
              <w:t>COLLATERAL</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caps w:val="false"/>
          <w:smallCaps w:val="false"/>
        </w:rPr>
      </w:pPr>
      <w:r>
        <w:rPr>
          <w:caps w:val="false"/>
          <w:smallCaps w:val="false"/>
        </w:rPr>
        <w:t> </w:t>
      </w:r>
    </w:p>
    <w:tbl>
      <w:tblPr>
        <w:tblW w:w="313" w:type="dxa"/>
        <w:jc w:val="left"/>
        <w:tblInd w:w="0" w:type="dxa"/>
        <w:tblLayout w:type="fixed"/>
        <w:tblCellMar>
          <w:top w:w="0" w:type="dxa"/>
          <w:left w:w="0" w:type="dxa"/>
          <w:bottom w:w="0" w:type="dxa"/>
          <w:right w:w="0" w:type="dxa"/>
        </w:tblCellMar>
      </w:tblPr>
      <w:tblGrid>
        <w:gridCol w:w="38"/>
        <w:gridCol w:w="2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[__________], 20[__], between Paramount Skydance Corporation,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New York banking corporation, as trustee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for the issuance of debentures, notes, bonds or other evidences of indebtedness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of the Issuer in an unlimited aggregate principal amount to be issued from time to time in one or more series as provided in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and legally binding agreement of the Issuer,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Trustee agree as follows for the benefit of each other and, except as provided herein, for the equal and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is under common control with or is controlled by such Person.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the Issuer solely by reason of his or her being an officer, director or employee of the Issuer or any of its Subsidiaries and (b) none of Viacom International Inc. (or its successor), Paramount Global, Skydance Media, LLC, a California limited liability company, the Issuer or any of their Subsidiaries shall be deemed to be Affiliates of each other, unless expressly stated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 Member</w:t>
      </w:r>
      <w:r>
        <w:rPr>
          <w:rFonts w:ascii="Times New Roman;Times;Serif" w:hAnsi="Times New Roman;Times;Serif"/>
          <w:b w:val="false"/>
          <w:i w:val="false"/>
          <w:caps w:val="false"/>
          <w:smallCaps w:val="false"/>
          <w:sz w:val="20"/>
        </w:rPr>
        <w:t>” means a member of, or participant in,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each day which is not a Legal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Capitalized Lease,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Capitalized Leases</w:t>
      </w:r>
      <w:r>
        <w:rPr>
          <w:rFonts w:ascii="Times New Roman;Times;Serif" w:hAnsi="Times New Roman;Times;Serif"/>
          <w:b w:val="false"/>
          <w:i w:val="false"/>
          <w:caps w:val="false"/>
          <w:smallCaps w:val="false"/>
          <w:sz w:val="20"/>
        </w:rPr>
        <w:t>” means all capital or finance leases that have been or are required to be, in accordance with GAAP recorded as capitalized leases; provided that unless the Issuer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shall continue to be accounted for as operating leases for purposes of all financial definitions (including the definition of Indebtedness), calculations and deliverables under this Indenture (whether or not such operating lease obligations were in effect on such date) notwithstanding the fact that such obligations are required in accordance with the ASU or otherwise (on a prospective or retroactive basis or otherwise) to be treated as or to be recharacterized as capital lease obligations or otherwise accounted for as liabilities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Clearstream</w:t>
      </w:r>
      <w:r>
        <w:rPr>
          <w:rFonts w:ascii="Times New Roman;Times;Serif" w:hAnsi="Times New Roman;Times;Serif"/>
          <w:b w:val="false"/>
          <w:i w:val="false"/>
          <w:caps w:val="false"/>
          <w:smallCaps w:val="false"/>
          <w:sz w:val="20"/>
        </w:rPr>
        <w:t>” means Clearstream Banking,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 of the Trustee</w:t>
      </w:r>
      <w:r>
        <w:rPr>
          <w:rFonts w:ascii="Times New Roman;Times;Serif" w:hAnsi="Times New Roman;Times;Serif"/>
          <w:b w:val="false"/>
          <w:i w:val="false"/>
          <w:caps w:val="false"/>
          <w:smallCaps w:val="false"/>
          <w:sz w:val="20"/>
        </w:rPr>
        <w:t>” shall be at the address of the Trustee specified in Section 11.02 or such other address as to which the Trustee may designate from time to time by notice to the Holders and the Issuer, or the principal corporate trust office of any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xml:space="preserve">” means any event that is, or with the passage of time or the giving of notice or both would be,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the Person specified in Section 2.03 as the Depositary with respect to the Notes, and any and all successors thereto appointed as depositary hereunder and having become such pursuant to the applicable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applicable series of the Notes (other than a Screened Affiliate) is a party (whether or not requiring further performance by such Person), the value and/or cash flows of which (or any material portion thereof) are materially affected by the value and/or performance of the applicable series of the Notes and/or the creditworthiness of the Issuer (the “</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means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Fiscal Year</w:t>
      </w:r>
      <w:r>
        <w:rPr>
          <w:rFonts w:ascii="Times New Roman;Times;Serif" w:hAnsi="Times New Roman;Times;Serif"/>
          <w:b w:val="false"/>
          <w:i w:val="false"/>
          <w:caps w:val="false"/>
          <w:smallCaps w:val="false"/>
          <w:sz w:val="20"/>
        </w:rPr>
        <w:t>” means the fiscal year of the entity, which in the case of the Issuer, at the date hereof ends on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means, individually and collectively, a Security or Securities, as the case may be, in the form established pursuant to Section 2.01 evidencing all or part of a series of Securities, issued to the Depositary for such series or its nominee, and registered in the name of such Depositary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means any obligation, contingent or otherwise, of such Person guaranteeing or entered into with the purpose of guaranteeing any Indebtedness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condition or liquidity of the primary obligor so as to enable the primary obligor to pay such Indebtedness; provided, however, that the term “Guarantee”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the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incur</w:t>
      </w:r>
      <w:r>
        <w:rPr>
          <w:rFonts w:ascii="Times New Roman;Times;Serif" w:hAnsi="Times New Roman;Times;Serif"/>
          <w:b w:val="false"/>
          <w:i w:val="false"/>
          <w:caps w:val="false"/>
          <w:smallCaps w:val="false"/>
          <w:sz w:val="20"/>
        </w:rPr>
        <w:t>” means issue, assume, enter into a Guarantee, incur or otherwise become liable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the extent not otherwise included, any Guarantee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clause (a) of another Person secured by a Lien (other than any Liens that may be permitted by a supplemental indenture relating to a given series of Notes) on any property owned by such Person, whether or not such obligations are assumed by such Person and whether or not such obligations would appear upon the balance sheet of such Person; provided that the amount of such Indebtedness for purposes of this clause (ii) will be the lesser of the fair market value of such property at such date of determination and the amount of Indebtedness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Issuer and the Subsidiaries, (3) earn outs, purchase price holdbacks or similar obligations, (4) intercompany liabilities arising in the ordinary course of business, (5) any Liens that may be permitted by a supplemental indenture relating to a given series of Notes, (6) loans and advances made by the Issuer or Subsidiary Guarantors having a term not exceeding 364 days (inclusive of any roll over or extension of terms),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Indirect Participant</w:t>
      </w:r>
      <w:r>
        <w:rPr>
          <w:rFonts w:ascii="Times New Roman;Times;Serif" w:hAnsi="Times New Roman;Times;Serif"/>
          <w:b w:val="false"/>
          <w:i w:val="false"/>
          <w:caps w:val="false"/>
          <w:smallCaps w:val="false"/>
          <w:sz w:val="20"/>
        </w:rPr>
        <w:t>” means a Person who holds a beneficial interest in a Global Note through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has the meaning assigned to it in the preamble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means a Saturday, a Sunday or a day on which banking institutions are not required to be open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Subsidiary</w:t>
      </w:r>
      <w:r>
        <w:rPr>
          <w:rFonts w:ascii="Times New Roman;Times;Serif" w:hAnsi="Times New Roman;Times;Serif"/>
          <w:b w:val="false"/>
          <w:i w:val="false"/>
          <w:caps w:val="false"/>
          <w:smallCaps w:val="false"/>
          <w:sz w:val="20"/>
        </w:rPr>
        <w:t>” means any “significant subsidiary” of the Issuer as defined in Regulation S-X of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Short</w:t>
      </w:r>
      <w:r>
        <w:rPr>
          <w:rFonts w:ascii="Times New Roman;Times;Serif" w:hAnsi="Times New Roman;Times;Serif"/>
          <w:b w:val="false"/>
          <w:i w:val="false"/>
          <w:caps w:val="false"/>
          <w:smallCaps w:val="false"/>
          <w:sz w:val="20"/>
        </w:rPr>
        <w:t>” means, with respect to a Holder or beneficial owner, as of a date of determination, either (i) the value of its Short Derivative Instruments exceeds the sum of the (x) the value of its Notes of the applicable series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immediately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 Guarantee</w:t>
      </w:r>
      <w:r>
        <w:rPr>
          <w:rFonts w:ascii="Times New Roman;Times;Serif" w:hAnsi="Times New Roman;Times;Serif"/>
          <w:b w:val="false"/>
          <w:i w:val="false"/>
          <w:caps w:val="false"/>
          <w:smallCaps w:val="false"/>
          <w:sz w:val="20"/>
        </w:rPr>
        <w:t>” means a Guarantee by a Subsidiary Guarantor of the Issuer’s obligations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unless otherwise defined in any supplemental indenture, means Obligations in respect of the Notes and any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means, with respect to any Indebtedness, all obligations for principal, premium, interest, penalties, fees, indemnifications, reimbursements and other amounts payable pursuant to the documentation governing such Indebtedness, including interest, fees and expenses that accrue after the commencement of any insolvency or bankruptcy proceeding, regardless of whether such interest, fees and expenses are allowed claims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 President, the Treasurer, the Secretary, the Chief Executive Officer or Chief Financial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one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acceptable to the Trustee. The counsel may be an employee of or counsel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w:t>
      </w:r>
      <w:r>
        <w:rPr>
          <w:rFonts w:ascii="Times New Roman;Times;Serif" w:hAnsi="Times New Roman;Times;Serif"/>
          <w:b w:val="false"/>
          <w:i w:val="false"/>
          <w:caps w:val="false"/>
          <w:smallCaps w:val="false"/>
          <w:sz w:val="20"/>
        </w:rPr>
        <w:t>” means Paramount Global,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partnership, corporation, limited liability company, business trust, joint stock company, trust, unincorporated association, joint venture, Governmental Authority or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note means the principal of the note plus the premium, if any, payable on the note which is due or overdue or is to become due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 shall provide for the registration of the Notes and of transfers and exchanges of such Notes which the Issuer shall cause to be kept at the appropriate office of the Registrar in accordance with Section 2.03.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(or any successor group thereto), including any vice president, assistant vice president, assistant secretary, assistant treasurer, trust officer or any other officer of the Trustee, who customarily performs functions similar to those performed by the Persons who at the time shall be such officer and with direct responsibility for the administration of this Indenture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one or more of the Notes duly authenticated by the Trustee and delivered pursuant to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refers to all Notes established pursuant to any supplemental indenture to this Indenture that have the same economic terms and that are specified to be a “series” of Notes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means, with respect to any installment of interest or principal on any series of Indebtedness, the date on which such payment of interest or principal was scheduled to be paid in the documentation governing such Indebtedness, or, if none, the original documentation governing such Indebtedness, and shall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for any Person (the “</w:t>
      </w:r>
      <w:r>
        <w:rPr>
          <w:rFonts w:ascii="Times New Roman;Times;Serif" w:hAnsi="Times New Roman;Times;Serif"/>
          <w:b w:val="false"/>
          <w:i/>
          <w:caps w:val="false"/>
          <w:smallCaps w:val="false"/>
          <w:sz w:val="20"/>
        </w:rPr>
        <w:t>Parent</w:t>
      </w:r>
      <w:r>
        <w:rPr>
          <w:rFonts w:ascii="Times New Roman;Times;Serif" w:hAnsi="Times New Roman;Times;Serif"/>
          <w:b w:val="false"/>
          <w:i w:val="false"/>
          <w:caps w:val="false"/>
          <w:smallCaps w:val="false"/>
          <w:sz w:val="20"/>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the Indenture shall refer to a Subsidiary or Subsidiaries of the Issuer.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 Guarantor</w:t>
      </w:r>
      <w:r>
        <w:rPr>
          <w:rFonts w:ascii="Times New Roman;Times;Serif" w:hAnsi="Times New Roman;Times;Serif"/>
          <w:b w:val="false"/>
          <w:i w:val="false"/>
          <w:caps w:val="false"/>
          <w:smallCaps w:val="false"/>
          <w:sz w:val="20"/>
        </w:rPr>
        <w:t>” means each Subsidiary of the Issuer that executes a supplemental indenture to this Indenture as a Subsidiary Guarantor until released from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xml:space="preserve">” means the Trust Indenture Act of 1939 (15 U.S.C. §§ 77aaa-77bbbb) as in effect on the date on which this Indenture is qualified under the TIA;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such date, then “</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Deutsche Bank Trust Company Americas, until a successor replaces Deutsche Bank Trust Company Americas, in accordance with Article 7 and thereafter means the successor serving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Voting Capital Stock</w:t>
      </w:r>
      <w:r>
        <w:rPr>
          <w:rFonts w:ascii="Times New Roman;Times;Serif" w:hAnsi="Times New Roman;Times;Serif"/>
          <w:b w:val="false"/>
          <w:i w:val="false"/>
          <w:caps w:val="false"/>
          <w:smallCaps w:val="false"/>
          <w:sz w:val="20"/>
        </w:rPr>
        <w:t>” means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rPr>
        <w:t>Other Definitions.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28" w:type="dxa"/>
          <w:right w:w="0" w:type="dxa"/>
        </w:tblCellMar>
      </w:tblPr>
      <w:tblGrid>
        <w:gridCol w:w="2225"/>
        <w:gridCol w:w="60"/>
        <w:gridCol w:w="1550"/>
      </w:tblGrid>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60" w:type="dxa"/>
            <w:tcBorders>
              <w:bottom w:val="single" w:sz="8" w:space="0" w:color="000000"/>
            </w:tcBorders>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Defined in Section</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Authentication Order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Covenant Defeasance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8.03</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Directing Holder”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6.02</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DTC</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Event of Default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Guaranteed Obligations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Legal Defeasance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8.02</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Noteholder Direction”</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6.02</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Paying Agent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Position Representation</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6.02</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Registrar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Successor Company”</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5.01</w:t>
            </w:r>
          </w:p>
        </w:tc>
      </w:tr>
      <w:tr>
        <w:trPr/>
        <w:tc>
          <w:tcPr>
            <w:tcW w:w="222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Verification Covenant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6.02</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1.03       </w:t>
      </w:r>
      <w:r>
        <w:rPr>
          <w:rFonts w:ascii="Times New Roman;Times;Serif" w:hAnsi="Times New Roman;Times;Serif"/>
          <w:b w:val="false"/>
          <w:i w:val="false"/>
          <w:caps w:val="false"/>
          <w:smallCaps w:val="false"/>
          <w:sz w:val="20"/>
        </w:rPr>
        <w:t>Incorporation by Reference of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security holder</w:t>
      </w:r>
      <w:r>
        <w:rPr>
          <w:rFonts w:ascii="Times New Roman;Times;Serif" w:hAnsi="Times New Roman;Times;Serif"/>
          <w:b w:val="false"/>
          <w:i w:val="false"/>
          <w:caps w:val="false"/>
          <w:smallCaps w:val="false"/>
          <w:sz w:val="20"/>
        </w:rPr>
        <w:t>” means a Holder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institutional trustee</w:t>
      </w:r>
      <w:r>
        <w:rPr>
          <w:rFonts w:ascii="Times New Roman;Times;Serif" w:hAnsi="Times New Roman;Times;Serif"/>
          <w:b w:val="false"/>
          <w:i w:val="false"/>
          <w:caps w:val="false"/>
          <w:smallCaps w:val="false"/>
          <w:sz w:val="20"/>
        </w:rPr>
        <w:t>” means the Trustee; and “</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Notes means the Issuer and any successor obligor upon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have the meanings so assigned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references to sections of or rules under the Securities Act shall be deemed to include substitute, replacement or successor sections or rules adopted by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references to any statute, law, rule or regulation shall be deemed to refer to the same as from time to time amended and in effect and to any successor statute,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references to any contract, agreement or instrument shall mean the same as amended, modified, supplemented or amended and restated from time to time, in each case, in accordance with any applicable restrictions contained in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including</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including, without limitation.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2</w:t>
      </w:r>
      <w:r>
        <w:rPr>
          <w:rFonts w:ascii="Times New Roman;Times;Serif" w:hAnsi="Times New Roman;Times;Serif"/>
          <w:b/>
          <w:i w:val="false"/>
          <w:caps w:val="false"/>
          <w:smallCaps w:val="false"/>
          <w:sz w:val="20"/>
        </w:rPr>
        <w:b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2.01       </w:t>
      </w:r>
      <w:r>
        <w:rPr>
          <w:rFonts w:ascii="Times New Roman;Times;Serif" w:hAnsi="Times New Roman;Times;Serif"/>
          <w:b w:val="false"/>
          <w:i w:val="false"/>
          <w:caps w:val="false"/>
          <w:smallCaps w:val="false"/>
          <w:sz w:val="20"/>
        </w:rPr>
        <w:t>Form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Notes may have notations, legends or endorsements required by law, stock exchange rule or usage or this Indenture and may reference terms of the Notes. Each Note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Notes that may be authenticated and delivered under this Indenture is unlimited. The Notes may be issued in one or more series. There shall be set forth in one or more indentures supplemental hereto, prior to the issuance of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title of the series (which shall distinguish the Notes of such series from the Notes of all other series) and the Issuer with respect to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any limit upon the aggregate principal amount of the Notes of the series that may be authenticated and delivered under this Indenture (except for Notes authenticated and delivered upon transfer of, or in exchange for, or in lieu of, other Notes of such series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dates on which or periods during which the Notes of the series may be issued, and the dates on, or the range of dates within, which the principal of and premium, if any, on the Notes of such series are or may be payable or the method by which such date or dates shall be determined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rate or rates at which the Notes of the series shall bear interest, if any, or the method by which such rate or rates shall be determined, whether such interest shall be payable in cash or additional Notes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if other than U.S. Dollars, the currency in which Notes of the series shall be denominated or in which payment of the principal of, premium, if any, or interest in the Notes of the series shall be payable and any other terms concerning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place or places, if any, in addition to or instead of the Corporate Trust Office of the Trustee where the principal of, premium, if any, and interest on Notes of the series shall be payable, and where Notes of any series may be presented for registration of transfer, exchange or conversion, and the place or places where notices and demands to or upon the Issuer in respect of the Notes of such series may be made;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the price or prices at which, the period or periods within which or the date or dates on which, and the terms and conditions upon which Notes of the series may be redeemed, in whole or in part, at the option of the Issuer, if the Issuer is to have that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the obligation or right, if any, of the Issuer to redeem, purchase or repay Notes of the series pursuant to any sinking fund, amortization or analogous provisions or at the option of a Holder thereof and the price or prices at which, the period or periods within which or the date or dates on which, and the terms and conditions upon which Notes of the series shall be redeemed, purchased or repaid,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if other than the principal amount thereof, the portion of the principal amount of the Securities of the series which shall be payable upon declaration of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the Subsidiary Guarantors, if any, of the Notes of the series, and the extent of the guarantees (including provisions relating to seniority, subordination, and the release of the Subsidiary Guarantors), if any, and any additions or changes to permit or facilitate guarantees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whether the Notes of the series are to be issued with original issue discount and the amount of discount with which such Notes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provisions, if any, for the defeasance of Notes of the series in whole or in part and any addition or change in the provisions related to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whether the Notes of the series are to be issued in whole or in part in the form of one or more Global Notes, and, in such case, the Depositary for such Global Notes, and the terms and conditions, if any, upon which interests in such Global Note or Global Notes may be exchanged in whole or in part for the individual Notes represented thereby in definitive form registered in the name or names of Persons other than such Depositary or a nominee or nominees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the date as of which any Global Notes of the series shall be dated if other than the original issuance of the first Security of the series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         </w:t>
      </w:r>
      <w:r>
        <w:rPr>
          <w:rFonts w:ascii="Times New Roman;Times;Serif" w:hAnsi="Times New Roman;Times;Serif"/>
          <w:b w:val="false"/>
          <w:i w:val="false"/>
          <w:caps w:val="false"/>
          <w:smallCaps w:val="false"/>
          <w:sz w:val="20"/>
        </w:rPr>
        <w:t>the form of the Notes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       </w:t>
      </w:r>
      <w:r>
        <w:rPr>
          <w:rFonts w:ascii="Times New Roman;Times;Serif" w:hAnsi="Times New Roman;Times;Serif"/>
          <w:b w:val="false"/>
          <w:i w:val="false"/>
          <w:caps w:val="false"/>
          <w:smallCaps w:val="false"/>
          <w:sz w:val="20"/>
        </w:rPr>
        <w:t>whether the Notes of such series are subject to subordination and the terms of such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       </w:t>
      </w:r>
      <w:r>
        <w:rPr>
          <w:rFonts w:ascii="Times New Roman;Times;Serif" w:hAnsi="Times New Roman;Times;Serif"/>
          <w:b w:val="false"/>
          <w:i w:val="false"/>
          <w:caps w:val="false"/>
          <w:smallCaps w:val="false"/>
          <w:sz w:val="20"/>
        </w:rPr>
        <w:t>whether the Notes of such series or, if applicable, any Note Guarantees of such series, will be secured by any collateral and, if so, the provisions and release mechanisms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(xviii)      </w:t>
      </w:r>
      <w:r>
        <w:rPr>
          <w:rFonts w:ascii="Times New Roman;Times;Serif" w:hAnsi="Times New Roman;Times;Serif"/>
          <w:b w:val="false"/>
          <w:i w:val="false"/>
          <w:caps w:val="false"/>
          <w:smallCaps w:val="false"/>
          <w:sz w:val="20"/>
        </w:rPr>
        <w:t>any restriction or condition on the transferability of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(xix)         </w:t>
      </w:r>
      <w:r>
        <w:rPr>
          <w:rFonts w:ascii="Times New Roman;Times;Serif" w:hAnsi="Times New Roman;Times;Serif"/>
          <w:b w:val="false"/>
          <w:i w:val="false"/>
          <w:caps w:val="false"/>
          <w:smallCaps w:val="false"/>
          <w:sz w:val="20"/>
        </w:rPr>
        <w:t>any addition or change in the provisions related to compensation and reimbursement of the Trustee which applies to Securities of such series;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          </w:t>
      </w:r>
      <w:r>
        <w:rPr>
          <w:rFonts w:ascii="Times New Roman;Times;Serif" w:hAnsi="Times New Roman;Times;Serif"/>
          <w:b w:val="false"/>
          <w:i w:val="false"/>
          <w:caps w:val="false"/>
          <w:smallCaps w:val="false"/>
          <w:sz w:val="20"/>
        </w:rPr>
        <w:t>any addition or change in the provisions related to supplemental indentures which applies to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         </w:t>
      </w:r>
      <w:r>
        <w:rPr>
          <w:rFonts w:ascii="Times New Roman;Times;Serif" w:hAnsi="Times New Roman;Times;Serif"/>
          <w:b w:val="false"/>
          <w:i w:val="false"/>
          <w:caps w:val="false"/>
          <w:smallCaps w:val="false"/>
          <w:sz w:val="20"/>
        </w:rPr>
        <w:t>provisions, if any, granting special rights to Holders upon the occurrence of specified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       </w:t>
      </w:r>
      <w:r>
        <w:rPr>
          <w:rFonts w:ascii="Times New Roman;Times;Serif" w:hAnsi="Times New Roman;Times;Serif"/>
          <w:b w:val="false"/>
          <w:i w:val="false"/>
          <w:caps w:val="false"/>
          <w:smallCaps w:val="false"/>
          <w:sz w:val="20"/>
        </w:rPr>
        <w:t>any addition to or change in the Events of Default which applies to any Notes of the series;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for any series that is not required to comply with the TIA, whether the provisions of this Indenture requiring compliance with, or otherwise incorporating by reference, the terms of the TIA shall apply to such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(xxiv)       </w:t>
      </w:r>
      <w:r>
        <w:rPr>
          <w:rFonts w:ascii="Times New Roman;Times;Serif" w:hAnsi="Times New Roman;Times;Serif"/>
          <w:b w:val="false"/>
          <w:i w:val="false"/>
          <w:caps w:val="false"/>
          <w:smallCaps w:val="false"/>
          <w:sz w:val="20"/>
        </w:rPr>
        <w:t>any other terms of the Notes of such series (which terms shall not be inconsistent with the provisions of this Indenture, except as permitted by Section 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caps w:val="false"/>
          <w:smallCaps w:val="false"/>
          <w:color w:val="010000"/>
          <w:sz w:val="20"/>
        </w:rPr>
        <w:t>Euroclear and Clearstream Procedures Applicable</w:t>
      </w:r>
      <w:r>
        <w:rPr>
          <w:rFonts w:ascii="Times New Roman;Times;Serif" w:hAnsi="Times New Roman;Times;Serif"/>
          <w:b w:val="false"/>
          <w:i w:val="false"/>
          <w:caps w:val="false"/>
          <w:smallCaps w:val="false"/>
          <w:color w:val="010000"/>
          <w:sz w:val="20"/>
        </w:rPr>
        <w:t>. The provisions of the “</w:t>
      </w:r>
      <w:r>
        <w:rPr>
          <w:rFonts w:ascii="Times New Roman;Times;Serif" w:hAnsi="Times New Roman;Times;Serif"/>
          <w:b w:val="false"/>
          <w:i/>
          <w:caps w:val="false"/>
          <w:smallCaps w:val="false"/>
          <w:color w:val="010000"/>
          <w:sz w:val="20"/>
        </w:rPr>
        <w:t>Operating Procedures of the Euroclear System</w:t>
      </w:r>
      <w:r>
        <w:rPr>
          <w:rFonts w:ascii="Times New Roman;Times;Serif" w:hAnsi="Times New Roman;Times;Serif"/>
          <w:b w:val="false"/>
          <w:i w:val="false"/>
          <w:caps w:val="false"/>
          <w:smallCaps w:val="false"/>
          <w:color w:val="010000"/>
          <w:sz w:val="20"/>
        </w:rPr>
        <w:t>” and “</w:t>
      </w:r>
      <w:r>
        <w:rPr>
          <w:rFonts w:ascii="Times New Roman;Times;Serif" w:hAnsi="Times New Roman;Times;Serif"/>
          <w:b w:val="false"/>
          <w:i/>
          <w:caps w:val="false"/>
          <w:smallCaps w:val="false"/>
          <w:color w:val="010000"/>
          <w:sz w:val="20"/>
        </w:rPr>
        <w:t>Terms and Conditions Governing Use of Euroclear</w:t>
      </w:r>
      <w:r>
        <w:rPr>
          <w:rFonts w:ascii="Times New Roman;Times;Serif" w:hAnsi="Times New Roman;Times;Serif"/>
          <w:b w:val="false"/>
          <w:i w:val="false"/>
          <w:caps w:val="false"/>
          <w:smallCaps w:val="false"/>
          <w:color w:val="010000"/>
          <w:sz w:val="20"/>
        </w:rPr>
        <w:t>” and the “</w:t>
      </w:r>
      <w:r>
        <w:rPr>
          <w:rFonts w:ascii="Times New Roman;Times;Serif" w:hAnsi="Times New Roman;Times;Serif"/>
          <w:b w:val="false"/>
          <w:i/>
          <w:caps w:val="false"/>
          <w:smallCaps w:val="false"/>
          <w:color w:val="010000"/>
          <w:sz w:val="20"/>
        </w:rPr>
        <w:t>General Terms and Conditions of Clearstream</w:t>
      </w:r>
      <w:r>
        <w:rPr>
          <w:rFonts w:ascii="Times New Roman;Times;Serif" w:hAnsi="Times New Roman;Times;Serif"/>
          <w:b w:val="false"/>
          <w:i w:val="false"/>
          <w:caps w:val="false"/>
          <w:smallCaps w:val="false"/>
          <w:color w:val="010000"/>
          <w:sz w:val="20"/>
        </w:rPr>
        <w:t>” and “</w:t>
      </w:r>
      <w:r>
        <w:rPr>
          <w:rFonts w:ascii="Times New Roman;Times;Serif" w:hAnsi="Times New Roman;Times;Serif"/>
          <w:b w:val="false"/>
          <w:i/>
          <w:caps w:val="false"/>
          <w:smallCaps w:val="false"/>
          <w:color w:val="010000"/>
          <w:sz w:val="20"/>
        </w:rPr>
        <w:t>Customer Handbook</w:t>
      </w:r>
      <w:r>
        <w:rPr>
          <w:rFonts w:ascii="Times New Roman;Times;Serif" w:hAnsi="Times New Roman;Times;Serif"/>
          <w:b w:val="false"/>
          <w:i w:val="false"/>
          <w:caps w:val="false"/>
          <w:smallCaps w:val="false"/>
          <w:color w:val="010000"/>
          <w:sz w:val="20"/>
        </w:rPr>
        <w:t>” of Clearstream (or, in each case, equivalent documents setting forth the procedures of Euroclear and Clearstream) shall be applicable to transfers of beneficial interests in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2.02       </w:t>
      </w:r>
      <w:r>
        <w:rPr>
          <w:rFonts w:ascii="Times New Roman;Times;Serif" w:hAnsi="Times New Roman;Times;Serif"/>
          <w:b w:val="false"/>
          <w:i w:val="false"/>
          <w:caps w:val="false"/>
          <w:smallCaps w:val="false"/>
          <w:sz w:val="20"/>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sign the Notes for the Issuer by manual or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Trustee. The signature shall be conclusive evidence that the Note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Issuer may deliver Notes executed by the Issuer to the Trustee for authentication; and the Trustee shall authenticate and deliver Notes upon a written order of the Issuer signed by an Officer of the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of Notes to be authenticated and the date on which the Notes are to be authenticated, and whether the Notes are to be issued as one or more Global Notes and such other information as the Issuer may include or the Trustee may reasonably request. The aggregate principal amount of Notes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2.03         </w:t>
      </w:r>
      <w:r>
        <w:rPr>
          <w:rFonts w:ascii="Times New Roman;Times;Serif" w:hAnsi="Times New Roman;Times;Serif"/>
          <w:b w:val="false"/>
          <w:i w:val="false"/>
          <w:caps w:val="false"/>
          <w:smallCaps w:val="false"/>
          <w:sz w:val="20"/>
        </w:rPr>
        <w:t>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in the Borough of Manhattan, the City of New York, where Notes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Notes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Until otherwise designated by the Issuer, the Issuer’s office or agency in New York shall be the office of the Trustee maintained for such purpose. The Registrar shall keep the Register of the Notes and of their transfer and exchange. The Issuer may appoint one or more co-registrars and one or more additional paying agents.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Issuer may change any Paying Agent or Registrar without notice to any Holder. The Registrar or Paying Agent may resign at any time upon not less than ten (10) Business Days’ prior written notice to the Issuer. The Issuer shall enter into an appropriate agency agreement with any Agent not a party to this Indenture, which shall incorporate any applicable terms of the TIA. The Issuer shall notify the Trustee in writing of the name and address of any Agent not a party to this Indenture. The Issuer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2.04         </w:t>
      </w:r>
      <w:r>
        <w:rPr>
          <w:rFonts w:ascii="Times New Roman;Times;Serif" w:hAnsi="Times New Roman;Times;Serif"/>
          <w:b w:val="false"/>
          <w:i w:val="false"/>
          <w:caps w:val="false"/>
          <w:smallCaps w:val="false"/>
          <w:sz w:val="20"/>
        </w:rPr>
        <w:t>Paying Agent to Hold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Paying Agent or, at the option of the Issuer,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all payments of principal, premium, if any, and interest with respect to the Notes represented by one or more Global Notes registered in the name or held by the Depositary shall be made by wire transfer of immediately available funds to accounts specified by the Holder prior to 10:00 a.m., New York time, on each due date of the principal and interest on any Note. The Issuer shall require each Paying Agent other than the Trustee to agree in writing that the Paying Agent shall hold for the benefit of Holders or the Trustee all money held by the Paying Agent for the payment of principal, premium, if any, or interest on the Notes of the Issuer,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fund for the benefit of Holders all money held by it as Paying Agent. Upon any bankruptcy or reorganization proceedings relating to the Issuer,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2.05         </w:t>
      </w:r>
      <w:r>
        <w:rPr>
          <w:rFonts w:ascii="Times New Roman;Times;Serif" w:hAnsi="Times New Roman;Times;Serif"/>
          <w:b w:val="false"/>
          <w:i w:val="false"/>
          <w:caps w:val="false"/>
          <w:smallCaps w:val="false"/>
          <w:sz w:val="20"/>
        </w:rPr>
        <w:t>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and shall otherwise comply with TIA § 312(a). If the Trustee is not the Registrar, the Issuer shall furnish to the Trustee at least seven (7) Business Days before each interest payment date but after the record date and at such other times as the Trustee may request in writing, a list in such form and as of such date as the Trustee may reasonably require of the names and addresses of Holders, and the Issuer shall otherwise comply with TIA § 312(a).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2.06         </w:t>
      </w:r>
      <w:r>
        <w:rPr>
          <w:rFonts w:ascii="Times New Roman;Times;Serif" w:hAnsi="Times New Roman;Times;Serif"/>
          <w:b w:val="false"/>
          <w:i w:val="false"/>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Issuer may require payment of a sum sufficient to cover any transfer tax or similar governmental charge payable in connection therewith (other than any such transfer tax or similar governmental charge payable upon exchanges pursuant to Section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Neither the Issuer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Each Global Note shall bear a legend in substantially the following form unless specifically stated otherwise in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caps w:val="false"/>
          <w:smallCaps w:val="false"/>
          <w:color w:val="010000"/>
          <w:sz w:val="20"/>
        </w:rPr>
        <w:t>Cancellation and/or Adjustment of Global Notes</w:t>
      </w:r>
      <w:r>
        <w:rPr>
          <w:rFonts w:ascii="Times New Roman;Times;Serif" w:hAnsi="Times New Roman;Times;Serif"/>
          <w:b w:val="false"/>
          <w:i w:val="false"/>
          <w:caps w:val="false"/>
          <w:smallCaps w:val="false"/>
          <w:color w:val="010000"/>
          <w:sz w:val="20"/>
        </w:rPr>
        <w:t>. At such time as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permit registrations of transfers and exchanges, the Issuer shall execute and the Trustee shall authenticate Global Notes upon the Issuer’s order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Holder may transfer or exchange Notes only in accordance with this Indenture. Upon any transfer or exchange, the Registrar and the Trustee may require a Holder, among other things, to furnish appropriate endorsements or transfer documents in connection with a transfer of Notes. No service charge shall be made to a Holder of a beneficial interest in a Global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and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All Global Notes issued upon any registration of transfer or exchange of Global Notes shall be the valid obligations of the Issuer, evidencing the same debt, and entitled to the same benefits under this Indenture, as the Global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Neither the Issuer nor the Registrar will be required (a) to transfer or exchange any Note selected for redemption in whole or in part, except the unredeemed portion of any Note being redeemed in part, or (b) to transfer or exchange any Note for a period of 15 days before the delivery of a notice of redemption of Notes to be redeemed or between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Trustee shall authenticate Global Notes in accordance with the provisions of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All certifications, certificates and Opinions of Counsel required to be submitted to the Registrar pursuant to this Section 2.06 to effect a registration of transfer or exchange may be submitted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Each Holder of a Note agrees to indemnify the Issuer and the Trustee against any liability that may result from the transfer, exchange or assignment of such Holder’s Security in violation of any provision of this Indenture and/or applicable United States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Neither the Trustee nor any Agent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Neither the Trustee nor the Registrar or Transfer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2.07         </w:t>
      </w:r>
      <w:r>
        <w:rPr>
          <w:rFonts w:ascii="Times New Roman;Times;Serif" w:hAnsi="Times New Roman;Times;Serif"/>
          <w:b w:val="false"/>
          <w:i w:val="false"/>
          <w:caps w:val="false"/>
          <w:smallCaps w:val="false"/>
          <w:sz w:val="20"/>
        </w:rPr>
        <w:t>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may charge for their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 and shall be entitled to all of the benefits of this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2.08         </w:t>
      </w:r>
      <w:r>
        <w:rPr>
          <w:rFonts w:ascii="Times New Roman;Times;Serif" w:hAnsi="Times New Roman;Times;Serif"/>
          <w:b w:val="false"/>
          <w:i w:val="false"/>
          <w:caps w:val="false"/>
          <w:smallCaps w:val="false"/>
          <w:sz w:val="20"/>
        </w:rP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Indenture, and those described in this Section 2.08 as not outstanding. Except as set forth in Section 2.09, a Note does not cease to be outstanding because the Issuer or an Affiliate of the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2.09         </w:t>
      </w:r>
      <w:r>
        <w:rPr>
          <w:rFonts w:ascii="Times New Roman;Times;Serif" w:hAnsi="Times New Roman;Times;Serif"/>
          <w:b w:val="false"/>
          <w:i w:val="false"/>
          <w:caps w:val="false"/>
          <w:smallCaps w:val="false"/>
          <w:sz w:val="20"/>
        </w:rPr>
        <w:t>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Person directly or indirectly controlled by or under direct or indirect common control with the Issuer or, if the TIA is applicable to this Indenture, to the extent required by the TIA, any person controlling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2.10         </w:t>
      </w:r>
      <w:r>
        <w:rPr>
          <w:rFonts w:ascii="Times New Roman;Times;Serif" w:hAnsi="Times New Roman;Times;Serif"/>
          <w:b w:val="false"/>
          <w:i w:val="false"/>
          <w:caps w:val="false"/>
          <w:smallCaps w:val="false"/>
          <w:sz w:val="20"/>
        </w:rPr>
        <w:t>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the same series and date of maturity in exchange for temporary Notes. 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2.11         </w:t>
      </w:r>
      <w:r>
        <w:rPr>
          <w:rFonts w:ascii="Times New Roman;Times;Serif" w:hAnsi="Times New Roman;Times;Serif"/>
          <w:b w:val="false"/>
          <w:i w:val="false"/>
          <w:caps w:val="false"/>
          <w:smallCaps w:val="false"/>
          <w:sz w:val="20"/>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2.12         </w:t>
      </w:r>
      <w:r>
        <w:rPr>
          <w:rFonts w:ascii="Times New Roman;Times;Serif" w:hAnsi="Times New Roman;Times;Serif"/>
          <w:b w:val="false"/>
          <w:i w:val="false"/>
          <w:caps w:val="false"/>
          <w:smallCaps w:val="false"/>
          <w:sz w:val="20"/>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it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The Issuer shall notify the Trustee in writing of the amount of defaulted interest proposed to be paid on each Note and the date of the proposed payment. The Issuer shall fix or cause to be fixed each such special record date and payment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special record date shall be less than 10 days prior to the related payment date for such defaulted interest. At least 15 days before the special record date, the Issuer (or, upon the written request of the Issuer, the Trustee in the name and at the expense of the Issuer) shall transmit to Holders a notice that states the special record date, the related payment date and the amount of such interest to be paid. The Trustee shall not at any time be under any duty or responsibility to any holder of Notes to 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2.13         </w:t>
      </w:r>
      <w:r>
        <w:rPr>
          <w:rFonts w:ascii="Times New Roman;Times;Serif" w:hAnsi="Times New Roman;Times;Serif"/>
          <w:b w:val="false"/>
          <w:i w:val="false"/>
          <w:caps w:val="false"/>
          <w:smallCaps w:val="false"/>
          <w:sz w:val="20"/>
        </w:rPr>
        <w:t>CUSIP, ISIN and Common Code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 issuing the Notes may use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numbers (if then generally in use), and, if so, the Trustee shall use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xml:space="preserve">” numbers in notices of redemption as a convenience to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numbers of any Notes.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3</w:t>
      </w:r>
      <w:r>
        <w:rPr>
          <w:rFonts w:ascii="Times New Roman;Times;Serif" w:hAnsi="Times New Roman;Times;Serif"/>
          <w:b/>
          <w:i w:val="false"/>
          <w:caps w:val="false"/>
          <w:smallCaps w:val="false"/>
          <w:sz w:val="20"/>
        </w:rPr>
        <w:b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3.01         </w:t>
      </w:r>
      <w:r>
        <w:rPr>
          <w:rFonts w:ascii="Times New Roman;Times;Serif" w:hAnsi="Times New Roman;Times;Serif"/>
          <w:b w:val="false"/>
          <w:i w:val="false"/>
          <w:caps w:val="false"/>
          <w:smallCaps w:val="false"/>
          <w:sz w:val="20"/>
        </w:rP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and prepayment terms, if any, with respect to any series of Notes will be set forth in one or more supplemental indentures governing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4</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4.01         </w:t>
      </w:r>
      <w:r>
        <w:rPr>
          <w:rFonts w:ascii="Times New Roman;Times;Serif" w:hAnsi="Times New Roman;Times;Serif"/>
          <w:b w:val="false"/>
          <w:i w:val="false"/>
          <w:caps w:val="false"/>
          <w:smallCaps w:val="false"/>
          <w:sz w:val="20"/>
        </w:rPr>
        <w:t>Payment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or cause to be paid the principal,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4.02         </w:t>
      </w:r>
      <w:r>
        <w:rPr>
          <w:rFonts w:ascii="Times New Roman;Times;Serif" w:hAnsi="Times New Roman;Times;Serif"/>
          <w:b w:val="false"/>
          <w:i w:val="false"/>
          <w:caps w:val="false"/>
          <w:smallCaps w:val="false"/>
          <w:sz w:val="20"/>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while the Issuer or any direct or indirect parent of the Issuer is otherwise subject to the reporting requirements of Section 13(a) or 15(d) of the Exchange Act, only for so long as such entity is required to be or remains subject to the reporting requirements of Section 13(a) or 15(d) of the Exchange Act, such entity shall file with the Trustee, and transmit to Holders, the annual reports, information, documents and other reports that such entity is required to file with the Commission pursuant to Section 13 or 15(d) of the Exchange Act within 15 days after the same is so required to be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above, for so long as the Issuer is a direct or indirect majority-owned subsidiary of any Person which, directly or indirectly, owns a majority of the outstanding common equity interests of the Issuer, if such Person which, directly or indirectly, owns a majority of the outstanding common equity interests of the Issuer has furnished the Holders of the Notes or filed electronically with the SEC the reports described in the preceding paragraphs (to the extent required to file such reports under Section 13(a) or 15(d) of the Exchange Act) with respect to such Person which, directly or indirectly, owns a majority of the outstanding common equity interests of the Issuer and such reports include a brief explanation (or such explanation is otherwise made available to the Holders) of the material differences between the financial statements of such Person and that of the Issuer, then in each case, the Issuer shall be deemed to be in compliance with this Section 4.02.</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information filed with the SEC and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made available on the website of the Issuer or any Person which, directly or indirectly, owns a majority of the outstanding common equity interests of the Issuer shall be deemed transmitted, filed and delivered as required under this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4.03         </w:t>
      </w:r>
      <w:r>
        <w:rPr>
          <w:rFonts w:ascii="Times New Roman;Times;Serif" w:hAnsi="Times New Roman;Times;Serif"/>
          <w:b w:val="false"/>
          <w:i w:val="false"/>
          <w:caps w:val="false"/>
          <w:smallCaps w:val="false"/>
          <w:sz w:val="20"/>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Issuer shall deliver to the Trustee, within 120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the Indenture, and further stating, as to such Officer signing such certificate, that to the best of his or her knowledge the Issuer has kept, observed, performed and fulfilled each and every covenant contained in the Indenture and is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Issuer shall, so long as any of the Notes are outstanding, deliver to the Trustee, forthwith upon any Officer within 30 days after becoming aware of any Default or Event of Default, an Officer’s Certificate specifying such Default or Event of Default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5</w:t>
      </w:r>
      <w:r>
        <w:rPr>
          <w:rFonts w:ascii="Times New Roman;Times;Serif" w:hAnsi="Times New Roman;Times;Serif"/>
          <w:b/>
          <w:i w:val="false"/>
          <w:caps w:val="false"/>
          <w:smallCaps w:val="false"/>
          <w:sz w:val="20"/>
        </w:rPr>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5 shall not apply to the Issuer unless and until the Issuer executes a supplemental indenture expressly subjecting itself to this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5.01         </w:t>
      </w:r>
      <w:r>
        <w:rPr>
          <w:rFonts w:ascii="Times New Roman;Times;Serif" w:hAnsi="Times New Roman;Times;Serif"/>
          <w:b w:val="false"/>
          <w:i w:val="false"/>
          <w:caps w:val="false"/>
          <w:smallCaps w:val="false"/>
          <w:sz w:val="20"/>
        </w:rPr>
        <w:t>Merger, Consolidation or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consolidate with or merge with or into, or convey, transfer or lease, in one transaction or a series of transactions all or substantially all its assets to, any Person (other than a Subsidiary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resulting, surviving or transferee Person (the “</w:t>
      </w:r>
      <w:r>
        <w:rPr>
          <w:rFonts w:ascii="Times New Roman;Times;Serif" w:hAnsi="Times New Roman;Times;Serif"/>
          <w:b w:val="false"/>
          <w:i/>
          <w:caps w:val="false"/>
          <w:smallCaps w:val="false"/>
          <w:sz w:val="20"/>
        </w:rPr>
        <w:t>Successor Company</w:t>
      </w:r>
      <w:r>
        <w:rPr>
          <w:rFonts w:ascii="Times New Roman;Times;Serif" w:hAnsi="Times New Roman;Times;Serif"/>
          <w:b w:val="false"/>
          <w:i w:val="false"/>
          <w:caps w:val="false"/>
          <w:smallCaps w:val="false"/>
          <w:sz w:val="20"/>
        </w:rPr>
        <w:t xml:space="preserve">”) shall be a Person organized and existing under the laws of the (u) United States of America, any State thereof or the District of Columbia, (v) Canada, (w) Ireland, (x) England and Wales, (y) any member state of the European Union as in effect on the issue date of the applicable series of Notes or (z) Switzerland and the Successor Company (if not the Issuer) shall expressly assume, by an indenture supplemental thereto, executed and delivered to the Trustee, in form reasonably satisfactory to the Trustee, all the obligations of the Issuer under the Notes and the Indenture and, with respect to any series of Notes that are secured, if applicable, the Successor Company (if not the Issuer) shall, by supplement to the security documents, assume all obligations of the Issuer under the applicable security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Successor Company may not be a Person organized outside of the United States of America, any State thereof or the District of Columbia unless the Issuer determines in good faith that such jurisdiction would not result in material adverse tax consequences to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immediately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shall have delivered to the Trustee an Officer’s Certificate and an Opinion of Counsel stating that such consolidation, merger or transfer and such supplemental indenture (if any) comply with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5.01, the sale, lease, conveyance, assignment, transfer or other disposition of all or substantially all of the assets of one or more Subsidiaries of the Issuer, which assets, if held by the Issuer instead of such Subsidiaries, would constitute all or substantially all of the assets of the Issuer on a consolidated basis, shall be deemed to be the transfer of all or substantially all of the assets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Company will be the successor to the Issuer and shall succeed to, and be substituted for, and may exercise every right and power of, the Issuer under the Indenture, and the predecessor company, except in the case of a lease, shall be released from its obligations under this Indenture, any applicable security documents and any applicable intercreditor agreements, including the obligation to pay the principal of and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5.01, “all or substantially all” means assets contributing in the aggregate at least 80% of the Issuer’s total consolidated revenues as reported in the Issuer’s last available periodic financial report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this Section 5.01 will not apply to transactions by and among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6</w:t>
      </w:r>
      <w:r>
        <w:rPr>
          <w:rFonts w:ascii="Times New Roman;Times;Serif" w:hAnsi="Times New Roman;Times;Serif"/>
          <w:b/>
          <w:i w:val="false"/>
          <w:caps w:val="false"/>
          <w:smallCaps w:val="false"/>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6 shall not apply to the Issuer unless and until the Issuer executes a supplemental indenture expressly subjecting itself to this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6.01         </w:t>
      </w:r>
      <w:r>
        <w:rPr>
          <w:rFonts w:ascii="Times New Roman;Times;Serif" w:hAnsi="Times New Roman;Times;Serif"/>
          <w:b w:val="false"/>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Notes of any series shall mean one of the following described events unless it is either inapplicable to a particular series or it is specifically deleted or modified in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 default in the payment of interest on the Notes of such series when due, continued for 30 days;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a default in the payment of the principal of or premium, if any, on any Note of such series when due at maturity, upon optional redemption, upon required 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the failure by the Issuer or, if any Note Guarantees are issued with respect to such series, any Subsidiary Guarantor to comply for 60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(x) a Default under this clause (3) will not constitute an Event of Default with respect to a series of Notes until the Trustee or the Holders of 30% in principal amount of the outstanding Notes of such series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(I) the Issuer or, if any Note Guarantees are issued with respect to such series, any Subsidiary Guarantor that is a Material Subsidiary (or group of Subsidiary Guarantors that, taken together, would constitute a Material Subsidiary) pursuant to or within the meaning of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for relief against the Issuer or, if any Note Guarantees are issued with respect to such series, a Subsidiary Guarantor that is a Material Subsidiary (or group of Subsidiary Guarantors that, taken together, would constitute a Material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appoints a custodian of the Issuer or, if any Note Guarantees are issued with respect to such series,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orders the liquidation of the Issuer or, if any Note Guarantees are issued with respect to such series, a Subsidiary Guarantor that is a Material Subsidiary (or group of Subsidiary Guarantors that, taken together, would constitute a Material Subsidiary), and the order or decree remains unstayed and in effect for 60 consecutive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if any Note Guarantees are issued with respect to such series,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Notes issued under this Indenture will not necessarily be a Default under another series of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6.02         </w:t>
      </w:r>
      <w:r>
        <w:rPr>
          <w:rFonts w:ascii="Times New Roman;Times;Serif" w:hAnsi="Times New Roman;Times;Serif"/>
          <w:b w:val="false"/>
          <w:i w:val="false"/>
          <w:caps w:val="false"/>
          <w:smallCaps w:val="false"/>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arising from Section 6.01(4) with respect to the Issuer occurs and is continuing, the principal of and accrued but unpaid interest on all outstanding Notes shall </w:t>
      </w:r>
      <w:r>
        <w:rPr>
          <w:rFonts w:ascii="Times New Roman;Times;Serif" w:hAnsi="Times New Roman;Times;Serif"/>
          <w:b w:val="false"/>
          <w:i/>
          <w:caps w:val="false"/>
          <w:smallCaps w:val="false"/>
          <w:sz w:val="20"/>
        </w:rPr>
        <w:t xml:space="preserve">ipso facto </w:t>
      </w:r>
      <w:r>
        <w:rPr>
          <w:rFonts w:ascii="Times New Roman;Times;Serif" w:hAnsi="Times New Roman;Times;Serif"/>
          <w:b w:val="false"/>
          <w:i w:val="false"/>
          <w:caps w:val="false"/>
          <w:smallCaps w:val="false"/>
          <w:sz w:val="20"/>
        </w:rPr>
        <w:t>become and be immediately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of any series occurs and is continuing, the Trustee or the Holders of at least 30% in principal amount of the then outstanding Notes of such series may declare the principal of and accrued but unpaid interest on all the Notes of such series to be due and payable. Upon such a declaration, such principal and interest shall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Notes of any series then outstanding by written notice to the Trustee may on behalf of all of the Holders of such series rescind an acceleration and its consequences with respect to such series of Notes if the rescission would not conflict with any judgment or decree and if all existing Events of Default (except non-payment of principal, interest or premium that has become due solely because of the acceleration) have been cured or waived. Any time period in this Indenture to cure any actual or alleged Default or Event of Default with respect to each series of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sz w:val="20"/>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val="false"/>
          <w:i/>
          <w:caps w:val="false"/>
          <w:smallCaps w:val="false"/>
          <w:sz w:val="20"/>
        </w:rPr>
        <w:t>Directing Holder</w:t>
      </w:r>
      <w:r>
        <w:rPr>
          <w:rFonts w:ascii="Times New Roman;Times;Serif" w:hAnsi="Times New Roman;Times;Serif"/>
          <w:b w:val="false"/>
          <w:i w:val="false"/>
          <w:caps w:val="false"/>
          <w:smallCaps w:val="false"/>
          <w:sz w:val="20"/>
        </w:rPr>
        <w:t>”) must be accompanied by a written representation from each such Holder to the Issuer and the Trustee that such Holder is not (or, in the case such Holder is DTC or its nominee, that such Holder is being instructed solely by beneficial owners that are not) Net Short (a “</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Default, shall be deemed repeated at all times until the resulting Event of Default is cured or otherwise ceases to exist or the applicable series of Notes are accelerated. In addition, each Directing Holder must, at the time of providing a Noteholder Direction, covenant to provide the Issuer with such other information as the Issuer may reasonably request from time to time in order to verify the accuracy of such Directing Holder’s Position Representation within five Business Days of request therefor (a “</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of the applicable series,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of the applicable series,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provided, however, this shall not invalidate any indemnity or security provided by the Directing Holders to the Trustee which obligations shall continue to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their acquisition of the Notes, each Holder and subsequent purchaser of the Notes consents to the delivery of its Position Representation by the Trustee to the Issuer in accordance with the terms of this Section.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will treat all holders equally with respect to their rights under this Section. In connection with the requisite percentages required under this Section, the Trustee shall also treat all outstanding Notes equally irrespective of any Position Representation in determining whether the requisite percentage has been obtained with respect to the initial delivery of the Noteholder Direction. The Issuer hereby confirms that any and all other actions that the Trustee takes or omits to take under this Section and all fees, costs and expenses of the Trustee and its agents and counsel arising hereunder and in connection herewith shall be covered by the Issuer’s indemnification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monitor or determine whether a Holder is Net Short and can rely conclusively on the Officer’s Certificates delivered by the Issuer and determinations made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6.03         </w:t>
      </w:r>
      <w:r>
        <w:rPr>
          <w:rFonts w:ascii="Times New Roman;Times;Serif" w:hAnsi="Times New Roman;Times;Serif"/>
          <w:b w:val="false"/>
          <w:i w:val="false"/>
          <w:caps w:val="false"/>
          <w:smallCaps w:val="false"/>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6.04         </w:t>
      </w:r>
      <w:r>
        <w:rPr>
          <w:rFonts w:ascii="Times New Roman;Times;Serif" w:hAnsi="Times New Roman;Times;Serif"/>
          <w:b w:val="false"/>
          <w:i w:val="false"/>
          <w:caps w:val="false"/>
          <w:smallCaps w:val="false"/>
          <w:sz w:val="20"/>
        </w:rPr>
        <w:t>Waiver of Existing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Notes of any series by notice to the Trustee may on behalf of the Holders of all of the Notes of such series waive any existing Default or Event of Default and its consequences hereunder, except a continuing Default or Event of Default in the payment of the principal of, premium, if any, or interest on, the Notes of such series (including in connection with an offer to purchase)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aggregate principal amount of the then outstanding Notes of such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6.05         </w:t>
      </w:r>
      <w:r>
        <w:rPr>
          <w:rFonts w:ascii="Times New Roman;Times;Serif" w:hAnsi="Times New Roman;Times;Serif"/>
          <w:b w:val="false"/>
          <w:i w:val="false"/>
          <w:caps w:val="false"/>
          <w:smallCaps w:val="false"/>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the Holders of a majority in principal amount of the outstanding Notes of a series are given the right to direct the time, method and place of conducting any proceeding for any remedy available to the Trustee or of exercising any trust or power conferred on the Trustee with respect to the Notes of such series. The Trustee, however, may refuse to follow any direction that conflicts with law or the Indenture or that the Trustee determines is unduly prejudicial to the rights of any other Holder of a Note of such series or that would involve the Trustee in personal liability.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6.06         </w:t>
      </w:r>
      <w:r>
        <w:rPr>
          <w:rFonts w:ascii="Times New Roman;Times;Serif" w:hAnsi="Times New Roman;Times;Serif"/>
          <w:b w:val="false"/>
          <w:i w:val="false"/>
          <w:caps w:val="false"/>
          <w:smallCaps w:val="false"/>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7, in case an Event of Default occurs and is continuing, the Trustee will be under no obligation to exercise any of the rights or powers under this Indenture or the related security documents at the request or direction of any of the Holders of a series of Notes unless such Holders have offered to the Trustee indemnity or security satisfactory to it against any loss, liability or expense. Subject to the applicable intercreditor agreements, except to enforce the right to receive payment of principal, premium (if any) or interest when due, no Holder of a Note of a series may pursue any remedy with respect to the Indenture or the Notes of such series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such Holder has previously given the Trustee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Holders of at least 30% in principal amount of the outstanding Notes of such series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such Holders have offered the Trustee security or indemnity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the Trustee has not complied with such request within 60 days after the receipt thereof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Holders of a majority in principal amount of the outstanding Notes of such series have not given the Trustee a direction inconsistent with such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one or more of such Holders will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6.07          </w:t>
      </w:r>
      <w:r>
        <w:rPr>
          <w:rFonts w:ascii="Times New Roman;Times;Serif" w:hAnsi="Times New Roman;Times;Serif"/>
          <w:b w:val="false"/>
          <w:i w:val="false"/>
          <w:caps w:val="false"/>
          <w:smallCaps w:val="false"/>
          <w:sz w:val="20"/>
        </w:rPr>
        <w:t>Rights of Holders of Notes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to receive payment of principal, premium, if any, and interest on any Note, on or after the respective due dates expressed in such Note (including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6.08         </w:t>
      </w:r>
      <w:r>
        <w:rPr>
          <w:rFonts w:ascii="Times New Roman;Times;Serif" w:hAnsi="Times New Roman;Times;Serif"/>
          <w:b w:val="false"/>
          <w:i w:val="false"/>
          <w:caps w:val="false"/>
          <w:smallCaps w:val="false"/>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6.01(1) or (2)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6.09         </w:t>
      </w:r>
      <w:r>
        <w:rPr>
          <w:rFonts w:ascii="Times New Roman;Times;Serif" w:hAnsi="Times New Roman;Times;Serif"/>
          <w:b w:val="false"/>
          <w:i w:val="false"/>
          <w:caps w:val="false"/>
          <w:smallCaps w:val="false"/>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Holders allowed in any judicial proceedings relative to the Issuer (or any other obligor upon the Notes),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6.10          </w:t>
      </w:r>
      <w:r>
        <w:rPr>
          <w:rFonts w:ascii="Times New Roman;Times;Serif" w:hAnsi="Times New Roman;Times;Serif"/>
          <w:b w:val="false"/>
          <w:i w:val="false"/>
          <w:caps w:val="false"/>
          <w:smallCaps w:val="false"/>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and security documents, if the Trustee collects any money pursuant to this Article 6 from the Issuer (or any other obligor on any of the Notes),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owing to the Trustee in all of its capacities, including all reasonable costs and expenses incurred by the Trustee in connection with the receipt of such amounts or otherwise;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extent such money remain after the application pursuant to preceding clause “First”, to the Trustee for the payment in full of the other Notes Obligations, ratably, without preference or priority of any kind, according to the amounts due and payable with respect to the Notes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any balance of such money remaining after the application pursuant to the preceding clauses “First” and “Second”, to the Issuer, its successors or assigns, or to whomever may be lawfully entitled to receive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6.11         </w:t>
      </w:r>
      <w:r>
        <w:rPr>
          <w:rFonts w:ascii="Times New Roman;Times;Serif" w:hAnsi="Times New Roman;Times;Serif"/>
          <w:b w:val="false"/>
          <w:i w:val="false"/>
          <w:caps w:val="false"/>
          <w:smallCaps w:val="false"/>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then outstanding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7</w:t>
      </w:r>
      <w:r>
        <w:rPr>
          <w:rFonts w:ascii="Times New Roman;Times;Serif" w:hAnsi="Times New Roman;Times;Serif"/>
          <w:b/>
          <w:i w:val="false"/>
          <w:caps w:val="false"/>
          <w:smallCaps w:val="false"/>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7.01          </w:t>
      </w:r>
      <w:r>
        <w:rPr>
          <w:rFonts w:ascii="Times New Roman;Times;Serif" w:hAnsi="Times New Roman;Times;Serif"/>
          <w:b w:val="false"/>
          <w:i w:val="false"/>
          <w:caps w:val="false"/>
          <w:smallCaps w:val="false"/>
          <w:sz w:val="20"/>
        </w:rPr>
        <w:t>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If an Event of Default with respect to the Notes of any series has occurred and is continuing, the Trustee shall, with respect to such series,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Except during the continuance of an Event of Default with respect to any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duties of the Trustee, with respect to the Notes of any series,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the absence of bad faith on its part, the Trustee may conclusively rely, as to the truth of the statements and the correctness of the opinions expressed therein, upon certificates or opinions required to be furnished to the Trustee hereunder and conforming to the requirements of this Indenture. However, in the case of certificates or opinions specifically required by any provision hereof to be furnished to it, the Trustee shall examine such certificates and opinions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Trustee may not be relieved from liabilities for its own gross negligent action, its own gross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paragraph (3) does not limit the effect of paragraph (2)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shall not be liable for any error of judgment made in good faith by a Responsible Officer of the Trustee, unless it is proved that the Trustee was grossly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shall not be liable with respect to any action it takes or omits to take in good faith in accordance with a direction received by it pursuant to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Whether or not therein expressly so provided, every provision of this Indenture that in any way relates to the Trustee is subject to paragraphs (1), (2), and (3)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claim, damage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or other paper or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7.02         </w:t>
      </w:r>
      <w:r>
        <w:rPr>
          <w:rFonts w:ascii="Times New Roman;Times;Serif" w:hAnsi="Times New Roman;Times;Serif"/>
          <w:b w:val="false"/>
          <w:i w:val="false"/>
          <w:caps w:val="false"/>
          <w:smallCaps w:val="false"/>
          <w:sz w:val="20"/>
        </w:rPr>
        <w:t>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Trustee may conclusively rely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own selection and the advice or opinion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Trustee may act through its attorneys and agents and shall not be responsible for the misconduct or negligence of any agent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The Trustee shall not be liable for any action it takes or omits to take in good faith that it believes to be authorized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Unless otherwise specifically provided in this Indenture, any demand, request, direction or notice from the Issuer shall be sufficient if signed by an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 direction of any of Holder unless such Holder shall have offered to the Trustee security or indemnity satisfactory to it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Trustee shall not be charged with knowledge of any Default or Event of Default unless either (a) a Responsible Officer of the Trustee shall have actual knowledge of such Default or Event of Default or (b) written notice of such Default or Event of Default shall have been given to and received at the Corporate Trust Office of the Trustee by the Issuer or any Holder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any collateral agent with respect to the Notes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The Trustee may request that the Issuer deliver certificates setting forth the names of individuals and/or titles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The Trustee shall not be required to give any bond or surety in respect of the performance of its powers and duties 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The permissive rights of the Trustee enumerated in this Indenture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         </w:t>
      </w:r>
      <w:r>
        <w:rPr>
          <w:rFonts w:ascii="Times New Roman;Times;Serif" w:hAnsi="Times New Roman;Times;Serif"/>
          <w:b w:val="false"/>
          <w:i w:val="false"/>
          <w:caps w:val="false"/>
          <w:smallCaps w:val="false"/>
          <w:sz w:val="20"/>
        </w:rPr>
        <w:t>It shall not be the duty of the Trustee to see that any duties or obligations imposed herein upon the Issuer or other persons are performed, and the Trustee shall not be liable or responsible for the failure of the Issuer or such other persons to perform any act required of them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7.03         </w:t>
      </w:r>
      <w:r>
        <w:rPr>
          <w:rFonts w:ascii="Times New Roman;Times;Serif" w:hAnsi="Times New Roman;Times;Serif"/>
          <w:b w:val="false"/>
          <w:i w:val="false"/>
          <w:caps w:val="false"/>
          <w:smallCaps w:val="false"/>
          <w:sz w:val="20"/>
        </w:rPr>
        <w:t>Individual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Notes and may otherwise deal with the Issuer or any Affiliate of the Issuer with the same rights it would have if it were not the Trustee. However, in the event that the Trustee acquires any conflicting interest, it must eliminate such conflict within 90 days and apply to the SEC for permission to continue as trustee or resign. Any Agent may do the same with like rights and duties. The Trustee is also subject to Sections 7.10 and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7.04         </w:t>
      </w:r>
      <w:r>
        <w:rPr>
          <w:rFonts w:ascii="Times New Roman;Times;Serif" w:hAnsi="Times New Roman;Times;Serif"/>
          <w:b w:val="false"/>
          <w:i w:val="false"/>
          <w:caps w:val="false"/>
          <w:smallCaps w:val="false"/>
          <w:sz w:val="20"/>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7.05         </w:t>
      </w:r>
      <w:r>
        <w:rPr>
          <w:rFonts w:ascii="Times New Roman;Times;Serif" w:hAnsi="Times New Roman;Times;Serif"/>
          <w:b w:val="false"/>
          <w:i w:val="false"/>
          <w:caps w:val="false"/>
          <w:smallCaps w:val="false"/>
          <w:sz w:val="20"/>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and if it is actually known to a Responsible Officer of the Trustee, the Trustee shall transmit to Holders a notice of the Default or Event of Default within 90 days after the Trustee acquires knowledge thereof. Except in the case of a Default or Event of Default in payment of principal of, premium, if any, or interest on any Note, the Trustee may withhold the notice if and so long as it in good faith determines that withholding the notice is not opposed to the interests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7.06         </w:t>
      </w:r>
      <w:r>
        <w:rPr>
          <w:rFonts w:ascii="Times New Roman;Times;Serif" w:hAnsi="Times New Roman;Times;Serif"/>
          <w:b w:val="false"/>
          <w:i w:val="false"/>
          <w:caps w:val="false"/>
          <w:smallCaps w:val="false"/>
          <w:sz w:val="20"/>
        </w:rPr>
        <w:t>Reports by Trustee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March 15th of each year, and for so long as any Notes remain outstanding, the Trustee shall transmit to Holders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all reports as required by TIA §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transmittal to Holders shall be transmitted to the Issuer and filed with the SEC and each stock exchange on which the Notes are listed in accordance with TIA § 313(d). The Issuer shall promptly notify the Trustee when the Notes are listed or delisted on any stock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7.07         </w:t>
      </w:r>
      <w:r>
        <w:rPr>
          <w:rFonts w:ascii="Times New Roman;Times;Serif" w:hAnsi="Times New Roman;Times;Serif"/>
          <w:b w:val="false"/>
          <w:i w:val="false"/>
          <w:caps w:val="false"/>
          <w:smallCaps w:val="false"/>
          <w:sz w:val="20"/>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to the Trustee from time to time compensation as agreed upon in writing for its acceptance of this Indenture and services hereunder. The Trustee’s compensation shall not be limited by any law on compensation of a trustee of an express trust. The Issuer shall reimburse the Trustee promptly upon request for all disbursements, advances and expenses incurred or made by it in addition to the compensation for its services. Such expenses shall include the reasonable compensation, disbursements and expenses of the Trustee’s agents and counsel, including reasonable legal fees and expenses, including legal fees, costs, and expenses incurred in connection with enforcement of its indemnification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indemnify the Trustee and any predecessor trustee against any and all losses, liabilities, claims, damages or expenses (including reasonable legal fees and expenses) including taxes (other than taxes based upon, measured by or determined by the income of the Trustee) incurred by it arising out of or in connection with the acceptance or administration of its duties under this Indenture, including the costs and expenses of enforcing this Indenture against the Issuer (including this Section 7.07) and defending itself against any claim (whether asserted by the Issuer or any Holder or any other person) or liability in connection with the exercise or performance of any of its powers or duties hereunder, except to the extent any such loss, damage, claim, liability or expense determined, in a final judgment by a court of competent jurisdiction, to have been caused by its own gross negligence or willful misconduct. The Trustee shall notify the Issuer promptly of any claim for which it may seek indemnity of which a Responsible Officer of the Trustee has received written notice.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Issuer in this Section 7.07 shall survive resignation or removal of the Trustee and the satisfaction, discharge or termination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Issuer’s payment obligations in this Section 7.07, the Trustee shall have a Lien prior to the Notes on all money or property held or collected by the Trustee, except such money or property held in trust by the Trustee to pay the principal of and interest on any Notes. Such Lien shall survive the resignation or removal of the Trustee and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6.01(4) occurs, the expenses and the compensation for the services (including the fees and expenses of its agents and counsel) are intended to constitute expenses of administration under any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the provisions of TIA § 313(b)(2) to the extent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7.08         </w:t>
      </w:r>
      <w:r>
        <w:rPr>
          <w:rFonts w:ascii="Times New Roman;Times;Serif" w:hAnsi="Times New Roman;Times;Serif"/>
          <w:b w:val="false"/>
          <w:i w:val="false"/>
          <w:caps w:val="false"/>
          <w:smallCaps w:val="false"/>
          <w:sz w:val="20"/>
        </w:rPr>
        <w:t>Replacement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fails to comply with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is adjudged as bankrupt or as insolvent or an order for relief is entered with respect to the Trustee under any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the Issuer or the Holders of at least 10% in principal amount of the then outstanding Notes may petition at the expense of the Issuer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transmit a notice of its succession to Holders. The retiring Trustee shall promptly transfer all property held by it as Trustee to the successor Trustee;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all sums owing to the Trustee hereunder have been paid and subject to the Lien provided for in Section 7.07. Notwithstanding replacement of the Trustee pursuant to this Section 7.08, the Issuer’s obligations under Section 7.07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event shall occur no less than 31 days after the Trustee’s receipt of notice of removal from the Issuer or a majority of the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7.09         </w:t>
      </w:r>
      <w:r>
        <w:rPr>
          <w:rFonts w:ascii="Times New Roman;Times;Serif" w:hAnsi="Times New Roman;Times;Serif"/>
          <w:b w:val="false"/>
          <w:i w:val="false"/>
          <w:caps w:val="false"/>
          <w:smallCaps w:val="false"/>
          <w:sz w:val="20"/>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is subject to TIA § 310(b).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7.11         </w:t>
      </w:r>
      <w:r>
        <w:rPr>
          <w:rFonts w:ascii="Times New Roman;Times;Serif" w:hAnsi="Times New Roman;Times;Serif"/>
          <w:b w:val="false"/>
          <w:i w:val="false"/>
          <w:caps w:val="false"/>
          <w:smallCaps w:val="false"/>
          <w:sz w:val="20"/>
        </w:rPr>
        <w:t>Preferential Collection of Claims Against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8</w:t>
      </w:r>
      <w:r>
        <w:rPr>
          <w:rFonts w:ascii="Times New Roman;Times;Serif" w:hAnsi="Times New Roman;Times;Serif"/>
          <w:b/>
          <w:i w:val="false"/>
          <w:caps w:val="false"/>
          <w:smallCaps w:val="false"/>
          <w:sz w:val="20"/>
        </w:rPr>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8.01         </w:t>
      </w:r>
      <w:r>
        <w:rPr>
          <w:rFonts w:ascii="Times New Roman;Times;Serif" w:hAnsi="Times New Roman;Times;Serif"/>
          <w:b w:val="false"/>
          <w:i w:val="false"/>
          <w:caps w:val="false"/>
          <w:smallCaps w:val="false"/>
          <w:sz w:val="20"/>
        </w:rPr>
        <w:t>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elect to have either Section 8.02 or 8.03 applied to all outstanding Notes of any series upon compliance with the conditions set forth below in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8.02         </w:t>
      </w:r>
      <w:r>
        <w:rPr>
          <w:rFonts w:ascii="Times New Roman;Times;Serif" w:hAnsi="Times New Roman;Times;Serif"/>
          <w:b w:val="false"/>
          <w:i w:val="false"/>
          <w:caps w:val="false"/>
          <w:smallCaps w:val="false"/>
          <w:sz w:val="20"/>
        </w:rPr>
        <w:t>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8.02, the Issuer shall, subject to the satisfaction of the conditions set forth in Section 8.04, be deemed to have been discharged from their obligations with respect to all outstanding Notes of such series on the date the conditions set forth below are satisfied (hereinafter,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For this purpose, Legal Defeasance means that the Issuer shall be deemed to have paid and discharged the entire Indebtedness represented by the outstanding Notes of such series, which shall thereafter be deemed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only for the purposes of Section 8.05 and the other Sections of this Indenture referred to in (a) and (b) below, and to have satisfied all their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rights of Holders of outstanding Notes of such series to receive payments in respect of the principal of, premium, if any, and interest on such Notes when such payments are due from the trust referred to below;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Issuer’s obligations with respect to the Notes of such series concerning issuing temporary Notes, mutilated, destroyed, lost or stolen Notes and the maintenance of an office or agency for payment and money for security payments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rights, powers, trusts, duties and immunities of the Trustee and the Issuer’s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Legal Defeasance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Issuer may exercise its option under this Section 8.02 notwithstanding the prior exercise of their option under Section 8.03.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8.03         </w:t>
      </w:r>
      <w:r>
        <w:rPr>
          <w:rFonts w:ascii="Times New Roman;Times;Serif" w:hAnsi="Times New Roman;Times;Serif"/>
          <w:b w:val="false"/>
          <w:i w:val="false"/>
          <w:caps w:val="false"/>
          <w:smallCaps w:val="false"/>
          <w:sz w:val="20"/>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8.03 with respect to any series of Notes, the Issuer shall, subject to the satisfaction of the conditions set forth in Section 8.04, be released from its obligations under the covenants contained in Article 5 with respect to the outstanding Notes of such series on and after the date the conditions set forth in Section 8.04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of such series shall thereafter be deemed not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the purposes of any direction, waiver, consent or declaration or act of Holders (and the consequences of any thereof) in connection with such covenants, but shall continue to be deemed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all other purposes hereunder (it being understood that such Notes shall not be deemed outstanding for accounting purposes). For this purpose, Covenant Defeasance means that, with respect to the outstanding Notes of such series,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Issuer’s exercise under Section 8.01 of the option applicable to this Section 8.03, subject to the satisfaction of the conditions set forth in Section 8.04, Sections 6.01 (3), 6.01(4) (solely with respect to the Subsidiary Guarantors) and 6.01(5)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8.04          </w:t>
      </w:r>
      <w:r>
        <w:rPr>
          <w:rFonts w:ascii="Times New Roman;Times;Serif" w:hAnsi="Times New Roman;Times;Serif"/>
          <w:b w:val="false"/>
          <w:i w:val="false"/>
          <w:caps w:val="false"/>
          <w:smallCaps w:val="false"/>
          <w:sz w:val="20"/>
        </w:rPr>
        <w:t>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pursuant to Section 8.02 or Covenant Defeasance pursuant to Section 8.03 with respect to a series of Notes, the following conditions must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Issuer must irrevocably deposit or cause to be deposited with the Trustee, in trust, for the benefit of the Holders, cash in U.S. dollars, U.S. Government Obligations, or a combination thereof, in such amounts as are expected to be sufficient, in the opinion of a nationally recognized investment bank, appraisal firm or firm of independent accountants, to pay the principal of, premium, if any, and interest on the outstanding Notes of such series on the Stated Maturity or on the applicable redemption date, as the case may be, and the Issuer must specify whether the Notes of such series are being defeased to maturity or to a particular redemption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in the case of Legal Defeasance, the Issuer shall have delivered to the Trustee an Opinion of Counsel reasonably acceptable to the Trustee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Issuer has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since the date such Notes of such series were first issued, there has been a change in the applicable federal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the Holders of the outstanding Notes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in the case of Covenant Defeasance, the Issuer shall have delivered to the Trustee an Opinion of Counsel reasonably acceptable to the Trustee confirming that the Holders of the outstanding Notes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no Default or Event of Default shall have occurred and be continuing (on the date of such deposit (other than resulting from the borrowing of funds to be applied to such deposit and the grant of any Lien securing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such Legal Defeasance or Covenant Defeasance will not result in a breach or violation of, or constitute a default under any material agreement or instrument (other than this Indenture) to which the Issuer or any of its Subsidiaries is a party or by which the Issuer or any of its Subsidiaries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Issuer must deliver to the Trustee an Officer’s Certificate stating that the deposit was not made by the Issuer with the intent of preferring Holders over the other creditors of the Issuer with the intent of defeating, hindering, delaying or defrauding creditors of the Issuer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Issuer must deliver to the Trustee an Officer’s Certificate and an Opinion of Counsel, each stating that all conditions precedent relating to the Legal Defeasance or the Covenant Defeasance have been complied 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Opinion of Counsel required by clause (2) above with respect to a Legal Defeasance need not be delivered if all Notes of the applicable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(b) will become due and payable on the maturity date within one year, by their terms or under arrangements satisfactory to the Trustee for the giving of notice of redemption by the Trustee in the name, and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8.05         </w:t>
      </w:r>
      <w:r>
        <w:rPr>
          <w:rFonts w:ascii="Times New Roman;Times;Serif" w:hAnsi="Times New Roman;Times;Serif"/>
          <w:b w:val="false"/>
          <w:i w:val="false"/>
          <w:caps w:val="false"/>
          <w:smallCaps w:val="false"/>
          <w:sz w:val="20"/>
        </w:rPr>
        <w:t>Deposited Money and U.S. Government Obligations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8.06, all money and U.S. Government Obligations (including the proceeds thereof) deposited with the Trustee (or other qualifying trustee, collectively for purposes of this Section 8.05,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pursuant to Section 8.04 in respect of the outstanding Notes of a series shall be held in trust and applied by the Trustee, in accordance with the provisions of the Notes of such series and this Indenture, to the payment, either directly or through any Paying Agent (including the Issuer acting as Paying Agent) as the Trustee may determine, to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U.S. Government Obligations deposited pursuant to Section 8.04 or the principal and interest received in respect thereof other than any such tax, fee or other charge which by law is for the account of the Holders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8 to the contrary notwithstanding, the Trustee shall deliver or pay to the Issuer from time to time upon the request of the Issuer any money or U.S. Government Obligations held by it as provided in Section 8.04 which, in the opinion of a nationally recognized investment bank, appraisal firm or firm of independent accountants expressed in a written certification thereof delivered to the Trustee (which may be the opinion delivered under Section 8.04(1)),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8.06          </w:t>
      </w:r>
      <w:r>
        <w:rPr>
          <w:rFonts w:ascii="Times New Roman;Times;Serif" w:hAnsi="Times New Roman;Times;Serif"/>
          <w:b w:val="false"/>
          <w:i w:val="false"/>
          <w:caps w:val="false"/>
          <w:smallCaps w:val="false"/>
          <w:sz w:val="20"/>
        </w:rPr>
        <w:t>Repayment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or such Paying Agent, before being required to make any such repayment, may at the expense of the Issuer cause to be published once, in </w:t>
      </w:r>
      <w:r>
        <w:rPr>
          <w:rFonts w:ascii="Times New Roman;Times;Serif" w:hAnsi="Times New Roman;Times;Serif"/>
          <w:b w:val="false"/>
          <w:i/>
          <w:caps w:val="false"/>
          <w:smallCaps w:val="false"/>
          <w:sz w:val="20"/>
        </w:rPr>
        <w:t xml:space="preserve">The New York Times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8.07        </w:t>
      </w:r>
      <w:r>
        <w:rPr>
          <w:rFonts w:ascii="Times New Roman;Times;Serif" w:hAnsi="Times New Roman;Times;Serif"/>
          <w:b w:val="false"/>
          <w:i w:val="false"/>
          <w:caps w:val="false"/>
          <w:smallCaps w:val="false"/>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United States dollars or U.S. Government Obligations in accordance with Section 8.02 or 8.03,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until such time as the Trustee or Paying Agent is permitted to apply all such money in accordance with Section 8.02 or 8.03,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Issuer makes any payment of principal of, premium, if any, or interest on any Note following the reinstatement of its obligations, the Issuer shall be subrogated to the rights of Holders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9</w:t>
      </w:r>
      <w:r>
        <w:rPr>
          <w:rFonts w:ascii="Times New Roman;Times;Serif" w:hAnsi="Times New Roman;Times;Serif"/>
          <w:b/>
          <w:i w:val="false"/>
          <w:caps w:val="false"/>
          <w:smallCaps w:val="false"/>
          <w:sz w:val="20"/>
        </w:rPr>
        <w:b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9 shall not apply to the Issuer unless and until the Issuer executes a supplemental indenture expressly subjecting itself to this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9.01         </w:t>
      </w:r>
      <w:r>
        <w:rPr>
          <w:rFonts w:ascii="Times New Roman;Times;Serif" w:hAnsi="Times New Roman;Times;Serif"/>
          <w:b w:val="false"/>
          <w:i w:val="false"/>
          <w:caps w:val="false"/>
          <w:smallCaps w:val="false"/>
          <w:sz w:val="20"/>
        </w:rPr>
        <w:t>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Issuer, the Subsidiary Guarantors and the Trustee may amend or supplement this Indenture, any Note Guarantee, or the Notes of any series without the consent of any Holder of a Note of such series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cure any ambiguity, omission, mistake,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to provide for the assumption by a successor Person of the obligations of the Issuer or any Subsidiary Guarantor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(i) add a Subsidiary Guarantor as a co-issuer of the Notes or to release any previously added co-issuer of the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 co-issuer may not be released as a Subsidiary Guarantor unless otherwise permitted pursuant to this Indenture, (ii) add Guarantees with respect to the Notes or to add additional collateral to secure the Notes and the Note Guarantees and (iii) add a holding company above the Issuer to the extent not prohibited pursuant to this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such holding company does not own any material assets other than equity interest in the Issuer and (y) to the extent required by the supplemental indenture with respect to the Notes, such holding entity will provide a pledge of its equity interest in the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to add to the covenants of the Issuer or any Subsidiary Guarantor for the benefit of the Holders of the Notes or to surrender any right or power conferred upon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make any change that would provide any additional rights or benefits to Holders of any series or that does not adversely affect the rights under this Indenture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to conform the text of the Indenture, the Notes or any Note Guarantee to the description and terms of such Notes in the offering circular, offering memorandum, prospectus supplement or other offering document applicable to such Notes as the time of the initial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 xml:space="preserve">to make any amendment to the provisions of the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to evidence and provide for the acceptance and appointment under the Indenture of a successor Trustee thereunder pursuant to the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to release a Subsidiary Guarantor pursuant to the terms of this Indenture including, for the avoidance of doubt, any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to make any amendment to the provisions of this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change or eliminate any of the provisions of this Indenture; provided that any such change or elimination shall not be effective with respect to any outstanding Notes of any series created prior to the execution of such supplemental indenture that is entitled to the benefit of such provision;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to establish the form or terms of Securities of any series and any related coupons as permitted by this Indenture, including the provisions and procedures relating to Securities convertible into or exchangeable for any securities of any Person (including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of the Notes is not necessary to approve the particular form of any proposed amendment. It is sufficient if such consent approves the substance of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resolution of its board of directors authorizing the execution of any such amended or supplemental indenture, and upon receipt by the Trustee an Officer’s Certificate and an Opinion of Counsel pursuant to Section 9.06, the Trustee shall join with the Issuer and any Subsidiary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9.02         </w:t>
      </w:r>
      <w:r>
        <w:rPr>
          <w:rFonts w:ascii="Times New Roman;Times;Serif" w:hAnsi="Times New Roman;Times;Serif"/>
          <w:b w:val="false"/>
          <w:i w:val="false"/>
          <w:caps w:val="false"/>
          <w:smallCaps w:val="false"/>
          <w:sz w:val="20"/>
        </w:rPr>
        <w:t>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this Indenture, any Note Guarantee, or the Notes of any series may be amended or supplemented with the consent of the Holders of at least a majority in aggregate principal amount of the outstanding Notes affected (including, without limitation, consents obtained in connection with a purchase of, or a tender offer or exchange offer for, Notes) and, subject to Sections 6.04 and 6.07, any existing Default or compliance with any provision of this Indenture or the Notes of any series may be waived, including by way of amendment, with the consent of the Holders of a majority in aggregate principal amount of the outstanding Notes affected (including, without limitation, consents obtained in connection with a purchase of, or a tender offer or exchange offer for, Notes). Section 2.08 shall determine which Notes are considered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without the consent of each Holder affected, an amendment, supplement or waiver under this Section 9.02 may not (with respect to any Notes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reduce the principal amount of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reduce the rate of or extend the time for payment of interest on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reduce the principal of or change the maturity date of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change the provisions applicable to the redemption of any such Note as set forth in any supplemental indenture relating to such Note (other than the timing for the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make any Note payable in money other than that stated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impair the contractual right of any Holder of such Notes to receive payment of principal of and interest on such Holder’s Notes on or after the due dates therefor or impair the right of any Holder of such Notes to institute suit for the enforcement of any payment on or with respect to such Holder’s Notes (and, for the avoidance of doubt, the amendment, supplement or modification applicable to the redemption of any such Note in connection with a change of control as set forth in any supplemental indenture relating to such Note and Sections 6.01(3) and (5) of this Indenture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Notes); provided, however, that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the Indenture or any Note Guarantee, the breach of which resulted in such acceleration;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make any change in the amendment provisions which require each Holder’s consent or in the waiver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Notes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Affiliate of the Issuer may, directly or indirectly, pay or cause to be paid any consideration, whether by way of interest, fee or otherwise, to any Holder for or as an inducement to any consent, waiver or amendment of any of the terms or provisions of the Indenture or the Notes unless such consideration is offered to all Holders and is paid to all Holders that so consent, waive or agree to amend in the time frame set forth in the solicitation documents relating to such consent, waiver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is required to transmit to the Holders affected thereby a notice briefly describing the amendment, supplement or waiver. Any failure of the Issuer to give such notice to all Holders affected thereby, or any defect therein, shall not, however, in any way impair or affect the validity of any such amended or supplemental indenture or waiver. Subject to Sections 6.04 and 6.07, the Holders of a majority in aggregate principal amount of the outstanding Notes of each affected series may waive compliance in a particular instance by the Issuer with any provision of this Indenture or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9.03         </w:t>
      </w:r>
      <w:r>
        <w:rPr>
          <w:rFonts w:ascii="Times New Roman;Times;Serif" w:hAnsi="Times New Roman;Times;Serif"/>
          <w:b w:val="false"/>
          <w:i w:val="false"/>
          <w:caps w:val="false"/>
          <w:smallCaps w:val="false"/>
          <w:sz w:val="20"/>
        </w:rPr>
        <w:t>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or supplement to this Indenture or the Notes shall be set forth in an amended or supplemental indenture that complies with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9.04         </w:t>
      </w:r>
      <w:r>
        <w:rPr>
          <w:rFonts w:ascii="Times New Roman;Times;Serif" w:hAnsi="Times New Roman;Times;Serif"/>
          <w:b w:val="false"/>
          <w:i w:val="false"/>
          <w:caps w:val="false"/>
          <w:smallCaps w:val="false"/>
          <w:sz w:val="20"/>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thereto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9.05          </w:t>
      </w:r>
      <w:r>
        <w:rPr>
          <w:rFonts w:ascii="Times New Roman;Times;Serif" w:hAnsi="Times New Roman;Times;Serif"/>
          <w:b w:val="false"/>
          <w:i w:val="false"/>
          <w:caps w:val="false"/>
          <w:smallCaps w:val="false"/>
          <w:sz w:val="20"/>
        </w:rPr>
        <w:t>Notation on or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the appropriate notation or issue a new Note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9.06          </w:t>
      </w:r>
      <w:r>
        <w:rPr>
          <w:rFonts w:ascii="Times New Roman;Times;Serif" w:hAnsi="Times New Roman;Times;Serif"/>
          <w:b w:val="false"/>
          <w:i w:val="false"/>
          <w:caps w:val="false"/>
          <w:smallCaps w:val="false"/>
          <w:sz w:val="20"/>
        </w:rPr>
        <w:t>Trustee to Sign Amendments,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amended or supplemental indenture authorized pursuant to this Article 9 if the amendment or supplement does not adversely affect the rights, duties, liabilities or immunities of the Trustee. In executing any amended or supplemental indenture, the Trustee shall be provided with and (subject to Section 7.01) shall be fully protected in relying upon, in addition to the documents required by Section 11.04, an Officer’s Certificate and an Opinion of Counsel, in each case from the Issuer, stating that the execution of such amended or supplemental indenture is authorized or permitted by this Indenture and such supplemental indenture is the legal, valid and binding obligation of the Issuer, enforceable against it in accordance with its terms, provided that no Opinion of Counsel will be required to be furnished to the Trustee in connection with the execution of any supplemental indenture adding a new Guarantor or adding collateral, in each case pursuant to a supplemental indenture relating to a given series of Notes. In the absence of an Opinion of Counsel that is not required to be furnished hereunder, the Trustee shall be entitled to conclusively rely on an Officer’s Certificate in executing and delivering any such documents and shall have no liability for taking such action without receipt of an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10</w:t>
      </w:r>
      <w:r>
        <w:rPr>
          <w:rFonts w:ascii="Times New Roman;Times;Serif" w:hAnsi="Times New Roman;Times;Serif"/>
          <w:b/>
          <w:i w:val="false"/>
          <w:caps w:val="false"/>
          <w:smallCaps w:val="false"/>
          <w:sz w:val="20"/>
        </w:rPr>
        <w:b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10.01       </w:t>
      </w:r>
      <w:r>
        <w:rPr>
          <w:rFonts w:ascii="Times New Roman;Times;Serif" w:hAnsi="Times New Roman;Times;Serif"/>
          <w:b w:val="false"/>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Notwithstanding any provision of this Article 10 to the contrary, the provisions of this Article 10 related to Subsidiary Guarantors will be applicable only to, and inure solely to the benefit of, the Notes of any series designated, pursuant to Section 2.01(a)(ⅹ), as entitled to the benefits of the Note Guarantee of each Subsidiary Guarantor identified in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Subject to this Article 10, each Subsidiary Guarantor hereby jointly and severally, irrevocably and unconditionally guarantees, as a primary obligor and not merely as a surety, to each Holder and to the Trustee (i) the full and punctual payment when due, whether at Stated Maturity, by acceleration, by redemption or otherwise, of all obligations of the Issuer under this Indenture (including obligations to the Trustee) and the Notes, whether for payment of principal of, premium, if any, or interest on in respect of the Notes and all other monetary obligations of the Issuer under this Indenture and the Notes and (ii) the full and punctual performance within applicable grace periods of all other obligations of the Issuer whether for fees, expenses, indemnification or otherwise under this Indenture and the Notes (all the foregoing being hereinafter collectively called the “</w:t>
      </w:r>
      <w:r>
        <w:rPr>
          <w:rFonts w:ascii="Times New Roman;Times;Serif" w:hAnsi="Times New Roman;Times;Serif"/>
          <w:b w:val="false"/>
          <w:i/>
          <w:caps w:val="false"/>
          <w:smallCaps w:val="false"/>
          <w:sz w:val="20"/>
        </w:rPr>
        <w:t>Guaranteed Obligations</w:t>
      </w:r>
      <w:r>
        <w:rPr>
          <w:rFonts w:ascii="Times New Roman;Times;Serif" w:hAnsi="Times New Roman;Times;Serif"/>
          <w:b w:val="false"/>
          <w:i w:val="false"/>
          <w:caps w:val="false"/>
          <w:smallCaps w:val="false"/>
          <w:sz w:val="20"/>
        </w:rPr>
        <w:t>”). Each Subsidiary Guarantor further agrees that the Guaranteed Obligations may be extended or renewed, in whole or in part, without notice or further assent from any Subsidiary Guarantor, and that each Subsidiary Guarantor shall remain bound under this Article 10 notwithstanding any extension or renewal of any Guaranteed Obligation.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To the extent applicable, each Subsidiary Guarantor waives presentation to, demand of payment from and protest to the Issuer of any of the Guaranteed Obligations and also waives notice of protest for nonpayment. Each Subsidiary Guarantor waives notice of any default under the Notes or the Guaranteed Obligations. The obligations of each Subsidiary Guarantor hereunder shall not be affected by (i) the failure of any Holder or the Trustee to assert any claim or demand or to enforce any right or remedy against the Issuer or any other Person under this Indenture, the Notes or any other agreement or otherwise; (ii) any extension or renewal of this Indenture, the Notes or any other agreement; (iii) any rescission, waiver, amendment or modification of any of the terms or provisions of this Indenture, the Notes or any other agreement; (iv) the failure of any Holder or Trustee to exercise any right or remedy against any other guarantor of the Guaranteed Obligations; or (v) any change in the ownership of each Subsidiary Guarantor, except as provided in Section 10.02. Each Subsidiary Guarantor hereby waives any right to which it may be entitled to have its obligations hereunder divided among the Subsidiary Guarantors, such that such Subsidiary Guarantor’s obligations would be less than the full amount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Subsidiary Guarantor hereby waives any right to which it may be entitled to have the assets of the Issuer first be used and depleted as payment of the Issuer’s or such Subsidiary Guarantor’s obligations hereunder prior to any amounts being claimed from or paid by such Subsidiary Guarantor hereunder. Each Subsidiary Guarantor hereby waives any right to which it may be entitled to require that the Issuer be sued prior to an action being initiated against such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Subsidiary Guarantor further agrees that its Guarantee herein constitutes a guarantee of payment when due (and not a guarantee of collection) and waives any right to require that any resort be had by any holder or the Trustee to any security held for payment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The Note Guarantee of each Subsidiary Guarantor is equal in right of payment to all existing and future unsubordinated Indebtedness of such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(g) Except as expressly set forth in Sections 8.02 and 10.02,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Each Subsidiary Guarantor agrees that its Note Guarantee shall remain in full force and effect until payment in full of all the Guaranteed Obligations or until such Note Guarantee is released in accordance with the terms of a supplemental indenture relating to a given series of Notes. Each Subsidiary Guarantor further agrees that its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Issuer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In furtherance of the foregoing and not in limitation of any other right which any Holder or the Trustee has at law or in equity against any Subsidiary Guarantor by virtue hereof, upon the failure of the Issuer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(i) the unpaid principal amount of such Guaranteed Obligations, (ii) accrued and unpaid interest on such Guaranteed Obligations (but only to the extent not prohibited by applicable law) and (iii) all other monetary obligations of the Issuer to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(j) Each Subsidiary Guarantor agrees that it shall not be entitled to any right of subrogation in relation to Holders in respect of any Guaranteed Obligations guaranteed hereby until payment in full of all Guaranteed Obligations. Each Subsidiary Guarantor further agrees that, as between it, on the one hand, and Holders and the Trustee, on the other hand, (i) the maturity of the Guaranteed Obligations guaranteed hereby may be accelerated as provided in Article 6 for the purposes of the Guarantee herein, notwithstanding any stay, injunction or other prohibition preventing such acceleration in respect of the Guaranteed Obligations guaranteed hereby, and (ii) in the event of any declaration of acceleration of such Guaranteed Obligations as provided in Article 6, such Guaranteed Obligations (whether or not due and payable) shall forthwith become due and payable by the Subsidiary Guarantors for the purposes of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Each Subsidiary Guarantor also agrees to pay any and all costs and expenses (including reasonable attorneys’ fees and expenses) incurred by the Trustee or any holder in enforcing any rights under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Upon request of the Trustee, each Subsidiary Guarantor shall execute and deliver such further instruments and do such further acts as may be reasonably necessary or proper to carry out more effectively the purpose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10.02       </w:t>
      </w:r>
      <w:r>
        <w:rPr>
          <w:rFonts w:ascii="Times New Roman;Times;Serif" w:hAnsi="Times New Roman;Times;Serif"/>
          <w:b w:val="false"/>
          <w:i w:val="false"/>
          <w:caps w:val="false"/>
          <w:smallCaps w:val="false"/>
          <w:sz w:val="20"/>
        </w:rPr>
        <w:t>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 Any term or provision of this Indenture to the contrary notwithstanding, the maximum aggregate amount of the Guaranteed Obligations guaranteed hereunder by each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so provided pursuant to Section 2.01(a)(ⅹ) with respect to the Notes of any series, the Notes of such series may have the benefit of Guarantees by Subsidiary Guarantors as may be specified in or pursuant to Section 2.01(a)(ⅹ). Any and all terms and provisions applicable to the Guarantees of Subsidiary Guarantors for the Notes of such series shall also be provided in or pursuant to Section 2.01(a)(ⅹ), including, without limitation, provisions for the release of the Guarantees of such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10.03       </w:t>
      </w:r>
      <w:r>
        <w:rPr>
          <w:rFonts w:ascii="Times New Roman;Times;Serif" w:hAnsi="Times New Roman;Times;Serif"/>
          <w:b w:val="false"/>
          <w:i w:val="false"/>
          <w:caps w:val="false"/>
          <w:smallCaps w:val="false"/>
          <w:sz w:val="20"/>
        </w:rPr>
        <w:t>No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 failure nor a delay on the part of either the Trustee or Holders in exercising any right, power or privilege under this Article 10 shall operate as a waiver thereof, nor shall a single or partial exercise thereof preclude any other or further exercise of any right, power or privilege. The rights, remedies and benefits of the Trustee and Holders herein expressly specified are cumulative and not exclusive of any other rights, remedies or benefits which either may have under this Article 10 at law, in equity, by statute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10.04       </w:t>
      </w:r>
      <w:r>
        <w:rPr>
          <w:rFonts w:ascii="Times New Roman;Times;Serif" w:hAnsi="Times New Roman;Times;Serif"/>
          <w:b w:val="false"/>
          <w:i w:val="false"/>
          <w:caps w:val="false"/>
          <w:smallCaps w:val="false"/>
          <w:sz w:val="20"/>
        </w:rPr>
        <w:t>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modification, amendment or waiver of any provision of this Article 10,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any Subsidiary Guarantor to any other or further notice or demand in the same, similar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10.05       </w:t>
      </w:r>
      <w:r>
        <w:rPr>
          <w:rFonts w:ascii="Times New Roman;Times;Serif" w:hAnsi="Times New Roman;Times;Serif"/>
          <w:b w:val="false"/>
          <w:i w:val="false"/>
          <w:caps w:val="false"/>
          <w:smallCaps w:val="false"/>
          <w:sz w:val="20"/>
        </w:rPr>
        <w:t>Non-Impairment.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endorse a Guarantee on any Note shall not affect or impair the validity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11</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11.01       </w:t>
      </w:r>
      <w:r>
        <w:rPr>
          <w:rFonts w:ascii="Times New Roman;Times;Serif" w:hAnsi="Times New Roman;Times;Serif"/>
          <w:b w:val="false"/>
          <w:i w:val="false"/>
          <w:caps w:val="false"/>
          <w:smallCaps w:val="false"/>
          <w:sz w:val="20"/>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the duties imposed by TIA § 318(c), the imposed duties shall control.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11.02       </w:t>
      </w:r>
      <w:r>
        <w:rPr>
          <w:rFonts w:ascii="Times New Roman;Times;Serif" w:hAnsi="Times New Roman;Times;Serif"/>
          <w:b w:val="false"/>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or other communications required or permitted hereunder shall be in writing and shall be sufficiently given if made by hand delivery, first class mail (registered or certified, return receipt requested), facsimile transmission or overnight air courier guaranteeing next day delivery, and addressed as follows (with a copy of such notice, which shall not constitute delivery, to be delivered to the email addresses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 Broadway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 and General Counsel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paramountgloballegalnotices@paramount.com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Jason Licht; Benjamin Cohen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Jason.Licht@lw.com; Benjamin.Cohen@lw.com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&amp; Securities Services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 4th Floor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Stop: NYC01-0417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Corporates Team, 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or the Trustee, may designate additional or different addresses for subsequent notices or communications by notice to each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shall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in the manner provided above within the time prescribed, it is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mails a notice or communication to Holders, it shall mail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11.03       </w:t>
      </w:r>
      <w:r>
        <w:rPr>
          <w:rFonts w:ascii="Times New Roman;Times;Serif" w:hAnsi="Times New Roman;Times;Serif"/>
          <w:b w:val="false"/>
          <w:i w:val="false"/>
          <w:caps w:val="false"/>
          <w:smallCaps w:val="false"/>
          <w:sz w:val="20"/>
        </w:rPr>
        <w:t>Communication by Holders with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communicate pursuant to TIA § 312(b) with other Holders with respect to their rights under this Indenture or the Notes. The Issuer, the Trustee, the Registrar and anyone else shall have the protection of TIA §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11.04       </w:t>
      </w:r>
      <w:r>
        <w:rPr>
          <w:rFonts w:ascii="Times New Roman;Times;Serif" w:hAnsi="Times New Roman;Times;Serif"/>
          <w:b w:val="false"/>
          <w:i w:val="false"/>
          <w:caps w:val="false"/>
          <w:smallCaps w:val="false"/>
          <w:sz w:val="20"/>
        </w:rPr>
        <w:t>Certificate and Opinion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Issuer to the Trustee to take any action under this Indenture, the Issuer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 Officer’s Certificate in form and substance reasonably satisfactory to the Trustee (which shall include the statements set forth in Section 11.05) stating that, in the opinion of the signers, all conditions precedent and covenants, if any, provided for in this Indenture relating to the proposed action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 Opinion of Counsel in form and substance reasonably satisfactory to the Trustee (which shall include the statements set forth in Section 11.05) stating that, in the opinion of such counsel, all such conditions precedent and covenants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11.05       </w:t>
      </w:r>
      <w:r>
        <w:rPr>
          <w:rFonts w:ascii="Times New Roman;Times;Serif" w:hAnsi="Times New Roman;Times;Serif"/>
          <w:b w:val="false"/>
          <w:i w:val="false"/>
          <w:caps w:val="false"/>
          <w:smallCaps w:val="false"/>
          <w:sz w:val="20"/>
        </w:rPr>
        <w:t>Statements Required in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 statement that, in the opinion of such Person, he or she has made such examination or investigation as is necessary to enable him to express an informed opinion as to whether or not such covenant or condition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a statement as to whether or not, in the opinion of such Person, such condition or covenant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11.06       </w:t>
      </w:r>
      <w:r>
        <w:rPr>
          <w:rFonts w:ascii="Times New Roman;Times;Serif" w:hAnsi="Times New Roman;Times;Serif"/>
          <w:b w:val="false"/>
          <w:i w:val="false"/>
          <w:caps w:val="false"/>
          <w:smallCaps w:val="false"/>
          <w:sz w:val="20"/>
        </w:rPr>
        <w:t>Rules by Trustee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11.07       </w:t>
      </w:r>
      <w:r>
        <w:rPr>
          <w:rFonts w:ascii="Times New Roman;Times;Serif" w:hAnsi="Times New Roman;Times;Serif"/>
          <w:b w:val="false"/>
          <w:i w:val="false"/>
          <w:caps w:val="false"/>
          <w:smallCaps w:val="false"/>
          <w:sz w:val="20"/>
        </w:rPr>
        <w:t>No Personal Liability of Directors, Officers, Employees, Members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or stockholder of the Issuer or any Subsidiary Guarantor or any of their parent companies or subsidiaries, as such, shall have any liability for any obligations of the Issuer or any Subsidiary Guarantor under the Notes or this Indenture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11.08       </w:t>
      </w:r>
      <w:r>
        <w:rPr>
          <w:rFonts w:ascii="Times New Roman;Times;Serif" w:hAnsi="Times New Roman;Times;Serif"/>
          <w:b w:val="false"/>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LAWS OF THE STATE OF NEW YORK SHALL GOVERN AND BE USED TO CONSTRUE THIS INDENTURE AND THE NOTES AND ANY GUARANTEE WITHOUT GIVING EFFECT TO THE APPLICABLE PRINCIPLES OF CONFLICTS OF LAWS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11.09       </w:t>
      </w:r>
      <w:r>
        <w:rPr>
          <w:rFonts w:ascii="Times New Roman;Times;Serif" w:hAnsi="Times New Roman;Times;Serif"/>
          <w:b w:val="false"/>
          <w:i w:val="false"/>
          <w:caps w:val="false"/>
          <w:smallCaps w:val="false"/>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any other indenture, loan or debt agreement of the Issuer or its Subsidiaries or of any other Person.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11.10       </w:t>
      </w:r>
      <w:r>
        <w:rPr>
          <w:rFonts w:ascii="Times New Roman;Times;Serif" w:hAnsi="Times New Roman;Times;Serif"/>
          <w:b w:val="false"/>
          <w:i w:val="false"/>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Issuer in this Indenture and the Notes, as the case may be,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11.11       </w:t>
      </w:r>
      <w:r>
        <w:rPr>
          <w:rFonts w:ascii="Times New Roman;Times;Serif" w:hAnsi="Times New Roman;Times;Serif"/>
          <w:b w:val="false"/>
          <w:i w:val="false"/>
          <w:caps w:val="false"/>
          <w:smallCaps w:val="false"/>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the Notes, as the case may be,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11.12       </w:t>
      </w:r>
      <w:r>
        <w:rPr>
          <w:rFonts w:ascii="Times New Roman;Times;Serif" w:hAnsi="Times New Roman;Times;Serif"/>
          <w:b w:val="false"/>
          <w:i w:val="false"/>
          <w:caps w:val="false"/>
          <w:smallCaps w:val="false"/>
          <w:sz w:val="20"/>
        </w:rPr>
        <w:t>Counterpart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11.13       </w:t>
      </w:r>
      <w:r>
        <w:rPr>
          <w:rFonts w:ascii="Times New Roman;Times;Serif" w:hAnsi="Times New Roman;Times;Serif"/>
          <w:b w:val="false"/>
          <w:i w:val="false"/>
          <w:caps w:val="false"/>
          <w:smallCaps w:val="false"/>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11.14       </w:t>
      </w:r>
      <w:r>
        <w:rPr>
          <w:rFonts w:ascii="Times New Roman;Times;Serif" w:hAnsi="Times New Roman;Times;Serif"/>
          <w:b w:val="false"/>
          <w:i w:val="false"/>
          <w:caps w:val="false"/>
          <w:smallCaps w:val="false"/>
          <w:sz w:val="20"/>
        </w:rPr>
        <w:t>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TRUSTEE HEREBY IRREVOCABLY WAIVE, TO THE FULLEST EXTENT PERMITTED BY APPLICABLE LAW, ANY AND ALL RIGHT TO TRIAL BY JURY IN ANY LEGAL PROCEEDING ARISING OUT OF OR RELATING TO THIS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11.15       </w:t>
      </w:r>
      <w:r>
        <w:rPr>
          <w:rFonts w:ascii="Times New Roman;Times;Serif" w:hAnsi="Times New Roman;Times;Serif"/>
          <w:b w:val="false"/>
          <w:i w:val="false"/>
          <w:caps w:val="false"/>
          <w:smallCaps w:val="false"/>
          <w:sz w:val="20"/>
        </w:rPr>
        <w:t>Submission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irrevocably submit to the non-exclusive jurisdiction of any New York State or federal court sitting in the Borough of Manhattan, City of New York, over any suit, action or proceeding arising out of or relating to this Indenture. To the fullest extent permitted by applicable law, the parties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11.16       </w:t>
      </w:r>
      <w:r>
        <w:rPr>
          <w:rFonts w:ascii="Times New Roman;Times;Serif" w:hAnsi="Times New Roman;Times;Serif"/>
          <w:b w:val="false"/>
          <w:i w:val="false"/>
          <w:caps w:val="false"/>
          <w:smallCaps w:val="false"/>
          <w:sz w:val="20"/>
        </w:rPr>
        <w:t>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epidemic, pandemic, local or national disturbance or disaster, any act of terrorism, or the unavailability of the Federal Reserve Bank wire or facsimile or other wire or communication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11.17       </w:t>
      </w:r>
      <w:r>
        <w:rPr>
          <w:rFonts w:ascii="Times New Roman;Times;Serif" w:hAnsi="Times New Roman;Times;Serif"/>
          <w:b w:val="false"/>
          <w:i w:val="false"/>
          <w:caps w:val="false"/>
          <w:smallCaps w:val="false"/>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from time to time,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12</w:t>
      </w:r>
      <w:r>
        <w:rPr>
          <w:rFonts w:ascii="Times New Roman;Times;Serif" w:hAnsi="Times New Roman;Times;Serif"/>
          <w:b/>
          <w:i w:val="false"/>
          <w:caps w:val="false"/>
          <w:smallCaps w:val="false"/>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12.01       </w:t>
      </w:r>
      <w:r>
        <w:rPr>
          <w:rFonts w:ascii="Times New Roman;Times;Serif" w:hAnsi="Times New Roman;Times;Serif"/>
          <w:b w:val="false"/>
          <w:i w:val="false"/>
          <w:caps w:val="false"/>
          <w:smallCaps w:val="false"/>
          <w:sz w:val="20"/>
        </w:rPr>
        <w:t>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cease to be of further effect with respect to the Notes of any series (except as to any surviving rights of registration of transfer or exchange of Notes of such series herein expressly provided for), and the Trustee, on demand of and at the expense of the Issuer, shall execute proper instruments acknowledging satisfaction and discharge of this Indenture with respect to such series of Notes,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Notes of such series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 and thereafter repaid to the Issuer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all Notes of such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are to be called for redemption within one year under arrangements satisfactory to the Trustee for the giving of notice of redemption by the Trustee in the name, and at the expense, of the Issuer, and the Issuer, in the case of (i), (ii) or (iii) above, has deposited or caused to be deposited with the Trustee money, U.S. Government Obligations or any combination thereof as trust funds in trust for the purpose an amount sufficient, in the opinion of a nationally recognized investment bank, appraisal firm or firm of independent public accountants, delivered to the Trustee,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Issuer has paid or caused to be paid all other sums payable hereunder by the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Issuer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pursuant to this Article 12, the obligations of the Issuer to the Trustee under Section 7.07, and, if money shall have been deposited with the Trustee pursuant to subclause (b) of clause (1) of this Section 12.01, the obligations of the Trustee under Section 12.02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12.02       </w:t>
      </w:r>
      <w:r>
        <w:rPr>
          <w:rFonts w:ascii="Times New Roman;Times;Serif" w:hAnsi="Times New Roman;Times;Serif"/>
          <w:b w:val="false"/>
          <w:i w:val="false"/>
          <w:caps w:val="false"/>
          <w:smallCaps w:val="false"/>
          <w:sz w:val="20"/>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12.01 with respect to any series of Notes shall be held in trust and applied by it, in accordance with the provisions of the Notes and this Indenture, to the payment, either directly or through any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13</w:t>
      </w:r>
      <w:r>
        <w:rPr>
          <w:rFonts w:ascii="Times New Roman;Times;Serif" w:hAnsi="Times New Roman;Times;Serif"/>
          <w:b/>
          <w:i w:val="false"/>
          <w:caps w:val="false"/>
          <w:smallCaps w:val="false"/>
          <w:sz w:val="20"/>
        </w:rPr>
        <w:br/>
        <w:t>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13.01       </w:t>
      </w:r>
      <w:r>
        <w:rPr>
          <w:rFonts w:ascii="Times New Roman;Times;Serif" w:hAnsi="Times New Roman;Times;Serif"/>
          <w:b w:val="false"/>
          <w:i w:val="false"/>
          <w:caps w:val="false"/>
          <w:smallCaps w:val="false"/>
          <w:sz w:val="20"/>
        </w:rPr>
        <w:t>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provided pursuant to Section 2.01(a)(ⅹⅶ) with respect to the Notes of any series, the Notes of such series and/or the Guarantees of such Notes may be secured by such property, assets or other collateral as may be specified in or pursuant to Section 2.01(a)(ⅹⅶ). Any and all terms and provisions applicable to the security for the Notes of such series and/or such Guarantees shall also be provided in or pursuant to Section 2.01(a)(ⅹⅶ), which may include, without limitation, provisions for the execution and delivery of such security agreements, pledge agreements, collateral agreements and other similar or related agreements as the Issuer or any Subsidiary Guarantor may elect and which may provide for the Trustee (or an affiliate of the Trustee) to act as collateral agent or in a similar or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 20[___]</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75"/>
        <w:gridCol w:w="922"/>
        <w:gridCol w:w="3342"/>
      </w:tblGrid>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 as the Issuer</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4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4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4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2" w:name="tm2621331d2_ex5-1.htm"/>
      <w:bookmarkStart w:id="23" w:name="kstm2621331d2_ex51"/>
      <w:bookmarkEnd w:id="22"/>
      <w:bookmarkEnd w:id="23"/>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969" w:type="dxa"/>
        <w:jc w:val="left"/>
        <w:tblInd w:w="0" w:type="dxa"/>
        <w:tblLayout w:type="fixed"/>
        <w:tblCellMar>
          <w:top w:w="0" w:type="dxa"/>
          <w:left w:w="0" w:type="dxa"/>
          <w:bottom w:w="0" w:type="dxa"/>
          <w:right w:w="0" w:type="dxa"/>
        </w:tblCellMar>
      </w:tblPr>
      <w:tblGrid>
        <w:gridCol w:w="4320"/>
        <w:gridCol w:w="1496"/>
        <w:gridCol w:w="2153"/>
      </w:tblGrid>
      <w:tr>
        <w:trPr/>
        <w:tc>
          <w:tcPr>
            <w:tcW w:w="432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10020-1401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+1.212.906.1200 Fax: +1.212.751.4864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www.lw.com</w:t>
            </w:r>
          </w:p>
        </w:tc>
      </w:tr>
      <w:tr>
        <w:trPr/>
        <w:tc>
          <w:tcPr>
            <w:tcW w:w="4320" w:type="dxa"/>
            <w:vMerge w:val="restart"/>
            <w:tcBorders/>
            <w:vAlign w:val="center"/>
          </w:tcPr>
          <w:p>
            <w:pPr>
              <w:pStyle w:val="TableContents"/>
              <w:bidi w:val="0"/>
              <w:spacing w:before="0" w:after="283"/>
              <w:jc w:val="left"/>
              <w:rPr/>
            </w:pPr>
            <w:r>
              <w:rPr/>
              <w:drawing>
                <wp:inline distT="0" distB="0" distL="0" distR="0">
                  <wp:extent cx="2695575" cy="266700"/>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38"/>
                          <a:stretch>
                            <a:fillRect/>
                          </a:stretch>
                        </pic:blipFill>
                        <pic:spPr bwMode="auto">
                          <a:xfrm>
                            <a:off x="0" y="0"/>
                            <a:ext cx="2695575" cy="266700"/>
                          </a:xfrm>
                          <a:prstGeom prst="rect">
                            <a:avLst/>
                          </a:prstGeom>
                        </pic:spPr>
                      </pic:pic>
                    </a:graphicData>
                  </a:graphic>
                </wp:inline>
              </w:drawing>
            </w: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 / AFFILIATE OFFICES</w:t>
            </w:r>
          </w:p>
        </w:tc>
      </w:tr>
      <w:tr>
        <w:trPr/>
        <w:tc>
          <w:tcPr>
            <w:tcW w:w="4320" w:type="dxa"/>
            <w:vMerge w:val="continue"/>
            <w:tcBorders/>
            <w:vAlign w:val="center"/>
          </w:tcPr>
          <w:p>
            <w:pPr>
              <w:pStyle w:val="Normal"/>
              <w:bidi w:val="0"/>
              <w:jc w:val="left"/>
              <w:rPr/>
            </w:pPr>
            <w:r>
              <w:rPr/>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Milan</w:t>
            </w:r>
          </w:p>
        </w:tc>
      </w:tr>
      <w:tr>
        <w:trPr/>
        <w:tc>
          <w:tcPr>
            <w:tcW w:w="4320" w:type="dxa"/>
            <w:vMerge w:val="continue"/>
            <w:tcBorders/>
            <w:vAlign w:val="center"/>
          </w:tcPr>
          <w:p>
            <w:pPr>
              <w:pStyle w:val="Normal"/>
              <w:bidi w:val="0"/>
              <w:jc w:val="left"/>
              <w:rPr/>
            </w:pPr>
            <w:r>
              <w:rPr/>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Munich</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Brussels</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Orange County</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Paris</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Riyadh</w:t>
            </w:r>
          </w:p>
        </w:tc>
      </w:tr>
      <w:tr>
        <w:trPr/>
        <w:tc>
          <w:tcPr>
            <w:tcW w:w="4320" w:type="dxa"/>
            <w:tcBorders/>
            <w:vAlign w:val="center"/>
          </w:tcPr>
          <w:p>
            <w:pPr>
              <w:pStyle w:val="TableContents"/>
              <w:bidi w:val="0"/>
              <w:spacing w:before="0" w:after="283"/>
              <w:jc w:val="left"/>
              <w:rPr/>
            </w:pPr>
            <w:r>
              <w:rPr/>
              <w:t>July 31, 2026</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Düsseldorf</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Frankfurt</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Francisco</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Hamburg</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Seoul</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 Valley</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Tokyo</w:t>
            </w:r>
          </w:p>
        </w:tc>
      </w:tr>
      <w:tr>
        <w:trPr/>
        <w:tc>
          <w:tcPr>
            <w:tcW w:w="4320" w:type="dxa"/>
            <w:tcBorders/>
            <w:vAlign w:val="center"/>
          </w:tcPr>
          <w:p>
            <w:pPr>
              <w:pStyle w:val="TableContents"/>
              <w:bidi w:val="0"/>
              <w:spacing w:before="0" w:after="283"/>
              <w:jc w:val="left"/>
              <w:rPr/>
            </w:pPr>
            <w:r>
              <w:rPr/>
              <w:t> </w:t>
            </w:r>
          </w:p>
        </w:tc>
        <w:tc>
          <w:tcPr>
            <w:tcW w:w="1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Madrid</w:t>
            </w:r>
          </w:p>
        </w:tc>
        <w:tc>
          <w:tcPr>
            <w:tcW w:w="2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Global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u w:val="single"/>
              </w:rPr>
            </w:pPr>
            <w:r>
              <w:rPr>
                <w:u w:val="single"/>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Paramount Skydance Corporation,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Paramount Global, a Delaware corporation and a direct, wholly-owned subsidiary of the Company (“</w:t>
      </w:r>
      <w:r>
        <w:rPr>
          <w:rFonts w:ascii="Times New Roman;Times;Serif" w:hAnsi="Times New Roman;Times;Serif"/>
          <w:b/>
          <w:i/>
          <w:caps w:val="false"/>
          <w:smallCaps w:val="false"/>
          <w:sz w:val="20"/>
        </w:rPr>
        <w:t>Paramount Global</w:t>
      </w:r>
      <w:r>
        <w:rPr>
          <w:rFonts w:ascii="Times New Roman;Times;Serif" w:hAnsi="Times New Roman;Times;Serif"/>
          <w:b w:val="false"/>
          <w:i w:val="false"/>
          <w:caps w:val="false"/>
          <w:smallCaps w:val="false"/>
          <w:sz w:val="20"/>
        </w:rPr>
        <w:t>”), in connection with the filing on the date hereof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on Form S-3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base prospectus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which provides that it will be supplemented by one or more prospectus supplements (each such prospectus supplement, together with the Base Prospectus, a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relating to the registration (a) for issue and sale by the Company of an unspecified number of securities or aggregate principal amount, as applicable, of (i) shares of the Company’s Class B common stock, $0.001 par value per share (“</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(ii) shares of one or more series of the Company’s preferred stock, $0.001 par value per share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(iii) one or more series of the Company’s debt securities (collectively, the “</w:t>
      </w:r>
      <w:r>
        <w:rPr>
          <w:rFonts w:ascii="Times New Roman;Times;Serif" w:hAnsi="Times New Roman;Times;Serif"/>
          <w:b/>
          <w:i/>
          <w:caps w:val="false"/>
          <w:smallCaps w:val="false"/>
          <w:sz w:val="20"/>
        </w:rPr>
        <w:t>Company Debt Securities</w:t>
      </w:r>
      <w:r>
        <w:rPr>
          <w:rFonts w:ascii="Times New Roman;Times;Serif" w:hAnsi="Times New Roman;Times;Serif"/>
          <w:b w:val="false"/>
          <w:i w:val="false"/>
          <w:caps w:val="false"/>
          <w:smallCaps w:val="false"/>
          <w:sz w:val="20"/>
        </w:rPr>
        <w:t>”) to be issued under an indenture to be entered into between the Company, as issuer, and Deutsche Bank Trust Company Americas, as trustee (a form of which is included as Exhibit 4.1 to the Registration Statement) and one or more supplements thereto (such indenture, together with the applicable supplement pertaining to the applicable series of Company Debt Securities, the “</w:t>
      </w:r>
      <w:r>
        <w:rPr>
          <w:rFonts w:ascii="Times New Roman;Times;Serif" w:hAnsi="Times New Roman;Times;Serif"/>
          <w:b/>
          <w:i/>
          <w:caps w:val="false"/>
          <w:smallCaps w:val="false"/>
          <w:sz w:val="20"/>
        </w:rPr>
        <w:t>Applicable Company Indenture</w:t>
      </w:r>
      <w:r>
        <w:rPr>
          <w:rFonts w:ascii="Times New Roman;Times;Serif" w:hAnsi="Times New Roman;Times;Serif"/>
          <w:b w:val="false"/>
          <w:i w:val="false"/>
          <w:caps w:val="false"/>
          <w:smallCaps w:val="false"/>
          <w:sz w:val="20"/>
        </w:rPr>
        <w:t>”), (iv) warrants (the “</w:t>
      </w:r>
      <w:r>
        <w:rPr>
          <w:rFonts w:ascii="Times New Roman;Times;Serif" w:hAnsi="Times New Roman;Times;Serif"/>
          <w:b/>
          <w:i/>
          <w:caps w:val="false"/>
          <w:smallCaps w:val="false"/>
          <w:sz w:val="20"/>
        </w:rPr>
        <w:t>Company Warrants</w:t>
      </w:r>
      <w:r>
        <w:rPr>
          <w:rFonts w:ascii="Times New Roman;Times;Serif" w:hAnsi="Times New Roman;Times;Serif"/>
          <w:b w:val="false"/>
          <w:i w:val="false"/>
          <w:caps w:val="false"/>
          <w:smallCaps w:val="false"/>
          <w:sz w:val="20"/>
        </w:rPr>
        <w:t>”) and (v) guarantees of the debt securities issued by Paramount Global (the “</w:t>
      </w:r>
      <w:r>
        <w:rPr>
          <w:rFonts w:ascii="Times New Roman;Times;Serif" w:hAnsi="Times New Roman;Times;Serif"/>
          <w:b/>
          <w:i/>
          <w:caps w:val="false"/>
          <w:smallCaps w:val="false"/>
          <w:sz w:val="20"/>
        </w:rPr>
        <w:t>Company Guarantees</w:t>
      </w:r>
      <w:r>
        <w:rPr>
          <w:rFonts w:ascii="Times New Roman;Times;Serif" w:hAnsi="Times New Roman;Times;Serif"/>
          <w:b w:val="false"/>
          <w:i w:val="false"/>
          <w:caps w:val="false"/>
          <w:smallCaps w:val="false"/>
          <w:sz w:val="20"/>
        </w:rPr>
        <w:t>”), and (b) for the issue and sale by Paramount Global of an unspecified number of securities or aggregate principal amount, as applicable, of (i) one or more series of Paramount Global’s debt securities (collectively, the “</w:t>
      </w:r>
      <w:r>
        <w:rPr>
          <w:rFonts w:ascii="Times New Roman;Times;Serif" w:hAnsi="Times New Roman;Times;Serif"/>
          <w:b/>
          <w:i/>
          <w:caps w:val="false"/>
          <w:smallCaps w:val="false"/>
          <w:sz w:val="20"/>
        </w:rPr>
        <w:t>Paramount Global Debt Securities</w:t>
      </w:r>
      <w:r>
        <w:rPr>
          <w:rFonts w:ascii="Times New Roman;Times;Serif" w:hAnsi="Times New Roman;Times;Serif"/>
          <w:b w:val="false"/>
          <w:i w:val="false"/>
          <w:caps w:val="false"/>
          <w:smallCaps w:val="false"/>
          <w:sz w:val="20"/>
        </w:rPr>
        <w:t>” and, together with the Company Debt Securities,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to be issued under an indenture to be entered into among Paramount Global, as issuer, the Company, as guarantor, and Deutsche Bank Trust Company Americas, as trustee and one or more supplements thereto, which indenture (or a form thereof) will be filed in an amendment to the Registration Statement (or incorporated by reference into the Registration Statement) prior to the offering of any Paramount Global Debt Securities (such indenture, together with the applicable supplement pertaining to the applicable series of Paramount Global Debt Securities, the “</w:t>
      </w:r>
      <w:r>
        <w:rPr>
          <w:rFonts w:ascii="Times New Roman;Times;Serif" w:hAnsi="Times New Roman;Times;Serif"/>
          <w:b/>
          <w:i/>
          <w:caps w:val="false"/>
          <w:smallCaps w:val="false"/>
          <w:sz w:val="20"/>
        </w:rPr>
        <w:t>Applicable Paramount Global Indenture</w:t>
      </w:r>
      <w:r>
        <w:rPr>
          <w:rFonts w:ascii="Times New Roman;Times;Serif" w:hAnsi="Times New Roman;Times;Serif"/>
          <w:b w:val="false"/>
          <w:i w:val="false"/>
          <w:caps w:val="false"/>
          <w:smallCaps w:val="false"/>
          <w:sz w:val="20"/>
        </w:rPr>
        <w:t>” and, together with the Applicable Company Indenture, each an “</w:t>
      </w:r>
      <w:r>
        <w:rPr>
          <w:rFonts w:ascii="Times New Roman;Times;Serif" w:hAnsi="Times New Roman;Times;Serif"/>
          <w:b/>
          <w:i/>
          <w:caps w:val="false"/>
          <w:smallCaps w:val="false"/>
          <w:sz w:val="20"/>
        </w:rPr>
        <w:t>Applicable Indenture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Applicable Indentures</w:t>
      </w:r>
      <w:r>
        <w:rPr>
          <w:rFonts w:ascii="Times New Roman;Times;Serif" w:hAnsi="Times New Roman;Times;Serif"/>
          <w:b w:val="false"/>
          <w:i w:val="false"/>
          <w:caps w:val="false"/>
          <w:smallCaps w:val="false"/>
          <w:sz w:val="20"/>
        </w:rPr>
        <w:t>”), (ii) warrants (the “</w:t>
      </w:r>
      <w:r>
        <w:rPr>
          <w:rFonts w:ascii="Times New Roman;Times;Serif" w:hAnsi="Times New Roman;Times;Serif"/>
          <w:b/>
          <w:i/>
          <w:caps w:val="false"/>
          <w:smallCaps w:val="false"/>
          <w:sz w:val="20"/>
        </w:rPr>
        <w:t>Paramount Global Warrants</w:t>
      </w:r>
      <w:r>
        <w:rPr>
          <w:rFonts w:ascii="Times New Roman;Times;Serif" w:hAnsi="Times New Roman;Times;Serif"/>
          <w:b w:val="false"/>
          <w:i w:val="false"/>
          <w:caps w:val="false"/>
          <w:smallCaps w:val="false"/>
          <w:sz w:val="20"/>
        </w:rPr>
        <w:t>” and, together with the Company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and (iii) guarantees of the debt securities issued by the Company (the “</w:t>
      </w:r>
      <w:r>
        <w:rPr>
          <w:rFonts w:ascii="Times New Roman;Times;Serif" w:hAnsi="Times New Roman;Times;Serif"/>
          <w:b/>
          <w:i/>
          <w:caps w:val="false"/>
          <w:smallCaps w:val="false"/>
          <w:sz w:val="20"/>
        </w:rPr>
        <w:t>Paramount Global Guarantees</w:t>
      </w:r>
      <w:r>
        <w:rPr>
          <w:rFonts w:ascii="Times New Roman;Times;Serif" w:hAnsi="Times New Roman;Times;Serif"/>
          <w:b w:val="false"/>
          <w:i w:val="false"/>
          <w:caps w:val="false"/>
          <w:smallCaps w:val="false"/>
          <w:sz w:val="20"/>
        </w:rPr>
        <w:t>” and, together with the Company Guarantees, the “</w:t>
      </w:r>
      <w:r>
        <w:rPr>
          <w:rFonts w:ascii="Times New Roman;Times;Serif" w:hAnsi="Times New Roman;Times;Serif"/>
          <w:b/>
          <w:i/>
          <w:caps w:val="false"/>
          <w:smallCaps w:val="false"/>
          <w:sz w:val="20"/>
        </w:rPr>
        <w:t>Guarantees</w:t>
      </w:r>
      <w:r>
        <w:rPr>
          <w:rFonts w:ascii="Times New Roman;Times;Serif" w:hAnsi="Times New Roman;Times;Serif"/>
          <w:b w:val="false"/>
          <w:i w:val="false"/>
          <w:caps w:val="false"/>
          <w:smallCaps w:val="false"/>
          <w:sz w:val="20"/>
        </w:rPr>
        <w:t>”). The Class B Common Stock, Preferred Stock, Debt Securities, Warrants, and Guarantees are referred to herein collectively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76425" cy="190500"/>
            <wp:effectExtent l="0" t="0" r="0" b="0"/>
            <wp:docPr id="1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 descr=""/>
                    <pic:cNvPicPr>
                      <a:picLocks noChangeAspect="1" noChangeArrowheads="1"/>
                    </pic:cNvPicPr>
                  </pic:nvPicPr>
                  <pic:blipFill>
                    <a:blip r:embed="rId39"/>
                    <a:stretch>
                      <a:fillRect/>
                    </a:stretch>
                  </pic:blipFill>
                  <pic:spPr bwMode="auto">
                    <a:xfrm>
                      <a:off x="0" y="0"/>
                      <a:ext cx="1876425" cy="190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and 4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an issuance of Class B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Class B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a series of Preferred Stock has been duly established in accordance with the terms of the Company’s Amended and Restated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76425" cy="190500"/>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40"/>
                    <a:stretch>
                      <a:fillRect/>
                    </a:stretch>
                  </pic:blipFill>
                  <pic:spPr bwMode="auto">
                    <a:xfrm>
                      <a:off x="0" y="0"/>
                      <a:ext cx="1876425" cy="190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Applicable Indenture has been duly authorized, executed and delivered by all necessary corporate action of the Company or Paramount Global, as applicable, and when the specific terms of a particular series of Debt Securities and the Guarantees, if any, relating thereto have been duly established in accordance with the terms of the Applicable Indenture and authorized by all necessary corporate action of the Company or Paramount Global, as applicable, and such Debt Securities have been duly executed, authenticated, issued and delivered against payment therefor in accordance with the terms of the Applicable Indenture and in the manner contemplated by the applicable Prospectus and by such corporate action, such Debt Securities and any such related Guarantee will be the legally valid and binding obligations of the Company or Paramount Global, as applicable, enforceable against the Company or Paramount Global, as applicable,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the applicable warrant agreement has been duly authorized, executed and delivered by all necessary corporate action of the Company or Paramount Global, as applicable, and when the specific terms of a particular issuance of Warrants have been duly established in accordance with the terms of the applicable warrant agreement and authorized by all necessary corporate action of the Company or Paramount Global, as applicable,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or Paramount Global, as applicable, enforceable against the Company or Paramount Global, as applicable,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76425" cy="190500"/>
            <wp:effectExtent l="0" t="0" r="0" b="0"/>
            <wp:docPr id="1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 descr=""/>
                    <pic:cNvPicPr>
                      <a:picLocks noChangeAspect="1" noChangeArrowheads="1"/>
                    </pic:cNvPicPr>
                  </pic:nvPicPr>
                  <pic:blipFill>
                    <a:blip r:embed="rId41"/>
                    <a:stretch>
                      <a:fillRect/>
                    </a:stretch>
                  </pic:blipFill>
                  <pic:spPr bwMode="auto">
                    <a:xfrm>
                      <a:off x="0" y="0"/>
                      <a:ext cx="1876425" cy="190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your consent, we have assumed (a) that each of the Debt Securities, Warrants, Guarantees and the Applicable Indenture and warrant agreements governing such Securities (collectively,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and Paramount Global,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Latham &amp; Watkins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4" w:name="tm2621331d2_ex23-1.htm"/>
      <w:bookmarkStart w:id="25" w:name="kstm2621331d2_ex231"/>
      <w:bookmarkEnd w:id="24"/>
      <w:bookmarkEnd w:id="25"/>
      <w:r>
        <w:rPr>
          <w:b/>
        </w:rPr>
        <w:t>Exhibit 23.1</w:t>
      </w:r>
      <w:r>
        <w:br w:type="page"/>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Paramount Skydance Corporation and Paramount Global of our report dated February 25, 2026, except with respect to our opinion on the consolidated financial statements insofar as it relates to the change in composition of reportable segments discussed in Note 1, as to which the date is May 13, 2026, relating to the financial statements, financial statement schedule and the effectiveness of internal control over financial reporting of Paramount Skydance Corporation, which appears in Paramount Skydance Corporation’s Current Report on Form 8-K dated May 13,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We hereby consent to the incorporation by reference in this Registration Statement on Form S-3 of Paramount Skydance Corporation and Paramount Global of our report dated February 25, 2026 relating to the financial statements and financial statement schedule of Paramount Global, which appears in Paramount Skydance Corporation’s Current Report on Form 8-K dated May 13, 2026. We also consent to the reference to us under the heading “Exp</w:t>
      </w:r>
      <w:r>
        <w:rPr>
          <w:rFonts w:ascii="Times New Roman;Times;Serif" w:hAnsi="Times New Roman;Times;Serif"/>
          <w:b w:val="false"/>
          <w:i w:val="false"/>
          <w:caps w:val="false"/>
          <w:smallCaps w:val="false"/>
          <w:sz w:val="20"/>
        </w:rPr>
        <w:t>erts” in such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10" w:right="0" w:hanging="10"/>
        <w:jc w:val="left"/>
        <w:rPr/>
      </w:pPr>
      <w:bookmarkStart w:id="26" w:name="tm2621331d2_ex23-2.htm"/>
      <w:bookmarkStart w:id="27" w:name="kstm2621331d2_ex232"/>
      <w:bookmarkEnd w:id="26"/>
      <w:bookmarkEnd w:id="27"/>
      <w:r>
        <w:rPr/>
        <w:t> </w:t>
      </w:r>
      <w:r>
        <w:br w:type="page"/>
      </w:r>
    </w:p>
    <w:p>
      <w:pPr>
        <w:pStyle w:val="TextBody"/>
        <w:bidi w:val="0"/>
        <w:jc w:val="right"/>
        <w:rPr>
          <w:b/>
        </w:rPr>
      </w:pPr>
      <w:r>
        <w:rPr>
          <w:b/>
        </w:rPr>
        <w:t>Exhibit 23.2</w:t>
      </w:r>
    </w:p>
    <w:p>
      <w:pPr>
        <w:pStyle w:val="TextBody"/>
        <w:bidi w:val="0"/>
        <w:jc w:val="center"/>
        <w:rPr/>
      </w:pPr>
      <w:r>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Paramount Skydance Corporation and Paramount Global of our report dated February 27, 2026 relating to the financial statements, financial statement schedule and the effectiveness of internal control over financial reporting, which appears in Warner Bros. Discovery, Inc.’s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Washington, District of Columbia</w:t>
        <w:br/>
        <w:t>July 31, 2026</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firstLine="720"/>
        <w:jc w:val="left"/>
        <w:rPr/>
      </w:pPr>
      <w:bookmarkStart w:id="28" w:name="tm2621331d2_ex23-3.htm"/>
      <w:bookmarkStart w:id="29" w:name="kstm2621331d2_ex233"/>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Paramount Skydance Corporation for the registration of debt securities, guarantees, preferred stock, Class B common stock, and warrants and Paramount Global for the registration of debt securities, guarantees, and warrants and to the incorporation by reference therein of our report dated February 28, 2025, with respect to the consolidated financial statements of Skydance Media, LLC as of December 31, 2024 and 2023, and for each of the three years in the period ended December 31, 2024 included in Amendment No. 1 filed with the Securities and Exchange Commission on October 23, 2025, to the Current Report of Paramount Skydance Corporation on Form 8-K12B filed with the Securities and Exchange Commission on August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right"/>
        <w:rPr>
          <w:caps w:val="false"/>
          <w:smallCaps w:val="false"/>
        </w:rPr>
      </w:pPr>
      <w:bookmarkStart w:id="30" w:name="tm2621331d2_ex25-1.htm"/>
      <w:bookmarkStart w:id="31" w:name="kstm2621331d2_ex251"/>
      <w:bookmarkEnd w:id="30"/>
      <w:bookmarkEnd w:id="31"/>
      <w:r>
        <w:rPr>
          <w:caps w:val="false"/>
          <w:smallCaps w:val="false"/>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16" w:space="1" w:color="000000"/>
        </w:rPr>
      </w:pPr>
      <w:r>
        <w:rPr>
          <w:bdr w:val="single" w:sz="16"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T-1</w:t>
      </w:r>
    </w:p>
    <w:p>
      <w:pPr>
        <w:pStyle w:val="TextBody"/>
        <w:bidi w:val="0"/>
        <w:spacing w:before="0" w:after="0"/>
        <w:ind w:left="1152" w:right="1152" w:hanging="0"/>
        <w:jc w:val="left"/>
        <w:rPr>
          <w:caps w:val="false"/>
          <w:smallCaps w:val="false"/>
        </w:rPr>
      </w:pPr>
      <w:r>
        <w:rPr>
          <w:caps w:val="false"/>
          <w:smallCaps w:val="false"/>
        </w:rPr>
        <w:t> </w:t>
      </w:r>
    </w:p>
    <w:p>
      <w:pPr>
        <w:pStyle w:val="TextBody"/>
        <w:bidi w:val="0"/>
        <w:spacing w:before="0" w:after="0"/>
        <w:ind w:left="1152" w:right="115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UNDER THE TRUST INDENTURE ACT OF 1939 OF A CORPORATION DESIGNATED TO ACT AS TRUSTEE</w:t>
      </w:r>
    </w:p>
    <w:p>
      <w:pPr>
        <w:pStyle w:val="TextBody"/>
        <w:bidi w:val="0"/>
        <w:spacing w:before="0" w:after="0"/>
        <w:ind w:left="864" w:right="864" w:hanging="0"/>
        <w:jc w:val="left"/>
        <w:rPr>
          <w:caps w:val="false"/>
          <w:smallCaps w:val="false"/>
        </w:rPr>
      </w:pPr>
      <w:r>
        <w:rPr>
          <w:caps w:val="false"/>
          <w:smallCaps w:val="false"/>
        </w:rPr>
        <w:t> </w:t>
      </w:r>
    </w:p>
    <w:p>
      <w:pPr>
        <w:pStyle w:val="TextBody"/>
        <w:bidi w:val="0"/>
        <w:spacing w:before="0" w:after="0"/>
        <w:ind w:left="1152" w:right="115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 A TRUSTEE PURSUANT TO SECTION 305(b)(2)</w:t>
      </w:r>
    </w:p>
    <w:p>
      <w:pPr>
        <w:pStyle w:val="TextBody"/>
        <w:bidi w:val="0"/>
        <w:spacing w:before="0" w:after="0"/>
        <w:ind w:left="1152" w:right="1152"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1152" w:right="1152" w:hanging="0"/>
        <w:jc w:val="center"/>
        <w:rPr>
          <w:caps w:val="false"/>
          <w:smallCaps w:val="false"/>
        </w:rPr>
      </w:pPr>
      <w:r>
        <w:rPr>
          <w:caps w:val="false"/>
          <w:smallCaps w:val="false"/>
        </w:rPr>
        <w:t> </w:t>
      </w:r>
    </w:p>
    <w:p>
      <w:pPr>
        <w:pStyle w:val="TextBody"/>
        <w:bidi w:val="0"/>
        <w:spacing w:before="0" w:after="0"/>
        <w:ind w:left="1152" w:right="1152"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DEUTSCHE BANK TRUST COMPANY AMERICAS</w:t>
      </w:r>
    </w:p>
    <w:p>
      <w:pPr>
        <w:pStyle w:val="TextBody"/>
        <w:bidi w:val="0"/>
        <w:spacing w:before="0" w:after="0"/>
        <w:ind w:left="1152" w:right="1152"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(formerly BANKERS TRUST COMPANY)</w:t>
      </w:r>
    </w:p>
    <w:p>
      <w:pPr>
        <w:pStyle w:val="TextBody"/>
        <w:bidi w:val="0"/>
        <w:spacing w:before="0" w:after="0"/>
        <w:ind w:left="1152" w:right="115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3815"/>
        <w:gridCol w:w="1760"/>
      </w:tblGrid>
      <w:tr>
        <w:trPr/>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 York</w:t>
            </w:r>
          </w:p>
        </w:tc>
        <w:tc>
          <w:tcPr>
            <w:tcW w:w="1760" w:type="dxa"/>
            <w:tcBorders/>
            <w:vAlign w:val="center"/>
          </w:tcPr>
          <w:p>
            <w:pPr>
              <w:pStyle w:val="TableContents"/>
              <w:bidi w:val="0"/>
              <w:spacing w:before="0" w:after="283"/>
              <w:jc w:val="left"/>
              <w:rPr>
                <w:b/>
                <w:sz w:val="20"/>
              </w:rPr>
            </w:pPr>
            <w:r>
              <w:rPr>
                <w:b/>
                <w:sz w:val="20"/>
              </w:rPr>
              <w:t>13-4941247</w:t>
            </w:r>
          </w:p>
        </w:tc>
      </w:tr>
      <w:tr>
        <w:trPr/>
        <w:tc>
          <w:tcPr>
            <w:tcW w:w="3815" w:type="dxa"/>
            <w:tcBorders/>
            <w:vAlign w:val="center"/>
          </w:tcPr>
          <w:p>
            <w:pPr>
              <w:pStyle w:val="TableContents"/>
              <w:bidi w:val="0"/>
              <w:spacing w:before="0" w:after="283"/>
              <w:jc w:val="left"/>
              <w:rPr/>
            </w:pPr>
            <w:r>
              <w:rPr/>
              <w:t>(Jurisdiction of incorporation or</w:t>
            </w:r>
          </w:p>
        </w:tc>
        <w:tc>
          <w:tcPr>
            <w:tcW w:w="1760" w:type="dxa"/>
            <w:tcBorders/>
            <w:vAlign w:val="center"/>
          </w:tcPr>
          <w:p>
            <w:pPr>
              <w:pStyle w:val="TableContents"/>
              <w:bidi w:val="0"/>
              <w:spacing w:before="0" w:after="283"/>
              <w:jc w:val="left"/>
              <w:rPr/>
            </w:pPr>
            <w:r>
              <w:rPr/>
              <w:t>(I.R.S. Employer</w:t>
            </w:r>
          </w:p>
        </w:tc>
      </w:tr>
      <w:tr>
        <w:trPr/>
        <w:tc>
          <w:tcPr>
            <w:tcW w:w="3815" w:type="dxa"/>
            <w:tcBorders/>
            <w:vAlign w:val="center"/>
          </w:tcPr>
          <w:p>
            <w:pPr>
              <w:pStyle w:val="TableContents"/>
              <w:bidi w:val="0"/>
              <w:spacing w:before="0" w:after="283"/>
              <w:jc w:val="left"/>
              <w:rPr/>
            </w:pPr>
            <w:r>
              <w:rPr/>
              <w:t>organization if not a U.S. national bank)</w:t>
            </w:r>
          </w:p>
        </w:tc>
        <w:tc>
          <w:tcPr>
            <w:tcW w:w="1760" w:type="dxa"/>
            <w:tcBorders/>
            <w:vAlign w:val="center"/>
          </w:tcPr>
          <w:p>
            <w:pPr>
              <w:pStyle w:val="TableContents"/>
              <w:bidi w:val="0"/>
              <w:spacing w:before="0" w:after="283"/>
              <w:jc w:val="left"/>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225"/>
        <w:gridCol w:w="1070"/>
      </w:tblGrid>
      <w:tr>
        <w:trPr/>
        <w:tc>
          <w:tcPr>
            <w:tcW w:w="2225" w:type="dxa"/>
            <w:tcBorders/>
            <w:vAlign w:val="center"/>
          </w:tcPr>
          <w:p>
            <w:pPr>
              <w:pStyle w:val="TableContents"/>
              <w:bidi w:val="0"/>
              <w:spacing w:before="0" w:after="283"/>
              <w:jc w:val="left"/>
              <w:rPr>
                <w:b/>
              </w:rPr>
            </w:pPr>
            <w:r>
              <w:rPr>
                <w:b/>
              </w:rPr>
              <w:t>One Columbus Circle</w:t>
            </w:r>
          </w:p>
        </w:tc>
        <w:tc>
          <w:tcPr>
            <w:tcW w:w="10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 York, New York</w:t>
            </w:r>
          </w:p>
        </w:tc>
        <w:tc>
          <w:tcPr>
            <w:tcW w:w="1070" w:type="dxa"/>
            <w:tcBorders/>
            <w:vAlign w:val="center"/>
          </w:tcPr>
          <w:p>
            <w:pPr>
              <w:pStyle w:val="TableContents"/>
              <w:bidi w:val="0"/>
              <w:spacing w:before="0" w:after="283"/>
              <w:jc w:val="left"/>
              <w:rPr>
                <w:b/>
                <w:sz w:val="20"/>
              </w:rPr>
            </w:pPr>
            <w:r>
              <w:rPr>
                <w:b/>
                <w:sz w:val="20"/>
              </w:rPr>
              <w:t>10019</w:t>
            </w:r>
          </w:p>
        </w:tc>
      </w:tr>
      <w:tr>
        <w:trPr/>
        <w:tc>
          <w:tcPr>
            <w:tcW w:w="2225" w:type="dxa"/>
            <w:tcBorders/>
            <w:vAlign w:val="center"/>
          </w:tcPr>
          <w:p>
            <w:pPr>
              <w:pStyle w:val="TableContents"/>
              <w:bidi w:val="0"/>
              <w:spacing w:before="0" w:after="283"/>
              <w:jc w:val="left"/>
              <w:rPr/>
            </w:pPr>
            <w:r>
              <w:rPr/>
              <w:t>(Address of principal</w:t>
            </w:r>
          </w:p>
        </w:tc>
        <w:tc>
          <w:tcPr>
            <w:tcW w:w="1070" w:type="dxa"/>
            <w:tcBorders/>
            <w:vAlign w:val="center"/>
          </w:tcPr>
          <w:p>
            <w:pPr>
              <w:pStyle w:val="TableContents"/>
              <w:bidi w:val="0"/>
              <w:spacing w:before="0" w:after="283"/>
              <w:jc w:val="left"/>
              <w:rPr/>
            </w:pPr>
            <w:r>
              <w:rPr/>
              <w:t>(Zip Code)</w:t>
            </w:r>
          </w:p>
        </w:tc>
      </w:tr>
      <w:tr>
        <w:trPr/>
        <w:tc>
          <w:tcPr>
            <w:tcW w:w="2225" w:type="dxa"/>
            <w:tcBorders/>
            <w:vAlign w:val="center"/>
          </w:tcPr>
          <w:p>
            <w:pPr>
              <w:pStyle w:val="TableContents"/>
              <w:bidi w:val="0"/>
              <w:spacing w:before="0" w:after="283"/>
              <w:jc w:val="left"/>
              <w:rPr/>
            </w:pPr>
            <w:r>
              <w:rPr/>
              <w:t>executive offices)</w:t>
            </w:r>
          </w:p>
        </w:tc>
        <w:tc>
          <w:tcPr>
            <w:tcW w:w="10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Trust Company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Columbus Circle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250 – 2500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840"/>
        <w:gridCol w:w="1760"/>
      </w:tblGrid>
      <w:tr>
        <w:trPr/>
        <w:tc>
          <w:tcPr>
            <w:tcW w:w="28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Delaware</w:t>
            </w:r>
          </w:p>
        </w:tc>
        <w:tc>
          <w:tcPr>
            <w:tcW w:w="1760" w:type="dxa"/>
            <w:tcBorders/>
            <w:vAlign w:val="center"/>
          </w:tcPr>
          <w:p>
            <w:pPr>
              <w:pStyle w:val="TableContents"/>
              <w:bidi w:val="0"/>
              <w:spacing w:before="0" w:after="283"/>
              <w:jc w:val="left"/>
              <w:rPr>
                <w:b/>
                <w:sz w:val="20"/>
              </w:rPr>
            </w:pPr>
            <w:r>
              <w:rPr>
                <w:b/>
                <w:sz w:val="20"/>
              </w:rPr>
              <w:t>99-3917985</w:t>
            </w:r>
          </w:p>
        </w:tc>
      </w:tr>
      <w:tr>
        <w:trPr/>
        <w:tc>
          <w:tcPr>
            <w:tcW w:w="2840" w:type="dxa"/>
            <w:tcBorders/>
            <w:vAlign w:val="center"/>
          </w:tcPr>
          <w:p>
            <w:pPr>
              <w:pStyle w:val="TableContents"/>
              <w:bidi w:val="0"/>
              <w:spacing w:before="0" w:after="283"/>
              <w:jc w:val="left"/>
              <w:rPr/>
            </w:pPr>
            <w:r>
              <w:rPr/>
              <w:t>(State or other jurisdiction of</w:t>
            </w:r>
          </w:p>
        </w:tc>
        <w:tc>
          <w:tcPr>
            <w:tcW w:w="1760" w:type="dxa"/>
            <w:tcBorders/>
            <w:vAlign w:val="center"/>
          </w:tcPr>
          <w:p>
            <w:pPr>
              <w:pStyle w:val="TableContents"/>
              <w:bidi w:val="0"/>
              <w:spacing w:before="0" w:after="283"/>
              <w:jc w:val="left"/>
              <w:rPr/>
            </w:pPr>
            <w:r>
              <w:rPr/>
              <w:t>(I.R.S. Employer</w:t>
            </w:r>
          </w:p>
        </w:tc>
      </w:tr>
      <w:tr>
        <w:trPr/>
        <w:tc>
          <w:tcPr>
            <w:tcW w:w="2840" w:type="dxa"/>
            <w:tcBorders/>
            <w:vAlign w:val="center"/>
          </w:tcPr>
          <w:p>
            <w:pPr>
              <w:pStyle w:val="TableContents"/>
              <w:bidi w:val="0"/>
              <w:spacing w:before="0" w:after="283"/>
              <w:jc w:val="left"/>
              <w:rPr/>
            </w:pPr>
            <w:r>
              <w:rPr/>
              <w:t>incorporation or organization)</w:t>
            </w:r>
          </w:p>
        </w:tc>
        <w:tc>
          <w:tcPr>
            <w:tcW w:w="1760" w:type="dxa"/>
            <w:tcBorders/>
            <w:vAlign w:val="center"/>
          </w:tcPr>
          <w:p>
            <w:pPr>
              <w:pStyle w:val="TableContents"/>
              <w:bidi w:val="0"/>
              <w:spacing w:before="0" w:after="283"/>
              <w:jc w:val="left"/>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Global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840"/>
        <w:gridCol w:w="1760"/>
      </w:tblGrid>
      <w:tr>
        <w:trPr/>
        <w:tc>
          <w:tcPr>
            <w:tcW w:w="28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Delaware</w:t>
            </w:r>
          </w:p>
        </w:tc>
        <w:tc>
          <w:tcPr>
            <w:tcW w:w="1760" w:type="dxa"/>
            <w:tcBorders/>
            <w:vAlign w:val="center"/>
          </w:tcPr>
          <w:p>
            <w:pPr>
              <w:pStyle w:val="TableContents"/>
              <w:bidi w:val="0"/>
              <w:spacing w:before="0" w:after="283"/>
              <w:jc w:val="left"/>
              <w:rPr>
                <w:b/>
                <w:sz w:val="20"/>
              </w:rPr>
            </w:pPr>
            <w:r>
              <w:rPr>
                <w:b/>
                <w:sz w:val="20"/>
              </w:rPr>
              <w:t>04-2949533</w:t>
            </w:r>
          </w:p>
        </w:tc>
      </w:tr>
      <w:tr>
        <w:trPr/>
        <w:tc>
          <w:tcPr>
            <w:tcW w:w="2840" w:type="dxa"/>
            <w:tcBorders/>
            <w:vAlign w:val="center"/>
          </w:tcPr>
          <w:p>
            <w:pPr>
              <w:pStyle w:val="TableContents"/>
              <w:bidi w:val="0"/>
              <w:spacing w:before="0" w:after="283"/>
              <w:jc w:val="left"/>
              <w:rPr/>
            </w:pPr>
            <w:r>
              <w:rPr/>
              <w:t>(State or other jurisdiction of</w:t>
            </w:r>
          </w:p>
        </w:tc>
        <w:tc>
          <w:tcPr>
            <w:tcW w:w="1760" w:type="dxa"/>
            <w:tcBorders/>
            <w:vAlign w:val="center"/>
          </w:tcPr>
          <w:p>
            <w:pPr>
              <w:pStyle w:val="TableContents"/>
              <w:bidi w:val="0"/>
              <w:spacing w:before="0" w:after="283"/>
              <w:jc w:val="left"/>
              <w:rPr/>
            </w:pPr>
            <w:r>
              <w:rPr/>
              <w:t>(I.R.S. Employer</w:t>
            </w:r>
          </w:p>
        </w:tc>
      </w:tr>
      <w:tr>
        <w:trPr/>
        <w:tc>
          <w:tcPr>
            <w:tcW w:w="2840" w:type="dxa"/>
            <w:tcBorders/>
            <w:vAlign w:val="center"/>
          </w:tcPr>
          <w:p>
            <w:pPr>
              <w:pStyle w:val="TableContents"/>
              <w:bidi w:val="0"/>
              <w:spacing w:before="0" w:after="283"/>
              <w:jc w:val="left"/>
              <w:rPr/>
            </w:pPr>
            <w:r>
              <w:rPr/>
              <w:t>incorporation or organization)</w:t>
            </w:r>
          </w:p>
        </w:tc>
        <w:tc>
          <w:tcPr>
            <w:tcW w:w="1760" w:type="dxa"/>
            <w:tcBorders/>
            <w:vAlign w:val="center"/>
          </w:tcPr>
          <w:p>
            <w:pPr>
              <w:pStyle w:val="TableContents"/>
              <w:bidi w:val="0"/>
              <w:spacing w:before="0" w:after="283"/>
              <w:jc w:val="left"/>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740"/>
        <w:gridCol w:w="1010"/>
      </w:tblGrid>
      <w:tr>
        <w:trPr/>
        <w:tc>
          <w:tcPr>
            <w:tcW w:w="3740" w:type="dxa"/>
            <w:tcBorders/>
            <w:vAlign w:val="center"/>
          </w:tcPr>
          <w:p>
            <w:pPr>
              <w:pStyle w:val="TableContents"/>
              <w:bidi w:val="0"/>
              <w:spacing w:before="0" w:after="283"/>
              <w:jc w:val="left"/>
              <w:rPr>
                <w:b/>
              </w:rPr>
            </w:pPr>
            <w:r>
              <w:rPr>
                <w:b/>
              </w:rPr>
              <w:t>1515 Broadway</w:t>
            </w:r>
          </w:p>
        </w:tc>
        <w:tc>
          <w:tcPr>
            <w:tcW w:w="101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New York, New York </w:t>
            </w:r>
          </w:p>
        </w:tc>
        <w:tc>
          <w:tcPr>
            <w:tcW w:w="1010" w:type="dxa"/>
            <w:tcBorders/>
            <w:vAlign w:val="center"/>
          </w:tcPr>
          <w:p>
            <w:pPr>
              <w:pStyle w:val="TableContents"/>
              <w:bidi w:val="0"/>
              <w:spacing w:before="0" w:after="283"/>
              <w:jc w:val="left"/>
              <w:rPr/>
            </w:pPr>
            <w:r>
              <w:rPr>
                <w:rFonts w:ascii="Times New Roman;Times;Serif" w:hAnsi="Times New Roman;Times;Serif"/>
                <w:b/>
              </w:rPr>
              <w:t>10036</w:t>
              <w:tab/>
            </w:r>
            <w:r>
              <w:rPr>
                <w:b/>
              </w:rPr>
              <w:tab/>
            </w:r>
          </w:p>
        </w:tc>
      </w:tr>
      <w:tr>
        <w:trPr/>
        <w:tc>
          <w:tcPr>
            <w:tcW w:w="3740" w:type="dxa"/>
            <w:tcBorders/>
            <w:vAlign w:val="center"/>
          </w:tcPr>
          <w:p>
            <w:pPr>
              <w:pStyle w:val="TableContents"/>
              <w:bidi w:val="0"/>
              <w:spacing w:before="0" w:after="283"/>
              <w:jc w:val="left"/>
              <w:rPr/>
            </w:pPr>
            <w:r>
              <w:rPr/>
              <w:t>(Address of principal executive offices)</w:t>
            </w:r>
          </w:p>
        </w:tc>
        <w:tc>
          <w:tcPr>
            <w:tcW w:w="1010" w:type="dxa"/>
            <w:tcBorders/>
            <w:vAlign w:val="center"/>
          </w:tcPr>
          <w:p>
            <w:pPr>
              <w:pStyle w:val="TableContents"/>
              <w:bidi w:val="0"/>
              <w:spacing w:before="0" w:after="283"/>
              <w:jc w:val="left"/>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br/>
      </w:r>
      <w:r>
        <w:rPr>
          <w:rFonts w:ascii="Times New Roman;Times;Serif" w:hAnsi="Times New Roman;Times;Serif"/>
          <w:b w:val="false"/>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85"/>
        <w:gridCol w:w="2180"/>
      </w:tblGrid>
      <w:tr>
        <w:trPr/>
        <w:tc>
          <w:tcPr>
            <w:tcW w:w="785" w:type="dxa"/>
            <w:tcBorders/>
            <w:vAlign w:val="center"/>
          </w:tcPr>
          <w:p>
            <w:pPr>
              <w:pStyle w:val="TableContents"/>
              <w:bidi w:val="0"/>
              <w:spacing w:before="0" w:after="283"/>
              <w:jc w:val="left"/>
              <w:rPr>
                <w:b/>
              </w:rPr>
            </w:pPr>
            <w:r>
              <w:rPr>
                <w:b/>
              </w:rPr>
              <w:t xml:space="preserve">Item 1. </w:t>
            </w:r>
          </w:p>
        </w:tc>
        <w:tc>
          <w:tcPr>
            <w:tcW w:w="2180"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the following information as to the trustee.</w:t>
      </w:r>
    </w:p>
    <w:p>
      <w:pPr>
        <w:pStyle w:val="TextBody"/>
        <w:bidi w:val="0"/>
        <w:spacing w:before="0" w:after="0"/>
        <w:ind w:left="2160" w:right="0" w:hanging="144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75"/>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25" w:type="dxa"/>
            <w:tcBorders/>
            <w:vAlign w:val="center"/>
          </w:tcPr>
          <w:p>
            <w:pPr>
              <w:pStyle w:val="TableContents"/>
              <w:bidi w:val="0"/>
              <w:spacing w:before="0" w:after="283"/>
              <w:jc w:val="left"/>
              <w:rPr/>
            </w:pPr>
            <w:r>
              <w:rPr/>
              <w:t>Name and address of each examining or supervising authority to which it is subject.</w:t>
            </w:r>
          </w:p>
        </w:tc>
      </w:tr>
    </w:tbl>
    <w:p>
      <w:pPr>
        <w:pStyle w:val="TextBody"/>
        <w:bidi w:val="0"/>
        <w:spacing w:before="0" w:after="0"/>
        <w:ind w:left="144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3170"/>
        <w:gridCol w:w="60"/>
        <w:gridCol w:w="1475"/>
      </w:tblGrid>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Address</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Reserve Bank (2nd District)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State Banking Department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Albany, NY</w:t>
            </w:r>
          </w:p>
        </w:tc>
      </w:tr>
    </w:tbl>
    <w:p>
      <w:pPr>
        <w:pStyle w:val="TextBody"/>
        <w:bidi w:val="0"/>
        <w:spacing w:before="0" w:after="0"/>
        <w:ind w:left="1440" w:right="0" w:hanging="144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9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570" w:type="dxa"/>
            <w:tcBorders/>
            <w:vAlign w:val="center"/>
          </w:tcPr>
          <w:p>
            <w:pPr>
              <w:pStyle w:val="TableContents"/>
              <w:bidi w:val="0"/>
              <w:spacing w:before="0" w:after="283"/>
              <w:jc w:val="both"/>
              <w:rPr/>
            </w:pPr>
            <w:r>
              <w:rPr/>
              <w:t>Whether it is authorized to exercise corporate trust powers.</w:t>
            </w:r>
          </w:p>
        </w:tc>
      </w:tr>
    </w:tbl>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720" w:right="0" w:hanging="72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85"/>
        <w:gridCol w:w="2540"/>
      </w:tblGrid>
      <w:tr>
        <w:trPr/>
        <w:tc>
          <w:tcPr>
            <w:tcW w:w="785" w:type="dxa"/>
            <w:tcBorders/>
            <w:vAlign w:val="center"/>
          </w:tcPr>
          <w:p>
            <w:pPr>
              <w:pStyle w:val="TableContents"/>
              <w:bidi w:val="0"/>
              <w:spacing w:before="0" w:after="283"/>
              <w:jc w:val="left"/>
              <w:rPr>
                <w:b/>
              </w:rPr>
            </w:pPr>
            <w:r>
              <w:rPr>
                <w:b/>
              </w:rPr>
              <w:t xml:space="preserve">Item 2. </w:t>
            </w:r>
          </w:p>
        </w:tc>
        <w:tc>
          <w:tcPr>
            <w:tcW w:w="2540" w:type="dxa"/>
            <w:tcBorders/>
            <w:vAlign w:val="center"/>
          </w:tcPr>
          <w:p>
            <w:pPr>
              <w:pStyle w:val="TableContents"/>
              <w:bidi w:val="0"/>
              <w:spacing w:before="0" w:after="283"/>
              <w:jc w:val="left"/>
              <w:rPr>
                <w:b/>
              </w:rPr>
            </w:pPr>
            <w:r>
              <w:rPr>
                <w:b/>
              </w:rPr>
              <w:t>Affiliations with Obligor.</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obligor is an affiliate of the Trustee, describe each such affiliation.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1440" w:right="0" w:hanging="144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310"/>
        <w:gridCol w:w="1550"/>
      </w:tblGrid>
      <w:tr>
        <w:trPr/>
        <w:tc>
          <w:tcPr>
            <w:tcW w:w="1310" w:type="dxa"/>
            <w:tcBorders/>
            <w:vAlign w:val="center"/>
          </w:tcPr>
          <w:p>
            <w:pPr>
              <w:pStyle w:val="TableContents"/>
              <w:bidi w:val="0"/>
              <w:spacing w:before="0" w:after="283"/>
              <w:jc w:val="left"/>
              <w:rPr>
                <w:b/>
              </w:rPr>
            </w:pPr>
            <w:r>
              <w:rPr>
                <w:b/>
              </w:rPr>
              <w:t xml:space="preserve">Items 3. -15. </w:t>
            </w:r>
          </w:p>
        </w:tc>
        <w:tc>
          <w:tcPr>
            <w:tcW w:w="1550" w:type="dxa"/>
            <w:tcBorders/>
            <w:vAlign w:val="center"/>
          </w:tcPr>
          <w:p>
            <w:pPr>
              <w:pStyle w:val="TableContents"/>
              <w:bidi w:val="0"/>
              <w:spacing w:before="0" w:after="283"/>
              <w:jc w:val="left"/>
              <w:rPr>
                <w:b/>
              </w:rPr>
            </w:pPr>
            <w:r>
              <w:rPr>
                <w:b/>
              </w:rPr>
              <w:t>Not Applicable</w:t>
            </w:r>
          </w:p>
        </w:tc>
      </w:tr>
    </w:tbl>
    <w:p>
      <w:pPr>
        <w:pStyle w:val="TextBody"/>
        <w:bidi w:val="0"/>
        <w:spacing w:before="0" w:after="0"/>
        <w:ind w:left="1440" w:right="0" w:hanging="144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905"/>
        <w:gridCol w:w="1625"/>
      </w:tblGrid>
      <w:tr>
        <w:trPr/>
        <w:tc>
          <w:tcPr>
            <w:tcW w:w="905" w:type="dxa"/>
            <w:tcBorders/>
            <w:vAlign w:val="center"/>
          </w:tcPr>
          <w:p>
            <w:pPr>
              <w:pStyle w:val="TableContents"/>
              <w:bidi w:val="0"/>
              <w:spacing w:before="0" w:after="283"/>
              <w:jc w:val="left"/>
              <w:rPr>
                <w:b/>
              </w:rPr>
            </w:pPr>
            <w:r>
              <w:rPr>
                <w:b/>
              </w:rPr>
              <w:t xml:space="preserve">Item 16. </w:t>
            </w:r>
          </w:p>
        </w:tc>
        <w:tc>
          <w:tcPr>
            <w:tcW w:w="1625" w:type="dxa"/>
            <w:tcBorders/>
            <w:vAlign w:val="center"/>
          </w:tcPr>
          <w:p>
            <w:pPr>
              <w:pStyle w:val="TableContents"/>
              <w:bidi w:val="0"/>
              <w:spacing w:before="0" w:after="283"/>
              <w:jc w:val="left"/>
              <w:rPr>
                <w:b/>
              </w:rPr>
            </w:pPr>
            <w:r>
              <w:rPr>
                <w:b/>
              </w:rPr>
              <w:t>List of Exhibits.</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85"/>
        <w:gridCol w:w="9460"/>
      </w:tblGrid>
      <w:tr>
        <w:trPr/>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1 -</w:t>
            </w:r>
          </w:p>
        </w:tc>
        <w:tc>
          <w:tcPr>
            <w:tcW w:w="9460" w:type="dxa"/>
            <w:tcBorders/>
            <w:vAlign w:val="center"/>
          </w:tcPr>
          <w:p>
            <w:pPr>
              <w:pStyle w:val="TableContents"/>
              <w:bidi w:val="0"/>
              <w:spacing w:before="0" w:after="283"/>
              <w:jc w:val="left"/>
              <w:rPr/>
            </w:pPr>
            <w:r>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tc>
      </w:tr>
    </w:tbl>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58"/>
        <w:gridCol w:w="9187"/>
      </w:tblGrid>
      <w:tr>
        <w:trPr/>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b/>
              </w:rPr>
            </w:pPr>
            <w:r>
              <w:rPr>
                <w:b/>
              </w:rPr>
              <w:t>Exhibit 2 -</w:t>
            </w:r>
          </w:p>
        </w:tc>
        <w:tc>
          <w:tcPr>
            <w:tcW w:w="9187" w:type="dxa"/>
            <w:tcBorders/>
            <w:vAlign w:val="center"/>
          </w:tcPr>
          <w:p>
            <w:pPr>
              <w:pStyle w:val="TableContents"/>
              <w:bidi w:val="0"/>
              <w:spacing w:before="0" w:after="283"/>
              <w:jc w:val="left"/>
              <w:rPr/>
            </w:pPr>
            <w:r>
              <w:rPr/>
              <w:t>Certificate of Authority to commence business, incorporated herein by reference to Exhibit 2 filed with Form T-1 Statement, Registration No. 333-201810.</w:t>
            </w:r>
          </w:p>
        </w:tc>
      </w:tr>
    </w:tbl>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37"/>
        <w:gridCol w:w="9208"/>
      </w:tblGrid>
      <w:tr>
        <w:trPr/>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b/>
              </w:rPr>
            </w:pPr>
            <w:r>
              <w:rPr>
                <w:b/>
              </w:rPr>
              <w:t>Exhibit 3 -</w:t>
            </w:r>
          </w:p>
        </w:tc>
        <w:tc>
          <w:tcPr>
            <w:tcW w:w="9208" w:type="dxa"/>
            <w:tcBorders/>
            <w:vAlign w:val="center"/>
          </w:tcPr>
          <w:p>
            <w:pPr>
              <w:pStyle w:val="TableContents"/>
              <w:bidi w:val="0"/>
              <w:spacing w:before="0" w:after="283"/>
              <w:jc w:val="left"/>
              <w:rPr/>
            </w:pPr>
            <w:r>
              <w:rPr/>
              <w:t>Authorization of the Trustee to exercise corporate trust powers, incorporated herein by reference to Exhibit 3 filed with Form T-1 Statement, Registration No. 333-201810.</w:t>
            </w:r>
          </w:p>
        </w:tc>
      </w:tr>
    </w:tbl>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29"/>
        <w:gridCol w:w="9216"/>
      </w:tblGrid>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b/>
              </w:rPr>
            </w:pPr>
            <w:r>
              <w:rPr>
                <w:b/>
              </w:rPr>
              <w:t>Exhibit 4 -</w:t>
            </w:r>
          </w:p>
        </w:tc>
        <w:tc>
          <w:tcPr>
            <w:tcW w:w="9216" w:type="dxa"/>
            <w:tcBorders/>
            <w:vAlign w:val="center"/>
          </w:tcPr>
          <w:p>
            <w:pPr>
              <w:pStyle w:val="TableContents"/>
              <w:bidi w:val="0"/>
              <w:spacing w:before="0" w:after="283"/>
              <w:jc w:val="left"/>
              <w:rPr/>
            </w:pPr>
            <w:r>
              <w:rPr/>
              <w:t>A copy of existing By-Laws of Deutsche Bank Trust Company Americas, incorporated herein by reference to Exhibit 4 filed with Form T-1 Statement, Registration No. 333-271647.</w:t>
            </w:r>
          </w:p>
        </w:tc>
      </w:tr>
    </w:tbl>
    <w:p>
      <w:pPr>
        <w:pStyle w:val="TextBody"/>
        <w:bidi w:val="0"/>
        <w:spacing w:before="0" w:after="0"/>
        <w:ind w:left="2880" w:right="0" w:hanging="288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085"/>
        <w:gridCol w:w="1460"/>
      </w:tblGrid>
      <w:tr>
        <w:trPr/>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b/>
              </w:rPr>
            </w:pPr>
            <w:r>
              <w:rPr>
                <w:b/>
              </w:rPr>
              <w:t>Exhibit 5 -</w:t>
            </w:r>
          </w:p>
        </w:tc>
        <w:tc>
          <w:tcPr>
            <w:tcW w:w="1460" w:type="dxa"/>
            <w:tcBorders/>
            <w:vAlign w:val="center"/>
          </w:tcPr>
          <w:p>
            <w:pPr>
              <w:pStyle w:val="TableContents"/>
              <w:bidi w:val="0"/>
              <w:spacing w:before="0" w:after="283"/>
              <w:jc w:val="left"/>
              <w:rPr/>
            </w:pPr>
            <w:r>
              <w:rPr/>
              <w:t>Not applicable.</w:t>
            </w:r>
          </w:p>
        </w:tc>
      </w:tr>
    </w:tbl>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28"/>
        <w:gridCol w:w="9217"/>
      </w:tblGrid>
      <w:tr>
        <w:trPr/>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b/>
              </w:rPr>
            </w:pPr>
            <w:r>
              <w:rPr>
                <w:b/>
              </w:rPr>
              <w:t>Exhibit 6 -</w:t>
            </w:r>
          </w:p>
        </w:tc>
        <w:tc>
          <w:tcPr>
            <w:tcW w:w="9217" w:type="dxa"/>
            <w:tcBorders/>
            <w:vAlign w:val="center"/>
          </w:tcPr>
          <w:p>
            <w:pPr>
              <w:pStyle w:val="TableContents"/>
              <w:bidi w:val="0"/>
              <w:spacing w:before="0" w:after="283"/>
              <w:jc w:val="left"/>
              <w:rPr/>
            </w:pPr>
            <w:r>
              <w:rPr/>
              <w:t>Consent of Bankers Trust Company required by Section 321(b) of the Act, incorporated herein by reference to Exhibit 6 filed with Form T-1 Statement, Registration No. 333-201810.</w:t>
            </w:r>
          </w:p>
        </w:tc>
      </w:tr>
    </w:tbl>
    <w:p>
      <w:pPr>
        <w:pStyle w:val="TextBody"/>
        <w:bidi w:val="0"/>
        <w:spacing w:before="0" w:after="0"/>
        <w:ind w:left="2880" w:right="0" w:hanging="28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77"/>
        <w:gridCol w:w="9168"/>
      </w:tblGrid>
      <w:tr>
        <w:trPr/>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b/>
              </w:rPr>
            </w:pPr>
            <w:r>
              <w:rPr>
                <w:b/>
              </w:rPr>
              <w:t>Exhibit 7 -</w:t>
            </w:r>
          </w:p>
        </w:tc>
        <w:tc>
          <w:tcPr>
            <w:tcW w:w="9168" w:type="dxa"/>
            <w:tcBorders/>
            <w:vAlign w:val="center"/>
          </w:tcPr>
          <w:p>
            <w:pPr>
              <w:pStyle w:val="TableContents"/>
              <w:bidi w:val="0"/>
              <w:spacing w:before="0" w:after="283"/>
              <w:jc w:val="left"/>
              <w:rPr/>
            </w:pPr>
            <w:r>
              <w:rPr/>
              <w:t>A copy of the latest report of condition of the trustee published pursuant to law or the requirements of its supervising or examining authority.</w:t>
            </w:r>
          </w:p>
        </w:tc>
      </w:tr>
    </w:tbl>
    <w:p>
      <w:pPr>
        <w:pStyle w:val="TextBody"/>
        <w:bidi w:val="0"/>
        <w:spacing w:before="0" w:after="0"/>
        <w:ind w:left="2880" w:right="0" w:hanging="288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085"/>
        <w:gridCol w:w="1460"/>
      </w:tblGrid>
      <w:tr>
        <w:trPr/>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b/>
              </w:rPr>
            </w:pPr>
            <w:r>
              <w:rPr>
                <w:b/>
              </w:rPr>
              <w:t>Exhibit 8 -</w:t>
            </w:r>
          </w:p>
        </w:tc>
        <w:tc>
          <w:tcPr>
            <w:tcW w:w="1460" w:type="dxa"/>
            <w:tcBorders/>
            <w:vAlign w:val="center"/>
          </w:tcPr>
          <w:p>
            <w:pPr>
              <w:pStyle w:val="TableContents"/>
              <w:bidi w:val="0"/>
              <w:spacing w:before="0" w:after="283"/>
              <w:jc w:val="left"/>
              <w:rPr/>
            </w:pPr>
            <w:r>
              <w:rPr/>
              <w:t>Not applicable.</w:t>
            </w:r>
          </w:p>
        </w:tc>
      </w:tr>
    </w:tbl>
    <w:p>
      <w:pPr>
        <w:pStyle w:val="TextBody"/>
        <w:bidi w:val="0"/>
        <w:spacing w:before="0" w:after="0"/>
        <w:ind w:left="2880" w:right="0" w:hanging="288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0"/>
        <w:gridCol w:w="905"/>
        <w:gridCol w:w="1460"/>
      </w:tblGrid>
      <w:tr>
        <w:trPr/>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9 -</w:t>
            </w:r>
          </w:p>
        </w:tc>
        <w:tc>
          <w:tcPr>
            <w:tcW w:w="1460" w:type="dxa"/>
            <w:tcBorders/>
            <w:vAlign w:val="center"/>
          </w:tcPr>
          <w:p>
            <w:pPr>
              <w:pStyle w:val="TableContents"/>
              <w:bidi w:val="0"/>
              <w:spacing w:before="0" w:after="283"/>
              <w:jc w:val="left"/>
              <w:rPr/>
            </w:pPr>
            <w:r>
              <w:rPr/>
              <w:t>Not applicable.</w:t>
            </w:r>
          </w:p>
        </w:tc>
      </w:tr>
    </w:tbl>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in The City of New York, and State of New York, on this 27th day of July, 2026.</w:t>
      </w:r>
    </w:p>
    <w:p>
      <w:pPr>
        <w:pStyle w:val="TextBody"/>
        <w:bidi w:val="0"/>
        <w:spacing w:before="0" w:after="0"/>
        <w:ind w:left="0" w:right="0" w:hanging="0"/>
        <w:jc w:val="left"/>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75"/>
        <w:gridCol w:w="661"/>
        <w:gridCol w:w="1126"/>
        <w:gridCol w:w="2552"/>
      </w:tblGrid>
      <w:tr>
        <w:trPr/>
        <w:tc>
          <w:tcPr>
            <w:tcW w:w="75" w:type="dxa"/>
            <w:tcBorders/>
            <w:vAlign w:val="center"/>
          </w:tcPr>
          <w:p>
            <w:pPr>
              <w:pStyle w:val="TableContents"/>
              <w:bidi w:val="0"/>
              <w:spacing w:before="0" w:after="283"/>
              <w:jc w:val="left"/>
              <w:rPr/>
            </w:pPr>
            <w:r>
              <w:rPr/>
              <w:t> </w:t>
            </w:r>
          </w:p>
        </w:tc>
        <w:tc>
          <w:tcPr>
            <w:tcW w:w="43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tc>
      </w:tr>
      <w:tr>
        <w:trPr/>
        <w:tc>
          <w:tcPr>
            <w:tcW w:w="75" w:type="dxa"/>
            <w:tcBorders/>
            <w:vAlign w:val="center"/>
          </w:tcPr>
          <w:p>
            <w:pPr>
              <w:pStyle w:val="TableContents"/>
              <w:bidi w:val="0"/>
              <w:spacing w:before="0" w:after="283"/>
              <w:jc w:val="left"/>
              <w:rPr/>
            </w:pPr>
            <w:r>
              <w:rPr/>
              <w:t> </w:t>
            </w:r>
          </w:p>
        </w:tc>
        <w:tc>
          <w:tcPr>
            <w:tcW w:w="43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Denise Kellerk</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Denise Kellerk</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06/2012 Board of Governors of the Federal Reserve System OMB Number 7100-0036 Federal Deposit Insurance Corporation OMB Number 3064-0052 Office of the Comptroller of the Currency OMB Number 1557-0081 Approval expires February 28, 2029 Page 1 of 86 Federal Financial Institutions Examination Council Consolidated Reports of Condition and Income for a Bank with Domestic Offices Only—FFIEC 041 Report at the close of business March 31, 2026 20260331 (RCON 9999) This report is required by law: 12 U.S.C. § 324 (State member This report form is to be filed by banks with domestic offices only banks); 12 U.S.C. §1817 (State nonmember banks); 12 U.S.C. §161 and total consolidated assets of less than $100 billion, except (National banks); and 12 U.S.C. §1464 (Savings associations). those banks that file the FFIEC 051, and those banks that are advanced approaches institutions for regulatory capital purposes Unless the context indicates otherwise, the term "bank" in this that are required to file the FFIEC 031. report form refers to both banks and savings associations. NOTE: Each bank’s board of directors and senior management are schedules) for this report date have been prepared in confor-responsible for establishing and maintaining an effective system of mance with the instructions issued by the appropriate Federal internal control, including controls over the Reports of Condition and regulatory authority and are true and correct to the best of my Income. The Reports of Condition and Income are to be prepared in knowledge and belief. accordance with federal regulatory authority instructions. The Reports of Condition and Income must be signed by the Chief Financial We, the undersigned directors (trustees), attest to the correctness Officer (CFO) of the reporting bank (or by the individual performing an of the Reports of Condition and Income (including the supporting equivalent function) and attested to by not less than two directors schedules) for this report date and declare that the Reports of (trustees) for state nonmember banks and three directors for state Condition and Income have been examined by us and to the best member banks, national banks, and savings associations. of our knowledge and belief have been prepared in conformance with the instructions issued by the appropriate Federal regulatory I, the undersigned CFO (or equivalent) of the named bank, attest authority and are true and correct. that the Reports of Condition and Income (including the supporting Director (Trustee) Signature of Chief Financial Officer (or Equivalent) Director (Trustee) 04/30/2026 Date of Signature Director (Trustee) Submission of Reports Each bank must file its Reports of Condition and Income (Call To fulfill the signature and attestation requirement for the Reports Report) data by either: of Condition and Income for this report date, attach your bank’s completed signature page (or a photocopy or a computer gener- (a) Using computer software to prepare its Call Report and then ated version of this page) to the hard-copy record of the data file submitting the report data directly to the FFIEC’s Central Data submitted to the CDR that your bank must place in its files. Repository (CDR), an Internet-based system for data collec-tion (https://cdr.ffiec.gov/cdr/), or The appearance of your bank’s hard-copy record of the submitted (b) Completing its Call Report in paper form and arranging with a data file need not match exactly the appearance of the FFIEC’s software vendor or another party to convert the data into the sample report forms, but should show at least the caption of each electronic format that can be processed by the CDR. The Call Report item and the reported amount. software vendor or other party then must electronically submit the bank’s data file to the CDR. DEUTSCHE BANK TRUST COMPANY AMERICAS Legal Title of Bank (RSSD 9017) For technical assistance with submissions to the CDR, please contact the CDR Help Desk by telephone at (888) CDR-3111, by New York fax at (703) 774-3946, or by e-mail at cdr.help@cdr.ffiec.gov. City (RSSD 9130) FDIC Certificate Number 623 NY 10019 (RSSD 9050) State Abbreviation (RSSD 9200) Zip Code (RSSD 9220) Legal Entity Identifier (LEI) 8EWQ2UQKS07AKK8ANH81 (Report only if your institution already has an LEI.) (RCON 9224) The estimated average burden associated with this information collection is 55.56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 03/2026</w:t>
            </w:r>
          </w:p>
        </w:tc>
      </w:tr>
    </w:tbl>
    <w:tbl>
      <w:tblPr>
        <w:tblW w:w="13438" w:type="dxa"/>
        <w:jc w:val="center"/>
        <w:tblInd w:w="0" w:type="dxa"/>
        <w:tblLayout w:type="fixed"/>
        <w:tblCellMar>
          <w:top w:w="0" w:type="dxa"/>
          <w:left w:w="0" w:type="dxa"/>
          <w:bottom w:w="0" w:type="dxa"/>
          <w:right w:w="0" w:type="dxa"/>
        </w:tblCellMar>
      </w:tblPr>
      <w:tblGrid>
        <w:gridCol w:w="23"/>
        <w:gridCol w:w="12735"/>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6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06/2012 FFIEC 041 Page 16 of 86 Consolidated Report of Condition for Insured Banks RC-1 and Savings Associations for March 31, 2026 All schedules are to be reported in thousands of dollars. Unless otherwise indicated, report the amount outstanding as of the last business day of the quarter. Schedule RC—Balance Sheet Dollar Amounts in Thousands RCON Amount Assets 1. Cash and balances due from depository institutions (from Schedule RC-A): a. Noninterest-bearing balances and currency and coin (1)…………………………….…….…........................ 0081 38,000 1.a. b. Interest-bearing balances (2)……………………………………………………….................................... 0071 15,087,000 1.b. 2. Securities: a. Held-to-maturity securities (from Schedule RC-B, column A) (3)……………………………............................... JJ34 0 2.a. b. Available-for-sale debt securities (from Schedule RC-B, column D)…………………….……................................... 1773 403,000 2.b. c. Equity securities with readily determinable fair values not held for trading (4)…………………………. JA22 0 2.c. 3. Federal funds sold and securities purchased under agreements to resell: a. Federal funds sold………………………………………………………......................................................... B987 0 3.a. b. Securities purchased under agreements to resell (5, 6)………………………….......................................... B989 6,920,000 3.b. 4. Loans and lease financing receivables (from Schedule RC-C): a. Loans and leases held for sale………………………………………………………..……................................... 5369 0 4.a. b. Loans and leases held for investment……………….................................... B528 15,708,000 4.b. c. LESS: Allowance for credit losses on loans and leases …................3123 35,000 4.c. d. Loans and leases held for investment, net of allowance (item 4.b minus 4.c) ………............................... B529 15,673,000 4.d. 5. Trading assets (from Schedule RC-D)…………………………………………………….…….................................. 3545 0 5. 6. Premises and fixed assets (including right-of-use assets) …………………………………….................................. 2145 1,000 6. 7. Other real estate owned (from Schedule RC-M)………………………………………………............................... 2150 0 7. 8. Investments in unconsolidated subsidiaries and associated companies……………………............................... 2130 0 8. 9. Direct and indirect investments in real estate ventures...................................……...................................... 3656 0 9. 10. Intangible assets (from Schedule RC-M)………………………………………………………………………………………………………… 2143 1,000 10. 11. Other assets (from Schedule RC-F) (6)…………………………………………………………….................................. 2160 1,622,000 11. 12. Total assets (sum of items 1 through 11)………………………………………………………....................................... 2170 39,745,000 12. Liabilities 13. Deposits: a. In domestic offices (sum of totals of columns A and C from Schedule RC-E)………………………………................... 2200 27,713,000 13.a. (1) Noninterest-bearing (7)………………………………………………..………….. 6631 7,594,000 13.a.(1) (2) Interest-bearing……………………………………………………..…………….. 6636 20,119,000 13.a.(2) b. Not applicable 14. Federal funds purchased and securities sold under agreements to repurchase: a. Federal funds purchased (8)………………………………………..…………......................................... B993 0 14.a. b. Securities sold under agreements to repurchase (9)………………………………………………..................................... B995 0 14.b. 15. Trading liabilities (from Schedule RC-D)…………………………………………………..………….............................................. 3548 0 15. 16. Other borrowed money (includes mortgage indebtedness) (from Schedule RC-M)................................. 3190 0 16. 17. and 18. Not applicable 19. Subordinated notes and debentures (10)……………………………………………………………………..……………….................. 3200 0 19. __________ 1. Includes cash items in process of collection and unposted debits. 2. Includes time certificates of deposit not held for trading. 3. Institutions should report in item 2.a amounts net of any applicable allowance for credit losses, and item 2.a should equal Schedule RC-B, item 8, column A, less Schedule RI-B, Part II, item 7, column B. 4. Item 2.c is to be completed by all institutions. See the instructions for this item and the Glossary entry for "Securities Activities" for further detail on accounting for investments in equity securities. 5. Includes all securities resale agreements, regardless of maturity. 6. Institutions should report in items 3.b and 11 amounts net of any applicable allowance for credit losses. 7. Includes noninterest-bearing demand, time, and savings deposits. 8. Report overnight Federal Home Loan Bank advances in Schedule RC, item 16, "Other borrowed money." 9. Includes all securities repurchase agreements, regardless of maturity. 10. Includes limited-life preferred stock and related surplus. 03/2026</w:t>
            </w:r>
          </w:p>
        </w:tc>
      </w:tr>
    </w:tbl>
    <w:tbl>
      <w:tblPr>
        <w:tblW w:w="13468" w:type="dxa"/>
        <w:jc w:val="center"/>
        <w:tblInd w:w="0" w:type="dxa"/>
        <w:tblLayout w:type="fixed"/>
        <w:tblCellMar>
          <w:top w:w="0" w:type="dxa"/>
          <w:left w:w="0" w:type="dxa"/>
          <w:bottom w:w="0" w:type="dxa"/>
          <w:right w:w="0" w:type="dxa"/>
        </w:tblCellMar>
      </w:tblPr>
      <w:tblGrid>
        <w:gridCol w:w="23"/>
        <w:gridCol w:w="12735"/>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7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06/2012 FFIEC 041 Page 17 of 86 Schedule RC—Continued RC-2 Dollar Amounts in Thousands RCON Amount Liabilities—continued 20. Other liabilities (from Schedule RC-G)…………………………………………………………………….………………..................... 2930 2,170,000 20. 21. Total liabilities (sum of items 13 through 20)……………………………………………………………………………….................. 2948 29,883,000 21. 22. Not applicable Equity Capital Bank Equity Capital 23. Perpetual preferred stock and related surplus…………………………………………………………………………….............. 3838 0 23. 24. Common stock……………………………………………………………………………………………….……………….............. 3230 2,127,000 24. 25. Surplus (exclude all surplus related to preferred stock)………………………………………………..………………............... 3839 932,000 25. 26. a. Retained earnings………………………………………………………………………………………..………………............... 3632 6,853,000 26.a. b. Accumulated other comprehensive income (1)………………………………………………………….………………...................... B530 (50,000) 26.b. c. Other equity capital components (2)………………………………………………………………………………………................. A130 0 26.c. 27. a. Total bank equity capital (sum of items 23 through 26.c)…………………………………………………..…………....................... 3210 9,862,000 27.a. b. Noncontrolling (minority) interests in consolidated subsidiaries…………………………………….……............................ 3000 0 27.b. 28. Total equity capital (sum of items 27.a and 27.b)………………………………………………………..…………....................... G105 9,862,000 28. 29. Total liabilities and equity capital (sum of items 21 and 28)……………………………………………..……….......................... 3300 39,745,000 29. Memoranda To be reported with the March Report of Condition. 1. Indicate in the box at the right the number of the statement below that best describes the most comprehensive level of auditing work performed for the bank by independent external auditors as of RCON Number any date during 2025 ……………………………………………………………………………………......................... 6724 2a M.1. 1a = An integrated audit of the reporting institution’s financial 2b = An audit of the reporting institution's parent holding company's statements and its internal control over financial reporting consolidated financial statements only conducted in conducted in accordance with the standards of the American accordance with the auditing standards of the AICPA or the Institute of Certified Public Accountants (AICPA) or Public PCAOB by an independent public accountant that submits a Company Accounting Oversight Board (PCAOB) by an indepen- report on the consolidated holding company (but not on the dent public accountant that submits a report on the institution institution separately) 1b =An audit of the reporting institution's financial statements only 3 = This number is not to be used conducted in accordance with the auditing standards of the 4 = Directors’ examination of the bank conducted in accordance AICPA or the PCAOB by an independent public accountant that with generally accepted auditing standards by a certified public submits a report on the institution accounting firm (may be required by state-chartering authority) 2a =An integrated audit of the reporting institution's parent holding 5 = Directors’ examination of the bank performed by other external company's consolidated financial statements and its internal auditors (may be required by state-chartering authority) control over financial reporting conducted in accordance with the 6 = Review of the bank’s financial statements by external auditors standards of the AICPA or the PCAOB by an independent public 7 = Compilation of the bank’s financial statements by external accountant that submits a report on the consolidated holding auditors company (but not on the institution separately) 8 = Other audit procedures (excluding tax preparation work) 9 = No external audit work To be reported with the March Report of Condition. RCON Date 2. Bank's fiscal year-end date (report the date in MMDD format)............................................................................................................................................................... 8678 1231 M.2. __________ 1. Includes, but is not limited to, net unrealized holding gains (losses) on available-for-sale securities, accumulated net gains (losses) on cash flow hedges, and accumulated defined benefit pension and other postretirement plan adjustments. 2. Includes treasury stock and unearned Employee Stock Ownership Plan shares.</w:t>
            </w:r>
          </w:p>
        </w:tc>
      </w:tr>
    </w:tbl>
    <w:p>
      <w:pPr>
        <w:pStyle w:val="Normal"/>
        <w:bidi w:val="0"/>
        <w:spacing w:before="0" w:after="0"/>
        <w:ind w:left="0" w:right="0" w:hanging="0"/>
        <w:jc w:val="left"/>
        <w:rPr>
          <w:sz w:val="4"/>
          <w:szCs w:val="4"/>
        </w:rPr>
      </w:pPr>
      <w:r>
        <w:rPr>
          <w:sz w:val="4"/>
          <w:szCs w:val="4"/>
        </w:rPr>
      </w:r>
      <w:bookmarkStart w:id="32" w:name="tm2621331d1_ex-filingfees.htm"/>
      <w:bookmarkStart w:id="33" w:name="kstm2621331d1_exfilingfees"/>
      <w:bookmarkStart w:id="34" w:name="tm2621331d1_ex-filingfees.htm"/>
      <w:bookmarkStart w:id="35" w:name="kstm2621331d1_exfilingfees"/>
      <w:bookmarkEnd w:id="34"/>
      <w:bookmarkEnd w:id="35"/>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Paramount Skydance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79" w:type="dxa"/>
        <w:jc w:val="left"/>
        <w:tblInd w:w="0" w:type="dxa"/>
        <w:tblLayout w:type="fixed"/>
        <w:tblCellMar>
          <w:top w:w="28" w:type="dxa"/>
          <w:left w:w="28" w:type="dxa"/>
          <w:bottom w:w="28" w:type="dxa"/>
          <w:right w:w="28" w:type="dxa"/>
        </w:tblCellMar>
      </w:tblPr>
      <w:tblGrid>
        <w:gridCol w:w="1126"/>
        <w:gridCol w:w="226"/>
        <w:gridCol w:w="946"/>
        <w:gridCol w:w="1246"/>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7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Paramount Skydance Corporation Class B Common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46" w:type="dxa"/>
            <w:tcBorders/>
            <w:shd w:fill="E7E7E2" w:val="clear"/>
            <w:vAlign w:val="center"/>
          </w:tcPr>
          <w:p>
            <w:pPr>
              <w:pStyle w:val="TableContents"/>
              <w:bidi w:val="0"/>
              <w:spacing w:before="0" w:after="283"/>
              <w:jc w:val="left"/>
              <w:rPr/>
            </w:pPr>
            <w:r>
              <w:rPr/>
              <w:t xml:space="preserve">Paramount Skydance Corporation Preferred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246" w:type="dxa"/>
            <w:tcBorders/>
            <w:shd w:fill="E7E7E2" w:val="clear"/>
            <w:vAlign w:val="center"/>
          </w:tcPr>
          <w:p>
            <w:pPr>
              <w:pStyle w:val="TableContents"/>
              <w:bidi w:val="0"/>
              <w:spacing w:before="0" w:after="283"/>
              <w:jc w:val="left"/>
              <w:rPr/>
            </w:pPr>
            <w:r>
              <w:rPr/>
              <w:t xml:space="preserve">Paramount Skydance Corporation 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246" w:type="dxa"/>
            <w:tcBorders/>
            <w:shd w:fill="E7E7E2" w:val="clear"/>
            <w:vAlign w:val="center"/>
          </w:tcPr>
          <w:p>
            <w:pPr>
              <w:pStyle w:val="TableContents"/>
              <w:bidi w:val="0"/>
              <w:spacing w:before="0" w:after="283"/>
              <w:jc w:val="left"/>
              <w:rPr/>
            </w:pPr>
            <w:r>
              <w:rPr/>
              <w:t xml:space="preserve">Paramount Global 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Debt </w:t>
            </w:r>
          </w:p>
        </w:tc>
        <w:tc>
          <w:tcPr>
            <w:tcW w:w="1246" w:type="dxa"/>
            <w:tcBorders/>
            <w:shd w:fill="E7E7E2" w:val="clear"/>
            <w:vAlign w:val="center"/>
          </w:tcPr>
          <w:p>
            <w:pPr>
              <w:pStyle w:val="TableContents"/>
              <w:bidi w:val="0"/>
              <w:spacing w:before="0" w:after="283"/>
              <w:jc w:val="left"/>
              <w:rPr/>
            </w:pPr>
            <w:r>
              <w:rPr/>
              <w:t xml:space="preserve">Paramount Skydance Corporation Guarantees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Debt </w:t>
            </w:r>
          </w:p>
        </w:tc>
        <w:tc>
          <w:tcPr>
            <w:tcW w:w="1246" w:type="dxa"/>
            <w:tcBorders/>
            <w:shd w:fill="E7E7E2" w:val="clear"/>
            <w:vAlign w:val="center"/>
          </w:tcPr>
          <w:p>
            <w:pPr>
              <w:pStyle w:val="TableContents"/>
              <w:bidi w:val="0"/>
              <w:spacing w:before="0" w:after="283"/>
              <w:jc w:val="left"/>
              <w:rPr/>
            </w:pPr>
            <w:r>
              <w:rPr/>
              <w:t xml:space="preserve">Paramount Global Guarantees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Paramount Skydance Corporation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246" w:type="dxa"/>
            <w:tcBorders/>
            <w:shd w:fill="E7E7E2" w:val="clear"/>
            <w:vAlign w:val="center"/>
          </w:tcPr>
          <w:p>
            <w:pPr>
              <w:pStyle w:val="TableContents"/>
              <w:bidi w:val="0"/>
              <w:spacing w:before="0" w:after="283"/>
              <w:jc w:val="left"/>
              <w:rPr/>
            </w:pPr>
            <w:r>
              <w:rPr/>
              <w:t xml:space="preserve">Paramount Global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7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6" w:name="MaxAggtOfferingPrice"/>
            <w:bookmarkEnd w:id="36"/>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An unspecified number of securities or aggregate principal amount, as applicable, is being registered as may from time to time be offered at unspecified prices and, in addition, an unspecified number of securities is being registered as may be issued from time to time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of 1933, as amended, the Registrants are deferring payment of all registration fees and will pay the registration fees subsequently in advance or on a "pay-as-you-go" basis. The Registrants will calculate the registration fee applicable to an offer of securities pursuant to this Registration Statement based on the fee payment rate in effect on the date of such fee payment.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See Offering Note 1. Paramount Skydance Corporation will fully and unconditionally guarantee or co-issue debt securities issued by Paramount Global. Guarantees registered hereunder may or may not be issued for separate consideration. In accordance with Rule 457(n) under the Securities Act, no separate fee is payable with respect to the guarantees of debt securities being registered.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5" w:type="dxa"/>
            <w:gridSpan w:val="2"/>
            <w:tcBorders/>
            <w:vAlign w:val="center"/>
          </w:tcPr>
          <w:p>
            <w:pPr>
              <w:pStyle w:val="TableContents"/>
              <w:bidi w:val="0"/>
              <w:spacing w:before="0" w:after="283"/>
              <w:jc w:val="left"/>
              <w:rPr/>
            </w:pPr>
            <w:r>
              <w:rPr/>
              <w:t xml:space="preserve">See Offering Note 1. Paramount Global may fully and unconditionally guarantee debt securities issued by Paramount Skydance Corporation. Guarantees registered hereunder may or may not be issued for separate consideration. In accordance with Rule 457(n) under the Securities Act, no separate fee is payable with respect to the guarantees of debt securities being registered.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5" w:type="dxa"/>
            <w:gridSpan w:val="2"/>
            <w:tcBorders/>
            <w:vAlign w:val="center"/>
          </w:tcPr>
          <w:p>
            <w:pPr>
              <w:pStyle w:val="TableContents"/>
              <w:bidi w:val="0"/>
              <w:spacing w:before="0" w:after="283"/>
              <w:jc w:val="left"/>
              <w:rPr/>
            </w:pPr>
            <w:r>
              <w:rPr/>
              <w:t xml:space="preserve">See Offering Note 1. Warrants covered by this registration statement cover shares of common stock, shares of preferred stock and/or debt securities in one or more series.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5" w:type="dxa"/>
            <w:gridSpan w:val="2"/>
            <w:tcBorders/>
            <w:vAlign w:val="center"/>
          </w:tcPr>
          <w:p>
            <w:pPr>
              <w:pStyle w:val="TableContents"/>
              <w:bidi w:val="0"/>
              <w:spacing w:before="0" w:after="283"/>
              <w:jc w:val="left"/>
              <w:rPr/>
            </w:pPr>
            <w:r>
              <w:rPr/>
              <w:t xml:space="preserve">See Offering Note 1 &amp; 7. Warrants may be co-issued by Paramount Global when the securities with respect to which the warrants are issued will be guaranteed by Paramount Global.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41610/000204161026000011/psky-20251231.htm" TargetMode="External"/><Relationship Id="rId4" Type="http://schemas.openxmlformats.org/officeDocument/2006/relationships/hyperlink" Target="https://www.sec.gov/ix?doc=/Archives/edgar/data/2041610/000114036126016758/ef20071103_10ka.htm" TargetMode="External"/><Relationship Id="rId5" Type="http://schemas.openxmlformats.org/officeDocument/2006/relationships/hyperlink" Target="https://www.sec.gov/ix?doc=/Archives/edgar/data/2041610/000204161026000033/psky-20260513_d2.htm" TargetMode="External"/><Relationship Id="rId6" Type="http://schemas.openxmlformats.org/officeDocument/2006/relationships/hyperlink" Target="https://www.sec.gov/ix?doc=/Archives/edgar/data/2041610/000204161026000026/psky-20260331.htm" TargetMode="External"/><Relationship Id="rId7" Type="http://schemas.openxmlformats.org/officeDocument/2006/relationships/hyperlink" Target="https://www.sec.gov/ix?doc=/Archives/edgar/data/2041610/000204161025000029/psky-20250807.htm" TargetMode="External"/><Relationship Id="rId8" Type="http://schemas.openxmlformats.org/officeDocument/2006/relationships/hyperlink" Target="https://www.sec.gov/ix?doc=/Archives/edgar/data/2041610/000119312525175046/d841914d8k12b.htm" TargetMode="External"/><Relationship Id="rId9" Type="http://schemas.openxmlformats.org/officeDocument/2006/relationships/hyperlink" Target="http://www.sec.gov/ix?doc=/Archives/edgar/data/1437107/000143710726000020/wbd-20251231.htm" TargetMode="External"/><Relationship Id="rId10" Type="http://schemas.openxmlformats.org/officeDocument/2006/relationships/hyperlink" Target="http://www.sec.gov/ix?doc=/Archives/edgar/data/1437107/000143710726000057/wbd-20260331.htm" TargetMode="External"/><Relationship Id="rId11" Type="http://schemas.openxmlformats.org/officeDocument/2006/relationships/hyperlink" Target="https://www.sec.gov/ix?doc=/Archives/edgar/data/2041610/000204161026000003/psky-20260113.htm" TargetMode="External"/><Relationship Id="rId12" Type="http://schemas.openxmlformats.org/officeDocument/2006/relationships/hyperlink" Target="https://www.sec.gov/ix?doc=/Archives/edgar/data/2041610/000110465926005609/tm2533570d39_8k.htm" TargetMode="External"/><Relationship Id="rId13" Type="http://schemas.openxmlformats.org/officeDocument/2006/relationships/hyperlink" Target="https://www.sec.gov/ix?doc=/Archives/edgar/data/2041610/000110465926012401/tm2533570d50_8k.htm" TargetMode="External"/><Relationship Id="rId14" Type="http://schemas.openxmlformats.org/officeDocument/2006/relationships/hyperlink" Target="https://www.sec.gov/ix?doc=/Archives/edgar/data/2041610/000110465926021911/tm2533570d75_8k.htm" TargetMode="External"/><Relationship Id="rId15" Type="http://schemas.openxmlformats.org/officeDocument/2006/relationships/hyperlink" Target="https://www.sec.gov/ix?doc=/Archives/edgar/data/2041610/000110465926040178/tm2611206d1_8k.htm" TargetMode="External"/><Relationship Id="rId16" Type="http://schemas.openxmlformats.org/officeDocument/2006/relationships/hyperlink" Target="https://www.sec.gov/ix?doc=/Archives/edgar/data/2041610/000110465926041263/tm2610616d2_8k.htm" TargetMode="External"/><Relationship Id="rId17" Type="http://schemas.openxmlformats.org/officeDocument/2006/relationships/hyperlink" Target="https://www.sec.gov/ix?doc=/Archives/edgar/data/2041610/000110465926063952/tm2610616d3_8k.htm" TargetMode="External"/><Relationship Id="rId18" Type="http://schemas.openxmlformats.org/officeDocument/2006/relationships/hyperlink" Target="https://www.sec.gov/ix?doc=/Archives/edgar/data/2041610/000204161026000041/psky-20260629.htm" TargetMode="External"/><Relationship Id="rId19" Type="http://schemas.openxmlformats.org/officeDocument/2006/relationships/hyperlink" Target="https://www.sec.gov/ix?doc=/Archives/edgar/data/2041610/000204161026000043/psky-20260720.htm" TargetMode="External"/><Relationship Id="rId20" Type="http://schemas.openxmlformats.org/officeDocument/2006/relationships/hyperlink" Target="https://www.sec.gov/ix?doc=/Archives/edgar/data/2041610/000110465926089245/tm2610616d8_8k.htm" TargetMode="External"/><Relationship Id="rId21" Type="http://schemas.openxmlformats.org/officeDocument/2006/relationships/hyperlink" Target="https://www.sec.gov/Archives/edgar/data/2041610/000119312524250679/d813356ds4.htm" TargetMode="External"/><Relationship Id="rId22" Type="http://schemas.openxmlformats.org/officeDocument/2006/relationships/hyperlink" Target="https://www.sec.gov/Archives/edgar/data/2041610/000119312525025303/d813356ds4a.htm" TargetMode="External"/><Relationship Id="rId23" Type="http://schemas.openxmlformats.org/officeDocument/2006/relationships/hyperlink" Target="https://www.sec.gov/Archives/edgar/data/2041610/000204161026000011/psky2025q4_ex4a.htm" TargetMode="External"/><Relationship Id="rId24" Type="http://schemas.openxmlformats.org/officeDocument/2006/relationships/hyperlink" Target="https://www.sec.gov/ix?doc=/Archives/edgar/data/2041610/000110465926040178/tm2611206d1_8k.htm" TargetMode="External"/><Relationship Id="rId25" Type="http://schemas.openxmlformats.org/officeDocument/2006/relationships/hyperlink" Target="https://www.sec.gov/ix?doc=/Archives/edgar/data/2041610/000204161026000033/psky-20260513_d2.htm" TargetMode="External"/><Relationship Id="rId26" Type="http://schemas.openxmlformats.org/officeDocument/2006/relationships/hyperlink" Target="https://www.sec.gov/ix?doc=/Archives/edgar/data/1437107/000143710726000020/wbd-20251231.htm" TargetMode="External"/><Relationship Id="rId27" Type="http://schemas.openxmlformats.org/officeDocument/2006/relationships/hyperlink" Target="https://www.sec.gov/ix?doc=/Archives/edgar/data/1437107/000143710726000020/wbd-20251231.htm" TargetMode="External"/><Relationship Id="rId28" Type="http://schemas.openxmlformats.org/officeDocument/2006/relationships/hyperlink" Target="https://www.sec.gov/ix?doc=/Archives/edgar/data/2041610/000204161025000029/psky-20250807.htm" TargetMode="External"/><Relationship Id="rId29" Type="http://schemas.openxmlformats.org/officeDocument/2006/relationships/hyperlink" Target="https://www.sec.gov/ix?doc=/Archives/edgar/data/2041610/000204161025000029/psky-20250807.htm" TargetMode="External"/><Relationship Id="rId30" Type="http://schemas.openxmlformats.org/officeDocument/2006/relationships/hyperlink" Target="https://www.sec.gov/ix?doc=/Archives/edgar/data/2041610/000204161025000029/psky-20250807.htm" TargetMode="External"/><Relationship Id="rId31" Type="http://schemas.openxmlformats.org/officeDocument/2006/relationships/hyperlink" Target="https://www.sec.gov/ix?doc=/Archives/edgar/data/2041610/000119312525175046/d841914d8k12b.htm" TargetMode="External"/><Relationship Id="rId32" Type="http://schemas.openxmlformats.org/officeDocument/2006/relationships/hyperlink" Target="https://www.sec.gov/ix?doc=/Archives/edgar/data/2041610/000119312525175046/d841914d8k12b.htm" TargetMode="External"/><Relationship Id="rId33" Type="http://schemas.openxmlformats.org/officeDocument/2006/relationships/hyperlink" Target="https://www.sec.gov/ix?doc=/Archives/edgar/data/2041610/000119312525175046/d841914d8k12b.htm" TargetMode="External"/><Relationship Id="rId34" Type="http://schemas.openxmlformats.org/officeDocument/2006/relationships/hyperlink" Target="https://www.sec.gov/ix?doc=/Archives/edgar/data/2041610/000119312525175046/d841914d8k12b.htm" TargetMode="External"/><Relationship Id="rId35" Type="http://schemas.openxmlformats.org/officeDocument/2006/relationships/hyperlink" Target="https://www.sec.gov/Archives/edgar/data/2041610/000119312525175046/d841914dex31.htm" TargetMode="External"/><Relationship Id="rId36" Type="http://schemas.openxmlformats.org/officeDocument/2006/relationships/hyperlink" Target="https://www.sec.gov/Archives/edgar/data/2041610/000110465926040178/tm2611206d1_ex3-1.htm" TargetMode="External"/><Relationship Id="rId37" Type="http://schemas.openxmlformats.org/officeDocument/2006/relationships/hyperlink" Target="https://www.sec.gov/Archives/edgar/data/2041610/000119312525175046/d841914dex32.htm" TargetMode="External"/><Relationship Id="rId38" Type="http://schemas.openxmlformats.org/officeDocument/2006/relationships/image" Target="media/image2.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image" Target="media/image6.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58508</Words>
  <Characters>309595</Characters>
  <CharactersWithSpaces>371097</CharactersWithSpaces>
  <Paragraphs>3738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