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193040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220980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0" w:right="1700" w:hanging="792"/>
        <w:spacing w:after="0" w:line="439" w:lineRule="auto"/>
        <w:tabs>
          <w:tab w:leader="none" w:pos="79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2007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89"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7"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5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58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397"/>
        </w:trPr>
        <w:tc>
          <w:tcPr>
            <w:tcW w:w="2320" w:type="dxa"/>
            <w:vAlign w:val="bottom"/>
          </w:tcPr>
          <w:p>
            <w:pPr>
              <w:spacing w:after="0"/>
              <w:rPr>
                <w:sz w:val="24"/>
                <w:szCs w:val="24"/>
                <w:color w:val="auto"/>
              </w:rPr>
            </w:pPr>
          </w:p>
        </w:tc>
        <w:tc>
          <w:tcPr>
            <w:tcW w:w="3960" w:type="dxa"/>
            <w:vAlign w:val="bottom"/>
            <w:gridSpan w:val="4"/>
          </w:tcPr>
          <w:p>
            <w:pPr>
              <w:ind w:left="1240"/>
              <w:spacing w:after="0"/>
              <w:rPr>
                <w:sz w:val="20"/>
                <w:szCs w:val="20"/>
                <w:color w:val="auto"/>
              </w:rPr>
            </w:pPr>
            <w:r>
              <w:rPr>
                <w:rFonts w:ascii="Arial" w:cs="Arial" w:eastAsia="Arial" w:hAnsi="Arial"/>
                <w:sz w:val="18"/>
                <w:szCs w:val="18"/>
                <w:b w:val="1"/>
                <w:bCs w:val="1"/>
                <w:color w:val="auto"/>
                <w:w w:val="87"/>
              </w:rPr>
              <w:t>Commission File Number 001-32686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292735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VIACOM INC.</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8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20-3515052</w:t>
      </w:r>
    </w:p>
    <w:p>
      <w:pPr>
        <w:spacing w:after="0" w:line="46"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spacing w:after="0" w:line="9"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134620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4"/>
          <w:szCs w:val="14"/>
          <w:b w:val="1"/>
          <w:bCs w:val="1"/>
          <w:color w:val="auto"/>
        </w:rPr>
        <w:t>(I.R.S. Employer</w:t>
      </w:r>
    </w:p>
    <w:p>
      <w:pPr>
        <w:jc w:val="center"/>
        <w:ind w:right="202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340" w:space="720"/>
            <w:col w:w="3360"/>
          </w:cols>
          <w:pgMar w:left="240" w:top="230" w:right="23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1515 Broadway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258-6000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w:t>
      </w:r>
    </w:p>
    <w:p>
      <w:pPr>
        <w:jc w:val="center"/>
        <w:spacing w:after="0"/>
        <w:rPr>
          <w:sz w:val="20"/>
          <w:szCs w:val="20"/>
          <w:color w:val="auto"/>
        </w:rPr>
      </w:pPr>
      <w:r>
        <w:rPr>
          <w:rFonts w:ascii="Arial" w:cs="Arial" w:eastAsia="Arial" w:hAnsi="Arial"/>
          <w:sz w:val="14"/>
          <w:szCs w:val="14"/>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111125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6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30"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(Check one):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103" w:lineRule="exact"/>
        <w:rPr>
          <w:sz w:val="24"/>
          <w:szCs w:val="24"/>
          <w:color w:val="auto"/>
        </w:rPr>
      </w:pPr>
    </w:p>
    <w:p>
      <w:pPr>
        <w:ind w:left="460"/>
        <w:spacing w:after="0" w:line="184" w:lineRule="exact"/>
        <w:tabs>
          <w:tab w:leader="none" w:pos="91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60" w:type="dxa"/>
            <w:vAlign w:val="bottom"/>
          </w:tcPr>
          <w:p>
            <w:pPr>
              <w:jc w:val="right"/>
              <w:ind w:right="2026"/>
              <w:spacing w:after="0"/>
              <w:rPr>
                <w:sz w:val="20"/>
                <w:szCs w:val="20"/>
                <w:color w:val="auto"/>
              </w:rPr>
            </w:pPr>
            <w:r>
              <w:rPr>
                <w:rFonts w:ascii="Arial" w:cs="Arial" w:eastAsia="Arial" w:hAnsi="Arial"/>
                <w:sz w:val="14"/>
                <w:szCs w:val="14"/>
                <w:b w:val="1"/>
                <w:bCs w:val="1"/>
                <w:color w:val="auto"/>
              </w:rPr>
              <w:t>Shares Outstanding</w:t>
            </w:r>
          </w:p>
        </w:tc>
      </w:tr>
      <w:tr>
        <w:trPr>
          <w:trHeight w:val="175"/>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of Stock</w:t>
            </w:r>
          </w:p>
        </w:tc>
        <w:tc>
          <w:tcPr>
            <w:tcW w:w="240" w:type="dxa"/>
            <w:vAlign w:val="bottom"/>
          </w:tcPr>
          <w:p>
            <w:pPr>
              <w:spacing w:after="0"/>
              <w:rPr>
                <w:sz w:val="15"/>
                <w:szCs w:val="15"/>
                <w:color w:val="auto"/>
              </w:rPr>
            </w:pPr>
          </w:p>
        </w:tc>
        <w:tc>
          <w:tcPr>
            <w:tcW w:w="5360" w:type="dxa"/>
            <w:vAlign w:val="bottom"/>
            <w:tcBorders>
              <w:bottom w:val="single" w:sz="8" w:color="auto"/>
            </w:tcBorders>
          </w:tcPr>
          <w:p>
            <w:pPr>
              <w:jc w:val="right"/>
              <w:ind w:right="1966"/>
              <w:spacing w:after="0"/>
              <w:rPr>
                <w:sz w:val="20"/>
                <w:szCs w:val="20"/>
                <w:color w:val="auto"/>
              </w:rPr>
            </w:pPr>
            <w:r>
              <w:rPr>
                <w:rFonts w:ascii="Arial" w:cs="Arial" w:eastAsia="Arial" w:hAnsi="Arial"/>
                <w:sz w:val="14"/>
                <w:szCs w:val="14"/>
                <w:b w:val="1"/>
                <w:bCs w:val="1"/>
                <w:color w:val="auto"/>
              </w:rPr>
              <w:t>as of October 15, 2007</w:t>
            </w:r>
          </w:p>
        </w:tc>
      </w:tr>
      <w:tr>
        <w:trPr>
          <w:trHeight w:val="201"/>
        </w:trPr>
        <w:tc>
          <w:tcPr>
            <w:tcW w:w="5820" w:type="dxa"/>
            <w:vAlign w:val="bottom"/>
          </w:tcPr>
          <w:p>
            <w:pPr>
              <w:spacing w:after="0" w:line="201" w:lineRule="exact"/>
              <w:rPr>
                <w:sz w:val="20"/>
                <w:szCs w:val="20"/>
                <w:color w:val="auto"/>
              </w:rPr>
            </w:pPr>
            <w:r>
              <w:rPr>
                <w:rFonts w:ascii="Arial" w:cs="Arial" w:eastAsia="Arial" w:hAnsi="Arial"/>
                <w:sz w:val="18"/>
                <w:szCs w:val="18"/>
                <w:color w:val="auto"/>
              </w:rPr>
              <w:t>Class A Common Stock, par value $0.001 per share</w:t>
            </w:r>
          </w:p>
        </w:tc>
        <w:tc>
          <w:tcPr>
            <w:tcW w:w="240" w:type="dxa"/>
            <w:vAlign w:val="bottom"/>
          </w:tcPr>
          <w:p>
            <w:pPr>
              <w:spacing w:after="0"/>
              <w:rPr>
                <w:sz w:val="17"/>
                <w:szCs w:val="17"/>
                <w:color w:val="auto"/>
              </w:rPr>
            </w:pPr>
          </w:p>
        </w:tc>
        <w:tc>
          <w:tcPr>
            <w:tcW w:w="5360" w:type="dxa"/>
            <w:vAlign w:val="bottom"/>
          </w:tcPr>
          <w:p>
            <w:pPr>
              <w:jc w:val="right"/>
              <w:ind w:right="2166"/>
              <w:spacing w:after="0" w:line="201" w:lineRule="exact"/>
              <w:rPr>
                <w:sz w:val="20"/>
                <w:szCs w:val="20"/>
                <w:color w:val="auto"/>
              </w:rPr>
            </w:pPr>
            <w:r>
              <w:rPr>
                <w:rFonts w:ascii="Arial" w:cs="Arial" w:eastAsia="Arial" w:hAnsi="Arial"/>
                <w:sz w:val="18"/>
                <w:szCs w:val="18"/>
                <w:color w:val="auto"/>
              </w:rPr>
              <w:t>57,628,563</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Class B Common Stock, par value $0.001 per share</w:t>
            </w:r>
          </w:p>
        </w:tc>
        <w:tc>
          <w:tcPr>
            <w:tcW w:w="5600" w:type="dxa"/>
            <w:vAlign w:val="bottom"/>
            <w:gridSpan w:val="2"/>
          </w:tcPr>
          <w:p>
            <w:pPr>
              <w:jc w:val="right"/>
              <w:ind w:right="2166"/>
              <w:spacing w:after="0"/>
              <w:rPr>
                <w:sz w:val="20"/>
                <w:szCs w:val="20"/>
                <w:color w:val="auto"/>
              </w:rPr>
            </w:pPr>
            <w:r>
              <w:rPr>
                <w:rFonts w:ascii="Arial" w:cs="Arial" w:eastAsia="Arial" w:hAnsi="Arial"/>
                <w:sz w:val="18"/>
                <w:szCs w:val="18"/>
                <w:color w:val="auto"/>
              </w:rPr>
              <w:t>598,611,238</w:t>
            </w:r>
          </w:p>
        </w:tc>
      </w:tr>
      <w:tr>
        <w:trPr>
          <w:trHeight w:val="215"/>
        </w:trPr>
        <w:tc>
          <w:tcPr>
            <w:tcW w:w="5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13"/>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5"/>
                <w:szCs w:val="15"/>
                <w:color w:val="auto"/>
              </w:rPr>
            </w:pPr>
          </w:p>
        </w:tc>
        <w:tc>
          <w:tcPr>
            <w:tcW w:w="10140" w:type="dxa"/>
            <w:vAlign w:val="bottom"/>
            <w:gridSpan w:val="12"/>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Earnings for the quarter and nine months ended September 30, 2007 and September 30, 2006</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at September 30, 2007 and December 31, 2006</w:t>
              </w:r>
            </w:hyperlink>
          </w:p>
        </w:tc>
        <w:tc>
          <w:tcPr>
            <w:tcW w:w="3120" w:type="dxa"/>
            <w:vAlign w:val="bottom"/>
            <w:tcBorders>
              <w:top w:val="single" w:sz="8" w:color="0000EE"/>
            </w:tcBorders>
            <w:gridSpan w:val="3"/>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14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nine months ended September 30, 2007 and September 30, 2006</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4800" w:type="dxa"/>
            <w:vAlign w:val="bottom"/>
            <w:tcBorders>
              <w:top w:val="single" w:sz="8" w:color="0000EE"/>
            </w:tcBorders>
            <w:gridSpan w:val="5"/>
          </w:tcPr>
          <w:p>
            <w:pPr>
              <w:spacing w:after="0"/>
              <w:rPr>
                <w:sz w:val="17"/>
                <w:szCs w:val="17"/>
                <w:color w:val="auto"/>
              </w:rPr>
            </w:pPr>
          </w:p>
        </w:tc>
        <w:tc>
          <w:tcPr>
            <w:tcW w:w="22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Results of Operations and Financial Condition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8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84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44"/>
        </w:trPr>
        <w:tc>
          <w:tcPr>
            <w:tcW w:w="11140" w:type="dxa"/>
            <w:vAlign w:val="bottom"/>
            <w:gridSpan w:val="13"/>
          </w:tcPr>
          <w:p>
            <w:pPr>
              <w:spacing w:after="0"/>
              <w:rPr>
                <w:sz w:val="20"/>
                <w:szCs w:val="20"/>
                <w:color w:val="auto"/>
              </w:rPr>
            </w:pPr>
            <w:r>
              <w:rPr>
                <w:rFonts w:ascii="Arial" w:cs="Arial" w:eastAsia="Arial" w:hAnsi="Arial"/>
                <w:sz w:val="18"/>
                <w:szCs w:val="18"/>
                <w:b w:val="1"/>
                <w:bCs w:val="1"/>
                <w:color w:val="auto"/>
              </w:rPr>
              <w:t>PART II—OTHER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10140" w:type="dxa"/>
            <w:vAlign w:val="bottom"/>
            <w:gridSpan w:val="12"/>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00" w:type="dxa"/>
            <w:vAlign w:val="bottom"/>
            <w:tcBorders>
              <w:top w:val="single" w:sz="8" w:color="0000EE"/>
            </w:tcBorders>
          </w:tcPr>
          <w:p>
            <w:pPr>
              <w:spacing w:after="0"/>
              <w:rPr>
                <w:sz w:val="17"/>
                <w:szCs w:val="17"/>
                <w:color w:val="auto"/>
              </w:rPr>
            </w:pPr>
          </w:p>
        </w:tc>
        <w:tc>
          <w:tcPr>
            <w:tcW w:w="88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3640" w:type="dxa"/>
            <w:vAlign w:val="bottom"/>
            <w:tcBorders>
              <w:top w:val="single" w:sz="8" w:color="0000EE"/>
            </w:tcBorders>
            <w:gridSpan w:val="5"/>
          </w:tcPr>
          <w:p>
            <w:pPr>
              <w:spacing w:after="0"/>
              <w:rPr>
                <w:sz w:val="17"/>
                <w:szCs w:val="17"/>
                <w:color w:val="auto"/>
              </w:rPr>
            </w:pPr>
          </w:p>
        </w:tc>
        <w:tc>
          <w:tcPr>
            <w:tcW w:w="59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9"/>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(in millions, except earnings per share amounts)</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2007</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2007</w:t>
            </w: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3,270.6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2,633.2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9,174.8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7,794.8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1,670.6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1,278.6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4,998.0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681.8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1,921.9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1,619.0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296.9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2,455.5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1,978.8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7,216.8</w:t>
            </w: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5,855.5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1,958.0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(114.8)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(339.8)</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equity investment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151.0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Other items,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(52.5)</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2"/>
              </w:rPr>
              <w:t>Earnings from continuing operations before provision for income taxes, equity in earnings (losses)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693.0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1,716.7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minority interest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(238.0)</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(169.6)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(627.0)</w:t>
            </w:r>
          </w:p>
        </w:tc>
        <w:tc>
          <w:tcPr>
            <w:tcW w:w="1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affiliated companies, net of tax</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Minority interest, net of tax</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1,084.9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Discontinued operations, net of tax</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193.7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1,278.6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Earnings per share, discontinued operations</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2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Earnings per share, discontinued operations</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682.0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668.2</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707.3</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683.5</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60" w:type="dxa"/>
            <w:vAlign w:val="bottom"/>
            <w:gridSpan w:val="2"/>
          </w:tcPr>
          <w:p>
            <w:pPr>
              <w:spacing w:after="0"/>
              <w:rPr>
                <w:sz w:val="20"/>
                <w:szCs w:val="20"/>
                <w:color w:val="auto"/>
              </w:rPr>
            </w:pPr>
            <w:r>
              <w:rPr>
                <w:rFonts w:ascii="Arial" w:cs="Arial" w:eastAsia="Arial" w:hAnsi="Arial"/>
                <w:sz w:val="18"/>
                <w:szCs w:val="18"/>
                <w:color w:val="auto"/>
              </w:rPr>
              <w:t>(in millions, except par value)</w:t>
            </w:r>
          </w:p>
        </w:tc>
        <w:tc>
          <w:tcPr>
            <w:tcW w:w="10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(unaudited)</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373.4</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Receivables (includes retained interests in securitizations—see Note 6)</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1,938.7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680.8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251.9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and other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344.7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Assets held for sale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3,589.5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1,183.5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4,054.5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11,196.0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702.6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643.7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21,369.8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21,796.</w:t>
            </w:r>
            <w:r>
              <w:rPr>
                <w:rFonts w:ascii="Arial" w:cs="Arial" w:eastAsia="Arial" w:hAnsi="Arial"/>
                <w:sz w:val="18"/>
                <w:szCs w:val="18"/>
                <w:u w:val="single" w:color="auto"/>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360.8</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1,094.4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Participants’ share, residuals and royalties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1,070.4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Program rights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377.7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397.1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Financing obligations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Liabilities held for sale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4,204.3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460" w:type="dxa"/>
            <w:vAlign w:val="bottom"/>
            <w:gridSpan w:val="2"/>
          </w:tcPr>
          <w:p>
            <w:pPr>
              <w:spacing w:after="0"/>
              <w:rPr>
                <w:sz w:val="20"/>
                <w:szCs w:val="20"/>
                <w:color w:val="auto"/>
              </w:rPr>
            </w:pPr>
            <w:r>
              <w:rPr>
                <w:rFonts w:ascii="Arial" w:cs="Arial" w:eastAsia="Arial" w:hAnsi="Arial"/>
                <w:sz w:val="18"/>
                <w:szCs w:val="18"/>
                <w:color w:val="auto"/>
              </w:rPr>
              <w:t>Financing obligations</w:t>
            </w:r>
          </w:p>
        </w:tc>
        <w:tc>
          <w:tcPr>
            <w:tcW w:w="1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7,605.2</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571.8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Participants’ share, residual and royalties payable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271.4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1,431.2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9"/>
                <w:szCs w:val="19"/>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Class A Common Stock, par value $0.001, 375.0 authorized; 57.8 and 59.7 outstanding, respectively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Class B Common Stock, par value $0.001, 5,000.0 authorized; 600.6 and 633.5 outstanding,</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8,032.3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(3,911.5)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2,847.7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21,369.8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21,796.</w:t>
            </w:r>
            <w:r>
              <w:rPr>
                <w:rFonts w:ascii="Arial" w:cs="Arial" w:eastAsia="Arial" w:hAnsi="Arial"/>
                <w:sz w:val="18"/>
                <w:szCs w:val="18"/>
                <w:u w:val="single" w:color="auto"/>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2"/>
        </w:trPr>
        <w:tc>
          <w:tcPr>
            <w:tcW w:w="9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2007</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1,278.6</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1,084.9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1,087.7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Feature film and program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2,484.7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equity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Impairment of cost 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affiliates and minority interest,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Operating assets and liabilities, net of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Inventory and program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5"/>
              </w:rPr>
              <w:t>(2,478.9)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(2,334.0)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Tax related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Net cash flow from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Net cash used in business combinations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(1,223.4)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dispositions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and advances to equity affiliates and 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Discontinued operations,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330"/>
        </w:trPr>
        <w:tc>
          <w:tcPr>
            <w:tcW w:w="94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banks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Repayments to banks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(7,756.0)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and debentures, net of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5,436.1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(774.2)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1,813.6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notes payable and preferred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Proceeds from cash flow hedge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payments with Former Viacom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Payment of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5"/>
              </w:rPr>
              <w:t>(1,549.9)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Exercise of stock options and 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Net cash flow used in financing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77"/>
              </w:rPr>
              <w:t>(1,762.6)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(332.4)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5620"/>
        <w:spacing w:after="0" w:line="351" w:lineRule="auto"/>
        <w:rPr>
          <w:sz w:val="20"/>
          <w:szCs w:val="20"/>
          <w:color w:val="auto"/>
        </w:rPr>
      </w:pPr>
      <w:r>
        <w:rPr>
          <w:rFonts w:ascii="Arial" w:cs="Arial" w:eastAsia="Arial" w:hAnsi="Arial"/>
          <w:sz w:val="18"/>
          <w:szCs w:val="18"/>
          <w:b w:val="1"/>
          <w:bCs w:val="1"/>
          <w:color w:val="auto"/>
        </w:rPr>
        <w:t xml:space="preserve">NOTE 1. DESCRIPTION OF BUSINESS AND BASIS OF PRESENTATION </w:t>
      </w:r>
      <w:r>
        <w:rPr>
          <w:rFonts w:ascii="Arial" w:cs="Arial" w:eastAsia="Arial" w:hAnsi="Arial"/>
          <w:sz w:val="18"/>
          <w:szCs w:val="18"/>
          <w:i w:val="1"/>
          <w:iCs w:val="1"/>
          <w:color w:val="auto"/>
        </w:rPr>
        <w:t>Description of Business</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Viacom Inc. including its consolidated subsidiaries (“Viacom” or the “Company”) is a leading global entertainment content company with prominent and respected brands. The Company operates through two reportable operating segments: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which includes MTV Networks (“MTVN”) and BET Networks (“BETN”); and </w:t>
      </w:r>
      <w:r>
        <w:rPr>
          <w:rFonts w:ascii="Arial" w:cs="Arial" w:eastAsia="Arial" w:hAnsi="Arial"/>
          <w:sz w:val="16"/>
          <w:szCs w:val="16"/>
          <w:i w:val="1"/>
          <w:iCs w:val="1"/>
          <w:color w:val="auto"/>
        </w:rPr>
        <w:t>Filmed Entertainment</w:t>
      </w:r>
      <w:r>
        <w:rPr>
          <w:rFonts w:ascii="Arial" w:cs="Arial" w:eastAsia="Arial" w:hAnsi="Arial"/>
          <w:sz w:val="16"/>
          <w:szCs w:val="16"/>
          <w:color w:val="auto"/>
        </w:rPr>
        <w:t>, which includes Paramount Pictures (“Paramount”). The Media Networks brands are focused on connecting with key demographics attractive to advertisers across multiple distribution platforms including cable television program services and digital media assets. The Company produces its own programs or acquires programming rights from others that target specific demographics and provides content to various distribution platforms. In the Filmed Entertainment segment, Paramount produces, finances and distributes motion pictures.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accompanying unaudited consolidated quarterly financial statements have been prepared on a basis consistent with accounting principles generally accepted in the United States (“GAAP”) for interim financial information and pursuant to the rules of the Securities and Exchange Commission (“SEC”). In the opinion of management, the accompanying unaudited financial statements reflect all adjustments, consisting of only normal and recurring adjustments, necessary for a fair presentation of the results of operations, financial position and cash flows for the periods presented. The results of operations for the periods presented are not necessarily indicative of the results expected for the full year or any future period. These statements should be read in conjunction with the Company’s Annual Report on Form 10-K for the year ended December 31, 2006, as filed with the SEC on March 1, 2007 (the “2006 Annual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Preparing financial statements in conformity with GAAP requires management to make estimates, judgments and assumptions that affect the reported amounts of assets and liabilities as of the dates presented and the reported amounts of revenues and expenses during the reporting periods presented. Significant estimates inherent in the preparation of the accompanying consolidated financial statements include estimates of film ultimate revenues, product returns, amount of receivables expected to be collected, potential outcome of uncertain tax positions, determination of fair value of acquired assets and liabilities, determination of fair value of stock based compensation and determination of pension benefit assumptions. Estimates are based on past experience and other considerations reasonable under the circumstances. Actual results may differ from these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31, 2007, the Company completed the sale of Famous Music for $351.7 million, resulting in an after-tax gain in the quarter of $191.7 million. On July 22, 2005, the former Viacom Inc. (“Former Viacom”) sold Famous Players Inc. (“Famous Players”), a Canadian-based theater chain. In 2004, Former Viacom completed the exchange offer for the split-off of Blockbuster Inc. (“Blockbuster”). Famous Music, Famous Players and Blockbuster have been presented as discontinued operations for all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Interpretation No. 48</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In July 2006, the Financial Accounting Standards Board (“FASB”) issued Interpretation No. 48, </w:t>
      </w:r>
      <w:r>
        <w:rPr>
          <w:rFonts w:ascii="Arial" w:cs="Arial" w:eastAsia="Arial" w:hAnsi="Arial"/>
          <w:sz w:val="18"/>
          <w:szCs w:val="18"/>
          <w:i w:val="1"/>
          <w:iCs w:val="1"/>
          <w:color w:val="auto"/>
        </w:rPr>
        <w:t>Accounting for Uncertainty in Income Taxes—An Interpretation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FASB Statement No. 109 </w:t>
      </w:r>
      <w:r>
        <w:rPr>
          <w:rFonts w:ascii="Arial" w:cs="Arial" w:eastAsia="Arial" w:hAnsi="Arial"/>
          <w:sz w:val="18"/>
          <w:szCs w:val="18"/>
          <w:color w:val="auto"/>
        </w:rPr>
        <w:t>(“FIN 48”). FIN 48 clarifies the accounting for uncertainty in income taxes recognized in the financial statements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FIN 48 also prescribes a recognition threshold and measurement model for the financial statement recognition of a tax position taken, or expected to be taken, in a tax return and provides guidance on derecognition, classification, interest and penalties, accounting in interim periods, disclosure and transition.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Company adopted the provisions of FIN 48 on January 1, 2007. As a result of the implementation, the Company recognized a $9.2 million increase in unrecognized income tax benefits, primarily related to state income tax matters, along with $13.9 million of related potential interest and penalties. The items were recorded as other non-current liabilities with a corresponding reduction to retained earnings. At the time of adoption, the Company had $261.2 million of unrecognized tax benefits of which $219.1 million, if recognized, would affect the Company’s annual effective tax rate in future years. The Company does not anticipate a significant change in the balance of unrecognized tax benefits within the next twelve months.</w:t>
      </w:r>
    </w:p>
    <w:p>
      <w:pPr>
        <w:spacing w:after="0" w:line="1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Company recognizes interest and penalties accrued related to unrecognized tax benefits as a component of the provision for income taxes. At the time of adoption, the Company had an accrual of $60.7 million related to potential interest and penalties recorded as a component of other non-current liabilities.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years ending on or prior to December 31, 2005, the Company filed a consolidated tax return with CBS Corporation. The Company and its subsidiaries file income tax returns with the Internal Revenue Service (“IRS”) and various state and international jurisdictions. For jurisdictions in which tax filings are prepared, with few exceptions, the Company is no longer subject to income tax examinations by state, local or international tax authorities for years through 2000, and by the IRS for years through 2003. The IRS commenced its examination of the Viacom and CBS Corporation U.S. consolidated tax returns for 2004 and 2005 in the fourth quarter of 2006. The examination is expected to be concluded by the end of 2008. Tax authorities are also conducting examinations of Viacom subsidiaries in various international jurisdictions, such as the United Kingdom and various states, including New York. Certain jurisdictions have proposed adjustments to some of the Company’s tax positions; however, the adjustments are not expected to result in a material change to our results of operations, financial position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5"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Comprehensive income includes net earnings, foreign currency translation adjustments, amortization of amounts related to unfunded benefit plans, unrealized gains or losses on certain derivative financial instruments and unrealized gains and losses on certain investments in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90170</wp:posOffset>
            </wp:positionV>
            <wp:extent cx="60801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6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 Ended</w:t>
            </w:r>
          </w:p>
        </w:tc>
        <w:tc>
          <w:tcPr>
            <w:tcW w:w="1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20"/>
                <w:szCs w:val="20"/>
                <w:color w:val="auto"/>
              </w:rPr>
            </w:pPr>
            <w:r>
              <w:rPr>
                <w:rFonts w:ascii="Arial" w:cs="Arial" w:eastAsia="Arial" w:hAnsi="Arial"/>
                <w:sz w:val="14"/>
                <w:szCs w:val="14"/>
                <w:b w:val="1"/>
                <w:bCs w:val="1"/>
                <w:color w:val="auto"/>
              </w:rPr>
              <w:t>Comprehensive Income</w:t>
            </w: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4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$641.6</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$356.8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2"/>
              </w:rPr>
              <w:t>$ 1,278.6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1,111.3</w:t>
            </w: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flow hedges, net of tax</w:t>
            </w:r>
          </w:p>
        </w:tc>
        <w:tc>
          <w:tcPr>
            <w:tcW w:w="8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9"/>
        </w:trPr>
        <w:tc>
          <w:tcPr>
            <w:tcW w:w="6400" w:type="dxa"/>
            <w:vAlign w:val="bottom"/>
          </w:tcPr>
          <w:p>
            <w:pPr>
              <w:ind w:left="44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46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13.0</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659.4</w:t>
            </w:r>
          </w:p>
        </w:tc>
        <w:tc>
          <w:tcPr>
            <w:tcW w:w="460" w:type="dxa"/>
            <w:vAlign w:val="bottom"/>
          </w:tcPr>
          <w:p>
            <w:pPr>
              <w:spacing w:after="0"/>
              <w:rPr>
                <w:sz w:val="13"/>
                <w:szCs w:val="13"/>
                <w:color w:val="auto"/>
              </w:rPr>
            </w:pPr>
          </w:p>
        </w:tc>
        <w:tc>
          <w:tcPr>
            <w:tcW w:w="820" w:type="dxa"/>
            <w:vAlign w:val="bottom"/>
            <w:gridSpan w:val="2"/>
          </w:tcPr>
          <w:p>
            <w:pPr>
              <w:jc w:val="right"/>
              <w:ind w:right="440"/>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369.3</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2"/>
              </w:rPr>
              <w:t>$ 1,314.7</w:t>
            </w:r>
          </w:p>
        </w:tc>
        <w:tc>
          <w:tcPr>
            <w:tcW w:w="42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9"/>
              </w:rPr>
              <w:t>1,221.9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w:t>
      </w:r>
    </w:p>
    <w:p>
      <w:pPr>
        <w:spacing w:after="0" w:line="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earnings per common share excludes potentially dilutive securities and is computed by dividing net earnings by the weighted average number of common shares outstanding during the period. The determination of diluted earnings per common share includes the potential dilutive effect of stock options, restricted share units and performance share units based upon the application of the treasury stock method.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common shares outstanding utilized in determining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3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16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040" w:type="dxa"/>
            <w:vAlign w:val="bottom"/>
          </w:tcPr>
          <w:p>
            <w:pPr>
              <w:spacing w:after="0"/>
              <w:rPr>
                <w:sz w:val="20"/>
                <w:szCs w:val="20"/>
                <w:color w:val="auto"/>
              </w:rPr>
            </w:pPr>
            <w:r>
              <w:rPr>
                <w:rFonts w:ascii="Arial" w:cs="Arial" w:eastAsia="Arial" w:hAnsi="Arial"/>
                <w:sz w:val="14"/>
                <w:szCs w:val="14"/>
                <w:b w:val="1"/>
                <w:bCs w:val="1"/>
                <w:color w:val="auto"/>
              </w:rPr>
              <w:t>Common Shares Outstanding</w:t>
            </w:r>
          </w:p>
        </w:tc>
        <w:tc>
          <w:tcPr>
            <w:tcW w:w="13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0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10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r>
      <w:tr>
        <w:trPr>
          <w:trHeight w:val="102"/>
        </w:trPr>
        <w:tc>
          <w:tcPr>
            <w:tcW w:w="6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9"/>
        </w:trPr>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 basic</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667.1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682.0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721.4</w:t>
            </w:r>
          </w:p>
        </w:tc>
      </w:tr>
      <w:tr>
        <w:trPr>
          <w:trHeight w:val="149"/>
        </w:trPr>
        <w:tc>
          <w:tcPr>
            <w:tcW w:w="6040" w:type="dxa"/>
            <w:vAlign w:val="bottom"/>
          </w:tcPr>
          <w:p>
            <w:pPr>
              <w:ind w:left="440"/>
              <w:spacing w:after="0" w:line="149" w:lineRule="exact"/>
              <w:rPr>
                <w:sz w:val="20"/>
                <w:szCs w:val="20"/>
                <w:color w:val="auto"/>
              </w:rPr>
            </w:pPr>
            <w:r>
              <w:rPr>
                <w:rFonts w:ascii="Arial" w:cs="Arial" w:eastAsia="Arial" w:hAnsi="Arial"/>
                <w:sz w:val="14"/>
                <w:szCs w:val="14"/>
                <w:color w:val="auto"/>
              </w:rPr>
              <w:t>Dilutive effect of stock options</w:t>
            </w: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1.0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w:t>
            </w:r>
          </w:p>
        </w:tc>
      </w:tr>
      <w:tr>
        <w:trPr>
          <w:trHeight w:val="149"/>
        </w:trPr>
        <w:tc>
          <w:tcPr>
            <w:tcW w:w="6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Dilutive effect of restricted share units</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0.1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r>
      <w:tr>
        <w:trPr>
          <w:trHeight w:val="156"/>
        </w:trPr>
        <w:tc>
          <w:tcPr>
            <w:tcW w:w="6040" w:type="dxa"/>
            <w:vAlign w:val="bottom"/>
          </w:tcPr>
          <w:p>
            <w:pPr>
              <w:ind w:left="440"/>
              <w:spacing w:after="0" w:line="149" w:lineRule="exact"/>
              <w:rPr>
                <w:sz w:val="20"/>
                <w:szCs w:val="20"/>
                <w:color w:val="auto"/>
              </w:rPr>
            </w:pPr>
            <w:r>
              <w:rPr>
                <w:rFonts w:ascii="Arial" w:cs="Arial" w:eastAsia="Arial" w:hAnsi="Arial"/>
                <w:sz w:val="14"/>
                <w:szCs w:val="14"/>
                <w:color w:val="auto"/>
              </w:rPr>
              <w:t>Dilutive effect of performance share units</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 dilutive</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668.2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683.5</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722.4</w:t>
            </w:r>
          </w:p>
        </w:tc>
      </w:tr>
      <w:tr>
        <w:trPr>
          <w:trHeight w:val="20"/>
        </w:trPr>
        <w:tc>
          <w:tcPr>
            <w:tcW w:w="6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Stock options to purchase 36.2 million shares of Class B common stock, 2.3 million restricted share units for Class B common stock and 0.4 million performance share units for Class B common stock were outstanding but excluded from the calculation of diluted earnings per common share because their inclusion would have been anti-dilutive for the quarter and nine months ended September 30, 2007. Stock options to purchase 47.3 million shares and 2.1 million restricted share units were outstanding but excluded from the calculation of diluted earnings per common share because their inclusion would have been anti-dilutive for the quarter and nine months ended September 30, 2006. Additionally, restricted share units of 0.8 million were excluded from the 2006 calculations because their performance conditions were not met as of September 30,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have been reclassified to conform to the 2007 presentation.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159</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In February 2007, FASB issued Statement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xml:space="preserve"> (“FAS 159”). FAS 159 provides companies with an option to report selected financial assets and liabilities at fair value and establishes presentation and disclosure requirements designed to facilitate comparisons between companies that choose different measurement attributes for similar types of assets and liabilities. FAS 159 will be effective for the Company beginning January 1, 2008. The Company is currently assessing the potential effect of FAS 159 on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157</w:t>
      </w:r>
    </w:p>
    <w:p>
      <w:pPr>
        <w:spacing w:after="0" w:line="1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 xml:space="preserve">In September 2006,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was released. FAS 157 establishes a framework for measuring fair value, clarifies the definition of fair value and expands disclosures about the use of fair value measurements. FAS 157 applies under other accounting pronouncements that require or permit fair value measurements and does not require any new fair value measurements. FAS 157 will be effective for the Company beginning January 1, 2008. The Company is currently assessing the potential effect of FAS 157 on the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Inventory of the Company consists of the following:</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9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Inventory</w:t>
            </w: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3"/>
        </w:trPr>
        <w:tc>
          <w:tcPr>
            <w:tcW w:w="7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Film Inventory:</w:t>
            </w: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Released, net of amortization</w:t>
            </w:r>
          </w:p>
        </w:tc>
        <w:tc>
          <w:tcPr>
            <w:tcW w:w="18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811.6</w:t>
            </w: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Completed, not yet released</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b w:val="1"/>
                <w:bCs w:val="1"/>
                <w:color w:val="auto"/>
              </w:rPr>
              <w:t>129.1</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In process and other</w:t>
            </w:r>
          </w:p>
        </w:tc>
        <w:tc>
          <w:tcPr>
            <w:tcW w:w="180" w:type="dxa"/>
            <w:vAlign w:val="bottom"/>
          </w:tcPr>
          <w:p>
            <w:pPr>
              <w:spacing w:after="0"/>
              <w:rPr>
                <w:sz w:val="12"/>
                <w:szCs w:val="12"/>
                <w:color w:val="auto"/>
              </w:rPr>
            </w:pPr>
          </w:p>
        </w:tc>
        <w:tc>
          <w:tcPr>
            <w:tcW w:w="15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837.9</w:t>
            </w: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Programming Inventory:</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Original programming</w:t>
            </w:r>
          </w:p>
        </w:tc>
        <w:tc>
          <w:tcPr>
            <w:tcW w:w="180" w:type="dxa"/>
            <w:vAlign w:val="bottom"/>
          </w:tcPr>
          <w:p>
            <w:pPr>
              <w:spacing w:after="0"/>
              <w:rPr>
                <w:sz w:val="12"/>
                <w:szCs w:val="12"/>
                <w:color w:val="auto"/>
              </w:rPr>
            </w:pPr>
          </w:p>
        </w:tc>
        <w:tc>
          <w:tcPr>
            <w:tcW w:w="15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1,310.4</w:t>
            </w: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Acquired program rights</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b w:val="1"/>
                <w:bCs w:val="1"/>
                <w:color w:val="auto"/>
              </w:rPr>
              <w:t>1,480.7</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Merchandise and other inventory</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165.6</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inventory</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4,735.3</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Less current portion</w:t>
            </w:r>
          </w:p>
        </w:tc>
        <w:tc>
          <w:tcPr>
            <w:tcW w:w="180" w:type="dxa"/>
            <w:vAlign w:val="bottom"/>
          </w:tcPr>
          <w:p>
            <w:pPr>
              <w:spacing w:after="0"/>
              <w:rPr>
                <w:sz w:val="12"/>
                <w:szCs w:val="12"/>
                <w:color w:val="auto"/>
              </w:rPr>
            </w:pPr>
          </w:p>
        </w:tc>
        <w:tc>
          <w:tcPr>
            <w:tcW w:w="15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(680.8)</w:t>
            </w: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inventory, non-current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4,054.5</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Financing obligations of the Company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Financing Obligations</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3"/>
        </w:trPr>
        <w:tc>
          <w:tcPr>
            <w:tcW w:w="7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Notes and Debentures: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Senior notes due 2009, LIBOR + 0.35%</w:t>
            </w:r>
          </w:p>
        </w:tc>
        <w:tc>
          <w:tcPr>
            <w:tcW w:w="18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750.0</w:t>
            </w: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notes due 2011, 5.750%</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b w:val="1"/>
                <w:bCs w:val="1"/>
                <w:color w:val="auto"/>
              </w:rPr>
              <w:t>1,493.6</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Senior notes due 2016, 6.250%</w:t>
            </w:r>
          </w:p>
        </w:tc>
        <w:tc>
          <w:tcPr>
            <w:tcW w:w="180" w:type="dxa"/>
            <w:vAlign w:val="bottom"/>
          </w:tcPr>
          <w:p>
            <w:pPr>
              <w:spacing w:after="0"/>
              <w:rPr>
                <w:sz w:val="12"/>
                <w:szCs w:val="12"/>
                <w:color w:val="auto"/>
              </w:rPr>
            </w:pPr>
          </w:p>
        </w:tc>
        <w:tc>
          <w:tcPr>
            <w:tcW w:w="15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1,494.4</w:t>
            </w: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debentures due 2036, 6.875%</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b w:val="1"/>
                <w:bCs w:val="1"/>
                <w:color w:val="auto"/>
              </w:rPr>
              <w:t>1,733.4</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Senior notes due 2055, 6.850%</w:t>
            </w:r>
          </w:p>
        </w:tc>
        <w:tc>
          <w:tcPr>
            <w:tcW w:w="180" w:type="dxa"/>
            <w:vAlign w:val="bottom"/>
          </w:tcPr>
          <w:p>
            <w:pPr>
              <w:spacing w:after="0"/>
              <w:rPr>
                <w:sz w:val="12"/>
                <w:szCs w:val="12"/>
                <w:color w:val="auto"/>
              </w:rPr>
            </w:pPr>
          </w:p>
        </w:tc>
        <w:tc>
          <w:tcPr>
            <w:tcW w:w="15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750.0</w:t>
            </w: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payable due 2013</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b w:val="1"/>
                <w:bCs w:val="1"/>
                <w:color w:val="auto"/>
              </w:rPr>
              <w:t>183.7</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Bank revolver</w:t>
            </w:r>
          </w:p>
        </w:tc>
        <w:tc>
          <w:tcPr>
            <w:tcW w:w="180" w:type="dxa"/>
            <w:vAlign w:val="bottom"/>
          </w:tcPr>
          <w:p>
            <w:pPr>
              <w:spacing w:after="0"/>
              <w:rPr>
                <w:sz w:val="12"/>
                <w:szCs w:val="12"/>
                <w:color w:val="auto"/>
              </w:rPr>
            </w:pPr>
          </w:p>
        </w:tc>
        <w:tc>
          <w:tcPr>
            <w:tcW w:w="15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700.0</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b w:val="1"/>
                <w:bCs w:val="1"/>
                <w:color w:val="auto"/>
              </w:rPr>
              <w:t>319.5</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Obligations under capital leases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305.9</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financing obligations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7,730.5</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860"/>
              <w:spacing w:after="0" w:line="149" w:lineRule="exact"/>
              <w:rPr>
                <w:sz w:val="20"/>
                <w:szCs w:val="20"/>
                <w:color w:val="auto"/>
              </w:rPr>
            </w:pPr>
            <w:r>
              <w:rPr>
                <w:rFonts w:ascii="Arial" w:cs="Arial" w:eastAsia="Arial" w:hAnsi="Arial"/>
                <w:sz w:val="14"/>
                <w:szCs w:val="14"/>
                <w:color w:val="auto"/>
              </w:rPr>
              <w:t>Less current portion</w:t>
            </w:r>
          </w:p>
        </w:tc>
        <w:tc>
          <w:tcPr>
            <w:tcW w:w="180" w:type="dxa"/>
            <w:vAlign w:val="bottom"/>
          </w:tcPr>
          <w:p>
            <w:pPr>
              <w:spacing w:after="0"/>
              <w:rPr>
                <w:sz w:val="12"/>
                <w:szCs w:val="12"/>
                <w:color w:val="auto"/>
              </w:rPr>
            </w:pPr>
          </w:p>
        </w:tc>
        <w:tc>
          <w:tcPr>
            <w:tcW w:w="15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(125.3)</w:t>
            </w: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non-current financing obligations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7,605.2</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Debentures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At September 30, 2007, the total unamortized discount related to the fixed rate senior notes and debentures and the note payable (see Note 14) was $28.6 and $38.3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September 30, 2007, the outstanding commercial paper had a weighted average interest rate of 5.68% and average maturity of less than 30 days. The commercial paper is classified as a non-current financing obligation as the Company has the intent and ability through utilization of its $3.25 billion revolving facility due December 2010 to refinance such obligations.</w:t>
      </w:r>
    </w:p>
    <w:p>
      <w:pPr>
        <w:spacing w:after="0" w:line="1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24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Interest expense on outstanding indebtedness was $111.1 million and $114.5 million in the quarters ended September 30, 2007 and 2006, respectively, and $332.9 million and $304.2 million for the nine months ended September 30, 2007 and 2006, respectively. Total interest paid on borrowings during the quarter ended September 30, 2007 was $35.4 million and $259.1 million for the nine months ended September 30, 2007.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RECEIVABLES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As further described in Note 9 of the Company’s 2006 Annual Report, the Company sells to investors on a revolving non-recourse basis a percentage ownership interest in certain accounts receivable through wholly-owned special purpose entities. The receivable securitization programs are accounted for as sales in accordance with FASB Statement No. 140, </w:t>
      </w:r>
      <w:r>
        <w:rPr>
          <w:rFonts w:ascii="Arial" w:cs="Arial" w:eastAsia="Arial" w:hAnsi="Arial"/>
          <w:sz w:val="16"/>
          <w:szCs w:val="16"/>
          <w:i w:val="1"/>
          <w:iCs w:val="1"/>
          <w:color w:val="auto"/>
        </w:rPr>
        <w:t>Accounting for Transfers and Servicing of Financial Assets and Extinguishment of Liabilities</w:t>
      </w:r>
      <w:r>
        <w:rPr>
          <w:rFonts w:ascii="Arial" w:cs="Arial" w:eastAsia="Arial" w:hAnsi="Arial"/>
          <w:sz w:val="16"/>
          <w:szCs w:val="16"/>
          <w:color w:val="auto"/>
        </w:rPr>
        <w:t>. The Company retains interests in the trade accounts receivable that have not been sold to investors, and these retained interests are included in the Consolidated Balance Sheet under the caption “Receivables.” The retained interests in the receivables are shown at amounts expected to be collected by the Company, and such carrying value approximates the fair value of our retained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Accordingly, receivables at September 30, 2007 and December 31, 2006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Receivables, Including Securitizations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millions)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Securitized pools of trade receivables</w:t>
      </w:r>
    </w:p>
    <w:p>
      <w:pPr>
        <w:ind w:left="460"/>
        <w:spacing w:after="0"/>
        <w:rPr>
          <w:sz w:val="20"/>
          <w:szCs w:val="20"/>
          <w:color w:val="auto"/>
        </w:rPr>
      </w:pPr>
      <w:r>
        <w:rPr>
          <w:rFonts w:ascii="Arial" w:cs="Arial" w:eastAsia="Arial" w:hAnsi="Arial"/>
          <w:sz w:val="12"/>
          <w:szCs w:val="12"/>
          <w:color w:val="auto"/>
        </w:rPr>
        <w:t>Interests in securitizations sold to third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ind w:left="440"/>
              <w:spacing w:after="0"/>
              <w:rPr>
                <w:sz w:val="20"/>
                <w:szCs w:val="20"/>
                <w:color w:val="auto"/>
              </w:rPr>
            </w:pPr>
            <w:r>
              <w:rPr>
                <w:rFonts w:ascii="Arial" w:cs="Arial" w:eastAsia="Arial" w:hAnsi="Arial"/>
                <w:sz w:val="14"/>
                <w:szCs w:val="14"/>
                <w:b w:val="1"/>
                <w:bCs w:val="1"/>
                <w:color w:val="auto"/>
                <w:w w:val="90"/>
              </w:rPr>
              <w:t>December 31,</w:t>
            </w:r>
          </w:p>
        </w:tc>
      </w:tr>
      <w:tr>
        <w:trPr>
          <w:trHeight w:val="162"/>
        </w:trPr>
        <w:tc>
          <w:tcPr>
            <w:tcW w:w="180" w:type="dxa"/>
            <w:vAlign w:val="bottom"/>
          </w:tcPr>
          <w:p>
            <w:pPr>
              <w:spacing w:after="0"/>
              <w:rPr>
                <w:sz w:val="14"/>
                <w:szCs w:val="14"/>
                <w:color w:val="auto"/>
              </w:rPr>
            </w:pPr>
          </w:p>
        </w:tc>
        <w:tc>
          <w:tcPr>
            <w:tcW w:w="1140" w:type="dxa"/>
            <w:vAlign w:val="bottom"/>
          </w:tcPr>
          <w:p>
            <w:pPr>
              <w:jc w:val="right"/>
              <w:ind w:right="69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1,719.4</w:t>
            </w:r>
          </w:p>
        </w:tc>
        <w:tc>
          <w:tcPr>
            <w:tcW w:w="60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2,010.6</w:t>
            </w:r>
          </w:p>
        </w:tc>
      </w:tr>
      <w:tr>
        <w:trPr>
          <w:trHeight w:val="161"/>
        </w:trPr>
        <w:tc>
          <w:tcPr>
            <w:tcW w:w="180" w:type="dxa"/>
            <w:vAlign w:val="bottom"/>
          </w:tcPr>
          <w:p>
            <w:pPr>
              <w:spacing w:after="0"/>
              <w:rPr>
                <w:sz w:val="14"/>
                <w:szCs w:val="14"/>
                <w:color w:val="auto"/>
              </w:rPr>
            </w:pPr>
          </w:p>
        </w:tc>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rPr>
              <w:t>(950.0)</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-196850</wp:posOffset>
            </wp:positionV>
            <wp:extent cx="666369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640" w:space="720"/>
            <w:col w:w="306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8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Retained interest in securitizations</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769.4</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4"/>
                <w:szCs w:val="14"/>
                <w:color w:val="auto"/>
              </w:rPr>
              <w:t>1,060.6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Receivables not subject to securitizations</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1,303.6</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Receivables, including retained interest in securitizations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2,073.0</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420"/>
              <w:spacing w:after="0" w:line="149" w:lineRule="exact"/>
              <w:rPr>
                <w:sz w:val="20"/>
                <w:szCs w:val="20"/>
                <w:color w:val="auto"/>
              </w:rPr>
            </w:pPr>
            <w:r>
              <w:rPr>
                <w:rFonts w:ascii="Arial" w:cs="Arial" w:eastAsia="Arial" w:hAnsi="Arial"/>
                <w:sz w:val="14"/>
                <w:szCs w:val="14"/>
                <w:color w:val="auto"/>
              </w:rPr>
              <w:t>Less allowance</w:t>
            </w:r>
          </w:p>
        </w:tc>
        <w:tc>
          <w:tcPr>
            <w:tcW w:w="260" w:type="dxa"/>
            <w:vAlign w:val="bottom"/>
          </w:tcPr>
          <w:p>
            <w:pPr>
              <w:spacing w:after="0"/>
              <w:rPr>
                <w:sz w:val="12"/>
                <w:szCs w:val="12"/>
                <w:color w:val="auto"/>
              </w:rPr>
            </w:pPr>
          </w:p>
        </w:tc>
        <w:tc>
          <w:tcPr>
            <w:tcW w:w="14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(134.3)</w:t>
            </w:r>
          </w:p>
        </w:tc>
        <w:tc>
          <w:tcPr>
            <w:tcW w:w="2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receivables, including retained interest in securitization, net</w:t>
            </w: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1,938.7</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compensated for our services in the collection and administration of the securitized receivables. No servicing asset or liability has been recorded because the fees received for servicing the receivables approximates the related costs. Losses on the sale of receivables represent the financial cost of funding under the securitization programs and are included in Other Items, net. The financial cost of funding and the cash flow impact of the securitization programs to our operating cash flows are included in Note 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further discussed in its 2006 Annual Report, commencing in January 2006, the Company had in place a $3.0 billion stock repurchase program that was completed in June 2007. For the year, through completion of the program, 13.7 million shares were repurchased in the open market under the program for an aggregate purchase price of $580.0 million. An additional 1.8 million shares were purchased under an agreement with National Amusements, Inc. (“NAI”), the Company’s controlling stockholder, for an aggregate purchase price of $75.0 million.</w:t>
      </w:r>
    </w:p>
    <w:p>
      <w:pPr>
        <w:spacing w:after="0" w:line="14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On May 29, 2007, the Company’s Board of Directors approved a new stock repurchase program under which the Company is authorized to acquire up to $4.0 billion of Viacom Class A and Class B common stock. The independent members of the Board also approved NAI’s continued participation in the new program on substantially the same terms as those on which it participated in the previous program. This program commenced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on June 22, 2007, following the completion of the $3.0 billion stock repurchase program. For the quarter and nine months ended September 30, 2007,</w:t>
      </w:r>
    </w:p>
    <w:p>
      <w:pPr>
        <w:spacing w:after="0" w:line="38"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15.7 million and 17.4 million shares were repurchased in the open market under the new program for an aggregate purchase price of $617.4 million and $687.9 million, respectively. In addition, 2.8 million shares were purchased in July 2007 from the 401(k) plans sponsored by CBS Corporation at an aggregate price of $120.0 million. An additional 2.4 million and 2.6 million shares were purchased under the agreement with NAI for an aggregate purchase price of $94.5 million and $103.5 million, respectively, for the quarter and nine months ended September 30, 2007.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NAI, through its beneficial ownership of our Class A common stock, has voting control of Viacom. Sumner M. Redstone, the controlling stockholder, Chairman and Chief Executive Officer of NAI, serves as our Executive Chairman and Founder, and Shari Redstone, the President and a director of NAI, serves as the non-executive Vice Chair of our Board of Directors. In addition, George Abrams and Philippe Dauman, our President and Chief Executive Officer, are directors of both NAI and Viacom. NAI also has controlling interests in CBS Corporation and Midway Games, Inc. (“Midway”).</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During the nine months ended September 30, 2007 and 2006, NAI made payments to Paramount in connection with these licenses in the aggregate amounts of approximately $33.5 million and $8.7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NAI and Mr. Redstone own in the aggregate approximately 88% of the common stock of Midway. Midway places advertisements on Viacom’s program services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digital media assets from time to time. During the nine months ended September 30, 2007 and 2006, Midway made payments to MTVN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 million and $3.1 million, respectively. The Company believes that these transactions were no more or less favorable to the subsidiaries than they would have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obtained from unrelated parties. The Company may continue to enter into these and other business transactions with Midway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NAI’s participation in the Company’s stock repurchase program, see Note 7 and the 2006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Viacom and CBS Corporation Related Party Transactions</w:t>
      </w:r>
    </w:p>
    <w:p>
      <w:pPr>
        <w:spacing w:after="0" w:line="15"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The Company, in the normal course of business, is involved in transactions with companies owned by or affiliated with CBS Corporation that results in the recognition of revenue and expense by Viacom. Transactions with CBS Corporation, through the normal course of business, are settled in cash.</w:t>
      </w:r>
    </w:p>
    <w:p>
      <w:pPr>
        <w:spacing w:after="0" w:line="9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Paramount recognizes revenues in connection with the licensing of motion picture products to CBS Corporation and distributes certain television products into the home entertainment market for a fee on behalf of CBS Corporation’s television production group. Paramount also recognizes revenue related to the lease of studio space to CBS Corporation. Additionally, the Media Networks segment recognizes advertising revenues for media spending placed by various subsidiaries of CBS Corporation.</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Media Networks segment purchases television programming from CBS Corporation and its subsidiaries. The cost of such purchases is initially recorded as acquired program rights inventory and amortized over the estimated period that revenues will be generated. Both of the Company’s segments also place advertisements with various subsidiaries of CBS Corporation.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transactions with CBS Corporation as included in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2"/>
              </w:rPr>
              <w:t>Quarter Ended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Related Party Transactions</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6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Earnings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420"/>
              <w:spacing w:after="0" w:line="149" w:lineRule="exact"/>
              <w:rPr>
                <w:sz w:val="20"/>
                <w:szCs w:val="20"/>
                <w:color w:val="auto"/>
              </w:rPr>
            </w:pPr>
            <w:r>
              <w:rPr>
                <w:rFonts w:ascii="Arial" w:cs="Arial" w:eastAsia="Arial" w:hAnsi="Arial"/>
                <w:sz w:val="14"/>
                <w:szCs w:val="14"/>
                <w:color w:val="auto"/>
              </w:rPr>
              <w:t>Revenues</w:t>
            </w:r>
          </w:p>
        </w:tc>
        <w:tc>
          <w:tcPr>
            <w:tcW w:w="18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56.6</w:t>
            </w:r>
          </w:p>
        </w:tc>
        <w:tc>
          <w:tcPr>
            <w:tcW w:w="60" w:type="dxa"/>
            <w:vAlign w:val="bottom"/>
          </w:tcPr>
          <w:p>
            <w:pPr>
              <w:spacing w:after="0"/>
              <w:rPr>
                <w:sz w:val="12"/>
                <w:szCs w:val="12"/>
                <w:color w:val="auto"/>
              </w:rPr>
            </w:pPr>
          </w:p>
        </w:tc>
        <w:tc>
          <w:tcPr>
            <w:tcW w:w="11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56.3</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420"/>
              <w:spacing w:after="0" w:line="149" w:lineRule="exact"/>
              <w:rPr>
                <w:sz w:val="20"/>
                <w:szCs w:val="20"/>
                <w:color w:val="auto"/>
              </w:rPr>
            </w:pPr>
            <w:r>
              <w:rPr>
                <w:rFonts w:ascii="Arial" w:cs="Arial" w:eastAsia="Arial" w:hAnsi="Arial"/>
                <w:sz w:val="14"/>
                <w:szCs w:val="14"/>
                <w:color w:val="auto"/>
              </w:rPr>
              <w:t>Discontinued operations, net of tax</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3"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2"/>
              <w:spacing w:after="0" w:line="143"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Earnings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420"/>
              <w:spacing w:after="0" w:line="149" w:lineRule="exact"/>
              <w:rPr>
                <w:sz w:val="20"/>
                <w:szCs w:val="20"/>
                <w:color w:val="auto"/>
              </w:rPr>
            </w:pPr>
            <w:r>
              <w:rPr>
                <w:rFonts w:ascii="Arial" w:cs="Arial" w:eastAsia="Arial" w:hAnsi="Arial"/>
                <w:sz w:val="14"/>
                <w:szCs w:val="14"/>
                <w:color w:val="auto"/>
              </w:rPr>
              <w:t>Revenues</w:t>
            </w:r>
          </w:p>
        </w:tc>
        <w:tc>
          <w:tcPr>
            <w:tcW w:w="18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163.9</w:t>
            </w:r>
          </w:p>
        </w:tc>
        <w:tc>
          <w:tcPr>
            <w:tcW w:w="60" w:type="dxa"/>
            <w:vAlign w:val="bottom"/>
          </w:tcPr>
          <w:p>
            <w:pPr>
              <w:spacing w:after="0"/>
              <w:rPr>
                <w:sz w:val="12"/>
                <w:szCs w:val="12"/>
                <w:color w:val="auto"/>
              </w:rPr>
            </w:pPr>
          </w:p>
        </w:tc>
        <w:tc>
          <w:tcPr>
            <w:tcW w:w="11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189.5</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420"/>
              <w:spacing w:after="0" w:line="149" w:lineRule="exact"/>
              <w:rPr>
                <w:sz w:val="20"/>
                <w:szCs w:val="20"/>
                <w:color w:val="auto"/>
              </w:rPr>
            </w:pPr>
            <w:r>
              <w:rPr>
                <w:rFonts w:ascii="Arial" w:cs="Arial" w:eastAsia="Arial" w:hAnsi="Arial"/>
                <w:sz w:val="14"/>
                <w:szCs w:val="14"/>
                <w:color w:val="auto"/>
              </w:rPr>
              <w:t>Discontinued operations, net of tax</w:t>
            </w: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Pr>
          <w:p>
            <w:pPr>
              <w:spacing w:after="0"/>
              <w:rPr>
                <w:sz w:val="24"/>
                <w:szCs w:val="2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77.5</w:t>
            </w:r>
          </w:p>
        </w:tc>
        <w:tc>
          <w:tcPr>
            <w:tcW w:w="60" w:type="dxa"/>
            <w:vAlign w:val="bottom"/>
          </w:tcPr>
          <w:p>
            <w:pPr>
              <w:spacing w:after="0"/>
              <w:rPr>
                <w:sz w:val="12"/>
                <w:szCs w:val="12"/>
                <w:color w:val="auto"/>
              </w:rPr>
            </w:pPr>
          </w:p>
        </w:tc>
        <w:tc>
          <w:tcPr>
            <w:tcW w:w="11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38.0</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860"/>
              <w:spacing w:after="0"/>
              <w:rPr>
                <w:sz w:val="20"/>
                <w:szCs w:val="20"/>
                <w:color w:val="auto"/>
              </w:rPr>
            </w:pPr>
            <w:r>
              <w:rPr>
                <w:rFonts w:ascii="Arial" w:cs="Arial" w:eastAsia="Arial" w:hAnsi="Arial"/>
                <w:sz w:val="14"/>
                <w:szCs w:val="14"/>
                <w:color w:val="auto"/>
              </w:rPr>
              <w:t>Total due from CBS Corporation</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115.5</w:t>
            </w:r>
          </w:p>
        </w:tc>
        <w:tc>
          <w:tcPr>
            <w:tcW w:w="110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42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164.3</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Programming rights, current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113.1</w:t>
            </w: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198.7</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Liabilities held for sale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860"/>
              <w:spacing w:after="0"/>
              <w:rPr>
                <w:sz w:val="20"/>
                <w:szCs w:val="20"/>
                <w:color w:val="auto"/>
              </w:rPr>
            </w:pPr>
            <w:r>
              <w:rPr>
                <w:rFonts w:ascii="Arial" w:cs="Arial" w:eastAsia="Arial" w:hAnsi="Arial"/>
                <w:sz w:val="14"/>
                <w:szCs w:val="14"/>
                <w:color w:val="auto"/>
              </w:rPr>
              <w:t>Total due to CBS Corporation</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480.9</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Dividend</w:t>
      </w:r>
    </w:p>
    <w:p>
      <w:pPr>
        <w:spacing w:after="0" w:line="15"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In connection with the separation from CBS Corporation in 2005, the Company paid a preliminary special dividend in December 2005 that was subject to adjustment. In May 2006, the Company made an additional payment of $170.2 million. In January 2007, the Company finalized a settlement with CBS Corporation and paid $170.0 million. The settlement amount was accrued in the Company’s consolidated balance sheet as of December 31, 2006 with a corresponding reduction of additional paid-in capital.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 Transactions</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Following the separation, some participants in the Viacom 401(k) Plan continued to be invested in CBS Corporation Class A and Class B common stock. On June 29, 2007, the Company and CBS Corporation entered into an agreement for CBS Corporation to purchase the shares of CBS Corporation Class A and Class B common stock from the Viacom 401(k) Plan, and in July, those shares were sold to CBS Corporation for total proceeds of $29.8 million.</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Similarly, some participants in the 401(k) plans sponsored by CBS Corporation continued to be invested in Viacom Class A and Class B common stock following the separation. On June 29, 2007, the Company and CBS Corporation entered into an agreement for the Company to purchase the shares of Viacom Class A and Class B common stock from the CBS-sponsored 401(k) plans, and in July, those shares were purchased for an aggregate amount of $120.0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in the normal course of business, is involved in other related party transactions with NAI, Midway and CBS Corporation, as well as other related parties that are not material in any of the periods presented.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BASED COMPENSATION</w:t>
      </w:r>
    </w:p>
    <w:p>
      <w:pPr>
        <w:spacing w:after="0" w:line="1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Company’s 2006 Long-Term Management Incentive Plan (the “LTMIP”) provides for various types of equity awards, including stock options, stock appreciation rights, restricted shares, restricted share units (“RSUs”), unrestricted shares of Class B Common Stock, phantom shares, dividend equivalents, performance awards (including performance share units (“PSUs”)) and other awards, or a combination of any of the above. In addition, the Company’s director plans provide for automatic grants of stock options and RSUs to outside directors each year.</w:t>
      </w:r>
    </w:p>
    <w:p>
      <w:pPr>
        <w:spacing w:after="0" w:line="113"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Historically, the Company has granted stock options and RSUs to employees. Stock options generally vest ratably over a four-year period from the date of grant and expire eight to ten years after the date of grant. RSUs typically vest ratably over a four-year period from the date of the grant. In 2007, the Company began granting performance share units (“PSUs”) to its most senior executives with the target number of PSUs granted to each executive representing the right to receive one share of Class B common stock, subject to adjustment, depending on the total shareholder return (“TSR”) of the Company’s Class B common stock measured against the TSR of the common stock of the companies comprising the S&amp;P 500 Index at the start of the measurement period. If Viacom’s percentile rank of TSR relative to the TSR for the companies in the S&amp;P 500 Index is less than the 25th percentile, the target grant is forfeited unless the Company has achieved a specified level of earnings per share set for the measurement period, in which case the executive would receive a percentage of the target award.</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quarter ended September 30, 2007, no equity awards were granted. For the nine months ended September 30, 2007, the Company granted 4,280,140 stock options, 1,083,932 RSUs and 638,557 PSUs, principally in connection with its annual grant.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 Recognized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the compensation cost recognized in the accompanying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135890</wp:posOffset>
            </wp:positionV>
            <wp:extent cx="66636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Quarter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Stock Based Compensation Expense</w:t>
            </w:r>
          </w:p>
        </w:tc>
        <w:tc>
          <w:tcPr>
            <w:tcW w:w="100" w:type="dxa"/>
            <w:vAlign w:val="bottom"/>
          </w:tcPr>
          <w:p>
            <w:pPr>
              <w:spacing w:after="0"/>
              <w:rPr>
                <w:sz w:val="14"/>
                <w:szCs w:val="14"/>
                <w:color w:val="auto"/>
              </w:rPr>
            </w:pPr>
          </w:p>
        </w:tc>
        <w:tc>
          <w:tcPr>
            <w:tcW w:w="1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1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2007</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Recognized in earnings:</w:t>
            </w: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Stock options</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10.4</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24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35.3</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center"/>
              <w:ind w:left="132"/>
              <w:spacing w:after="0" w:line="149" w:lineRule="exact"/>
              <w:rPr>
                <w:sz w:val="20"/>
                <w:szCs w:val="20"/>
                <w:color w:val="auto"/>
              </w:rPr>
            </w:pPr>
            <w:r>
              <w:rPr>
                <w:rFonts w:ascii="Arial" w:cs="Arial" w:eastAsia="Arial" w:hAnsi="Arial"/>
                <w:sz w:val="14"/>
                <w:szCs w:val="14"/>
                <w:color w:val="auto"/>
                <w:w w:val="87"/>
              </w:rPr>
              <w:t>34.3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share units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7"/>
              </w:rPr>
              <w:t>17.6</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Performance share units</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5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ind w:left="112"/>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compensation cost in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5"/>
              </w:rPr>
              <w:t>22.0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63.6</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7"/>
              </w:rPr>
              <w:t>51.9</w:t>
            </w:r>
          </w:p>
        </w:tc>
        <w:tc>
          <w:tcPr>
            <w:tcW w:w="20" w:type="dxa"/>
            <w:vAlign w:val="bottom"/>
          </w:tcPr>
          <w:p>
            <w:pPr>
              <w:spacing w:after="0"/>
              <w:rPr>
                <w:sz w:val="12"/>
                <w:szCs w:val="12"/>
                <w:color w:val="auto"/>
              </w:rPr>
            </w:pPr>
          </w:p>
        </w:tc>
      </w:tr>
      <w:tr>
        <w:trPr>
          <w:trHeight w:val="20"/>
        </w:trPr>
        <w:tc>
          <w:tcPr>
            <w:tcW w:w="71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7140" w:type="dxa"/>
            <w:vAlign w:val="bottom"/>
            <w:gridSpan w:val="2"/>
          </w:tcPr>
          <w:p>
            <w:pPr>
              <w:spacing w:after="0"/>
              <w:rPr>
                <w:sz w:val="20"/>
                <w:szCs w:val="20"/>
                <w:color w:val="auto"/>
              </w:rPr>
            </w:pPr>
            <w:r>
              <w:rPr>
                <w:rFonts w:ascii="Arial" w:cs="Arial" w:eastAsia="Arial" w:hAnsi="Arial"/>
                <w:sz w:val="14"/>
                <w:szCs w:val="14"/>
                <w:color w:val="auto"/>
              </w:rPr>
              <w:t>Tax benefit recognized</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11.2</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23.4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center"/>
              <w:ind w:left="112"/>
              <w:spacing w:after="0"/>
              <w:rPr>
                <w:sz w:val="20"/>
                <w:szCs w:val="20"/>
                <w:color w:val="auto"/>
              </w:rPr>
            </w:pPr>
            <w:r>
              <w:rPr>
                <w:rFonts w:ascii="Arial" w:cs="Arial" w:eastAsia="Arial" w:hAnsi="Arial"/>
                <w:sz w:val="14"/>
                <w:szCs w:val="14"/>
                <w:color w:val="auto"/>
                <w:w w:val="87"/>
              </w:rPr>
              <w:t>19.3</w:t>
            </w: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Included in the amounts above for the quarter and nine months ended September 30, 2006 is $7.4 million of stock option expense and $2.4 million of restricted share unit expense related to the resignation of the former President and Chief Executive Officer of the Company. Capitalized stock based compensation expense for the quarter and nine months ended September 30, 2007 was $3.0 million and $7.9 million, respectively.</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Total unrecognized compensation cost related to unvested stock option awards at September 30, 2007 is approximately $105.4 million and is expected to be recognized on a straight-line basis over a weighted-average period of 1.8 years. Total unrecognized compensation cost related to RSUs at September 30, 2007 is approximately $85.9 million and is expected to be recognized over a weighted-average period of 1.9 years. Total unrecognized compensation cost related to PSUs at September 30, 2007 is approximately $32.9 million and is expected to be recognized on a straight-line basis over a period of 2.3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Based Payments</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September 2006, the Company entered into an amended employment agreement with the Executive Chairman of the Board of Directors and Founder. Among other provisions, a balance of $9.4 million in previously deferred compensation was converted to stock option equivalents. For the quarter and nine months ended September 30, 2007, compensation cost relating to the stock option equivalents of $0.1 million and $1.4 million, respectively, was included in the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PENSION</w:t>
      </w:r>
    </w:p>
    <w:p>
      <w:pPr>
        <w:spacing w:after="0" w:line="17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 has both funded and unfunded noncontributory defined benefit pension plans covering the majority of domestic employees and retirees, and to a lesser extent international employees and retirees. Net periodic benefit cost for the Company under Viacom’s pension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85090</wp:posOffset>
            </wp:positionV>
            <wp:extent cx="66636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Net Periodic Benefit Costs</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2"/>
                <w:szCs w:val="12"/>
                <w:color w:val="auto"/>
              </w:rPr>
            </w:pP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2007</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7.8</w:t>
            </w:r>
          </w:p>
        </w:tc>
        <w:tc>
          <w:tcPr>
            <w:tcW w:w="4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25.7</w:t>
            </w: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22.6</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(5.3)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(15.7)</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Amounts amortized</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periodic benefit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11.7</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11.0</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34.9</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Contributions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40.5</w:t>
            </w:r>
          </w:p>
        </w:tc>
        <w:tc>
          <w:tcPr>
            <w:tcW w:w="68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80"/>
              <w:spacing w:after="0" w:line="143" w:lineRule="exact"/>
              <w:rPr>
                <w:sz w:val="20"/>
                <w:szCs w:val="20"/>
                <w:color w:val="auto"/>
              </w:rPr>
            </w:pPr>
            <w:r>
              <w:rPr>
                <w:rFonts w:ascii="Arial" w:cs="Arial" w:eastAsia="Arial" w:hAnsi="Arial"/>
                <w:sz w:val="14"/>
                <w:szCs w:val="14"/>
                <w:color w:val="auto"/>
              </w:rPr>
              <w:t>40.5</w:t>
            </w:r>
          </w:p>
        </w:tc>
        <w:tc>
          <w:tcPr>
            <w:tcW w:w="420" w:type="dxa"/>
            <w:vAlign w:val="bottom"/>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41.4</w:t>
            </w:r>
          </w:p>
        </w:tc>
        <w:tc>
          <w:tcPr>
            <w:tcW w:w="70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Contributions for the quarter and nine months ended September 30, 2007 and 2006 each include $40 million of contributions to its funded plans. All remaining contributions in each period relate to payments on unfunded plans to the extent benefits were paid, which generally occurs ratably over the year. After considering the funded status of the Company’s defined benefits plans, minimum required contributions, movements in discount rate, investment performance and related tax consequences, the Company may choose to make contributions to its funded plans from time to time. There are currently no minimum required contributions for funded plans.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December 31, 2006, the Company had accrued $108.6 million of restructuring charges principally related to events occurring during 2006, including the resignation of certain senior executives and severance charges incurred in the Media Networks segment as a result of the restructuring of certain international operations.</w:t>
      </w:r>
    </w:p>
    <w:p>
      <w:pPr>
        <w:spacing w:after="0" w:line="140"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In the first quarter of 2007, MTV Networks commenced restructuring actions affecting its domestic and international operations. Restructuring charges, principally severance, of $3.0 million and $70.1 million were incurred in the three and nine month periods ended September 30, 2007,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activity included in operating expenses for the nine months ended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20" w:type="dxa"/>
            <w:vAlign w:val="bottom"/>
            <w:gridSpan w:val="2"/>
          </w:tcPr>
          <w:p>
            <w:pPr>
              <w:spacing w:after="0"/>
              <w:rPr>
                <w:sz w:val="20"/>
                <w:szCs w:val="20"/>
                <w:color w:val="auto"/>
              </w:rPr>
            </w:pPr>
            <w:r>
              <w:rPr>
                <w:rFonts w:ascii="Arial" w:cs="Arial" w:eastAsia="Arial" w:hAnsi="Arial"/>
                <w:sz w:val="14"/>
                <w:szCs w:val="14"/>
                <w:b w:val="1"/>
                <w:bCs w:val="1"/>
                <w:color w:val="auto"/>
              </w:rPr>
              <w:t>Restructuring</w:t>
            </w:r>
          </w:p>
        </w:tc>
        <w:tc>
          <w:tcPr>
            <w:tcW w:w="4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00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2006</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108.6</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Additions for 2007 restructuring and severance</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Other payments</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Revision to initial estimates</w:t>
            </w: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September 30, 2007</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REPORTABLE SEGMENTS</w:t>
      </w:r>
    </w:p>
    <w:p>
      <w:pPr>
        <w:spacing w:after="0" w:line="17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following tables set forth the Company’s financial performance by reportable segment. The Company’s reportable segments have been determined in accordance with the Company’s internal management structure. The Company operates two segments: (i) Media Networks and (ii) Filmed Entertainment. Typical intersegment transactions include the purchase of advertising by the Filmed Entertainment segment on Media Networks segment properties and the purchase of the Filmed Entertainment segment’s feature films exhibition rights by the Media Networks segment. The elimination of such intercompany transactions in the consolidated results of operations is included within eliminations in the table below. Operating income is used as the measure of segment profit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66636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5"/>
                <w:szCs w:val="15"/>
                <w:color w:val="auto"/>
              </w:rPr>
            </w:pPr>
          </w:p>
        </w:tc>
        <w:tc>
          <w:tcPr>
            <w:tcW w:w="16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4"/>
              </w:rPr>
              <w:t>$1,999.3</w:t>
            </w: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$1,837.9</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$5,654.2</w:t>
            </w:r>
          </w:p>
        </w:tc>
        <w:tc>
          <w:tcPr>
            <w:tcW w:w="4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4"/>
              </w:rPr>
              <w:t>$5,160.7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1,304.7</w:t>
            </w:r>
          </w:p>
        </w:tc>
        <w:tc>
          <w:tcPr>
            <w:tcW w:w="260" w:type="dxa"/>
            <w:vAlign w:val="bottom"/>
          </w:tcPr>
          <w:p>
            <w:pPr>
              <w:spacing w:after="0"/>
              <w:rPr>
                <w:sz w:val="12"/>
                <w:szCs w:val="12"/>
                <w:color w:val="auto"/>
              </w:rPr>
            </w:pP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829.9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3,639.6</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2,725.5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(33.4)</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w:t>
            </w:r>
          </w:p>
        </w:tc>
        <w:tc>
          <w:tcPr>
            <w:tcW w:w="116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(119.0)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4"/>
                <w:szCs w:val="14"/>
                <w:color w:val="auto"/>
              </w:rPr>
              <w:t>Total revenues</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3,270.6</w:t>
            </w:r>
          </w:p>
        </w:tc>
        <w:tc>
          <w:tcPr>
            <w:tcW w:w="260" w:type="dxa"/>
            <w:vAlign w:val="bottom"/>
          </w:tcPr>
          <w:p>
            <w:pPr>
              <w:spacing w:after="0"/>
              <w:rPr>
                <w:sz w:val="13"/>
                <w:szCs w:val="13"/>
                <w:color w:val="auto"/>
              </w:rPr>
            </w:pPr>
          </w:p>
        </w:tc>
        <w:tc>
          <w:tcPr>
            <w:tcW w:w="940" w:type="dxa"/>
            <w:vAlign w:val="bottom"/>
            <w:gridSpan w:val="3"/>
          </w:tcPr>
          <w:p>
            <w:pPr>
              <w:jc w:val="right"/>
              <w:ind w:right="26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2,633.2</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9,174.8</w:t>
            </w:r>
          </w:p>
        </w:tc>
        <w:tc>
          <w:tcPr>
            <w:tcW w:w="48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7,794.8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101600</wp:posOffset>
            </wp:positionV>
            <wp:extent cx="66636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6"/>
          </w:tcPr>
          <w:p>
            <w:pPr>
              <w:ind w:left="220"/>
              <w:spacing w:after="0"/>
              <w:rPr>
                <w:sz w:val="20"/>
                <w:szCs w:val="20"/>
                <w:color w:val="auto"/>
              </w:rPr>
            </w:pPr>
            <w:r>
              <w:rPr>
                <w:rFonts w:ascii="Arial" w:cs="Arial" w:eastAsia="Arial" w:hAnsi="Arial"/>
                <w:sz w:val="14"/>
                <w:szCs w:val="14"/>
                <w:b w:val="1"/>
                <w:bCs w:val="1"/>
                <w:color w:val="auto"/>
              </w:rPr>
              <w:t>Quarter Ended</w:t>
            </w:r>
          </w:p>
        </w:tc>
        <w:tc>
          <w:tcPr>
            <w:tcW w:w="15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380" w:type="dxa"/>
            <w:vAlign w:val="bottom"/>
          </w:tcPr>
          <w:p>
            <w:pPr>
              <w:spacing w:after="0"/>
              <w:rPr>
                <w:sz w:val="14"/>
                <w:szCs w:val="14"/>
                <w:color w:val="auto"/>
              </w:rPr>
            </w:pPr>
          </w:p>
        </w:tc>
        <w:tc>
          <w:tcPr>
            <w:tcW w:w="178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$ 796.8</w:t>
            </w: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$ 777.7</w:t>
            </w: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$2,132.4</w:t>
            </w: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$2,109.1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3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(14.4)</w:t>
            </w:r>
          </w:p>
        </w:tc>
        <w:tc>
          <w:tcPr>
            <w:tcW w:w="16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segment operating income</w:t>
            </w: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868.5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2,118.0</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Corporate expenses</w:t>
            </w:r>
          </w:p>
        </w:tc>
        <w:tc>
          <w:tcPr>
            <w:tcW w:w="12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(52.7)</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(113.8)</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(161.3)</w:t>
            </w:r>
          </w:p>
        </w:tc>
        <w:tc>
          <w:tcPr>
            <w:tcW w:w="16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(0.7)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420"/>
              <w:spacing w:after="0"/>
              <w:rPr>
                <w:sz w:val="20"/>
                <w:szCs w:val="20"/>
                <w:color w:val="auto"/>
              </w:rPr>
            </w:pPr>
            <w:r>
              <w:rPr>
                <w:rFonts w:ascii="Arial" w:cs="Arial" w:eastAsia="Arial" w:hAnsi="Arial"/>
                <w:sz w:val="14"/>
                <w:szCs w:val="14"/>
                <w:color w:val="auto"/>
              </w:rPr>
              <w:t>Total operating income</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5"/>
              </w:rPr>
              <w:t>$ 815.1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85"/>
              </w:rPr>
              <w:t>$ 654.4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4"/>
              </w:rPr>
              <w:t>$1,958.0</w:t>
            </w:r>
          </w:p>
        </w:tc>
        <w:tc>
          <w:tcPr>
            <w:tcW w:w="160" w:type="dxa"/>
            <w:vAlign w:val="bottom"/>
          </w:tcPr>
          <w:p>
            <w:pPr>
              <w:spacing w:after="0"/>
              <w:rPr>
                <w:sz w:val="13"/>
                <w:szCs w:val="13"/>
                <w:color w:val="auto"/>
              </w:rPr>
            </w:pPr>
          </w:p>
        </w:tc>
        <w:tc>
          <w:tcPr>
            <w:tcW w:w="64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$1,939.3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2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(114.8)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(118.5)</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(339.8)</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Gain on sale of equity investment</w:t>
            </w:r>
          </w:p>
        </w:tc>
        <w:tc>
          <w:tcPr>
            <w:tcW w:w="380" w:type="dxa"/>
            <w:vAlign w:val="bottom"/>
          </w:tcPr>
          <w:p>
            <w:pPr>
              <w:spacing w:after="0"/>
              <w:rPr>
                <w:sz w:val="12"/>
                <w:szCs w:val="12"/>
                <w:color w:val="auto"/>
              </w:rPr>
            </w:pPr>
          </w:p>
        </w:tc>
        <w:tc>
          <w:tcPr>
            <w:tcW w:w="9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(7.3)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(52.5)</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420"/>
              <w:spacing w:after="0"/>
              <w:rPr>
                <w:sz w:val="20"/>
                <w:szCs w:val="20"/>
                <w:color w:val="auto"/>
              </w:rPr>
            </w:pPr>
            <w:r>
              <w:rPr>
                <w:rFonts w:ascii="Arial" w:cs="Arial" w:eastAsia="Arial" w:hAnsi="Arial"/>
                <w:sz w:val="14"/>
                <w:szCs w:val="14"/>
                <w:color w:val="auto"/>
                <w:w w:val="93"/>
              </w:rPr>
              <w:t>Earnings from continuing operations before provision for income taxes, equity in earnings (losses) and minority</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380" w:type="dxa"/>
            <w:vAlign w:val="bottom"/>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$ 693.0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1,716.7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tcPr>
          <w:p>
            <w:pPr>
              <w:ind w:left="640"/>
              <w:spacing w:after="0" w:line="159" w:lineRule="exact"/>
              <w:rPr>
                <w:sz w:val="20"/>
                <w:szCs w:val="20"/>
                <w:color w:val="auto"/>
              </w:rPr>
            </w:pPr>
            <w:r>
              <w:rPr>
                <w:rFonts w:ascii="Arial" w:cs="Arial" w:eastAsia="Arial" w:hAnsi="Arial"/>
                <w:sz w:val="14"/>
                <w:szCs w:val="14"/>
                <w:color w:val="auto"/>
              </w:rPr>
              <w:t>interest</w:t>
            </w:r>
          </w:p>
        </w:tc>
        <w:tc>
          <w:tcPr>
            <w:tcW w:w="3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85"/>
              </w:rPr>
              <w:t>$ 529.3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60"/>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1,617.7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9"/>
        </w:trPr>
        <w:tc>
          <w:tcPr>
            <w:tcW w:w="6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8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Media Networks</w:t>
            </w:r>
          </w:p>
        </w:tc>
        <w:tc>
          <w:tcPr>
            <w:tcW w:w="1280" w:type="dxa"/>
            <w:vAlign w:val="bottom"/>
            <w:tcBorders>
              <w:top w:val="single" w:sz="8" w:color="auto"/>
            </w:tcBorders>
            <w:gridSpan w:val="4"/>
            <w:shd w:val="clear" w:color="auto" w:fill="CCEEFF"/>
          </w:tcPr>
          <w:p>
            <w:pPr>
              <w:ind w:left="1200"/>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15,195.7</w:t>
            </w: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gridSpan w:val="3"/>
            <w:shd w:val="clear" w:color="auto" w:fill="CCEEFF"/>
          </w:tcPr>
          <w:p>
            <w:pPr>
              <w:jc w:val="center"/>
              <w:ind w:left="532"/>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14,948.4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420"/>
              <w:spacing w:after="0" w:line="149" w:lineRule="exact"/>
              <w:rPr>
                <w:sz w:val="20"/>
                <w:szCs w:val="20"/>
                <w:color w:val="auto"/>
              </w:rPr>
            </w:pPr>
            <w:r>
              <w:rPr>
                <w:rFonts w:ascii="Arial" w:cs="Arial" w:eastAsia="Arial" w:hAnsi="Arial"/>
                <w:sz w:val="14"/>
                <w:szCs w:val="14"/>
                <w:color w:val="auto"/>
              </w:rPr>
              <w:t>Filmed Entertainment</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5,495.9</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5,981.2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w:t>
            </w: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678.2</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860"/>
              <w:spacing w:after="0" w:line="155" w:lineRule="exact"/>
              <w:rPr>
                <w:sz w:val="20"/>
                <w:szCs w:val="20"/>
                <w:color w:val="auto"/>
              </w:rPr>
            </w:pPr>
            <w:r>
              <w:rPr>
                <w:rFonts w:ascii="Arial" w:cs="Arial" w:eastAsia="Arial" w:hAnsi="Arial"/>
                <w:sz w:val="14"/>
                <w:szCs w:val="14"/>
                <w:color w:val="auto"/>
              </w:rPr>
              <w:t>Total assets</w:t>
            </w:r>
          </w:p>
        </w:tc>
        <w:tc>
          <w:tcPr>
            <w:tcW w:w="1280" w:type="dxa"/>
            <w:vAlign w:val="bottom"/>
            <w:gridSpan w:val="4"/>
          </w:tcPr>
          <w:p>
            <w:pPr>
              <w:ind w:left="1200"/>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21,369.8</w:t>
            </w:r>
          </w:p>
        </w:tc>
        <w:tc>
          <w:tcPr>
            <w:tcW w:w="120" w:type="dxa"/>
            <w:vAlign w:val="bottom"/>
          </w:tcPr>
          <w:p>
            <w:pPr>
              <w:spacing w:after="0"/>
              <w:rPr>
                <w:sz w:val="13"/>
                <w:szCs w:val="13"/>
                <w:color w:val="auto"/>
              </w:rPr>
            </w:pPr>
          </w:p>
        </w:tc>
        <w:tc>
          <w:tcPr>
            <w:tcW w:w="840" w:type="dxa"/>
            <w:vAlign w:val="bottom"/>
            <w:gridSpan w:val="3"/>
          </w:tcPr>
          <w:p>
            <w:pPr>
              <w:jc w:val="center"/>
              <w:ind w:left="532"/>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21,796.7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and purchase obligations for goods and services. These arrangements result from the Company’s normal course of business and represent obligations that are payable over several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 the course of its business, the Company both provides and receives the benefit of indemnities that are intended to allocate certain risks associated with business transactions. Similarly, the Company may remain contingently liable to third parties for various obligations of a business that has been divested.</w:t>
      </w:r>
    </w:p>
    <w:p>
      <w:pPr>
        <w:spacing w:after="0" w:line="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terms of the DW Funding LLC (“DW Funding”) sale agreement in 2006, Viacom is subject to a put option obligation at the then current fair value of DW Funding, commencing nine months prior to the fifth anniversary of the sale. Viacom also has a corresponding call option exercisable at fair value. To the extent the current fair value at the option closing date is insufficient to repay certain indebtedness, including any unpaid interest, of DW Funding guaranteed by the Company, the Company would be required to pay the difference. As of September 30, 2007, the maximum aggregate principal amount that would be payable under such provisions of the agreement is $102.8 million. At September 30, 2007, the Company’s unaudited balance sheet includes a liability of $52.7 million in respect of the guarantee.</w:t>
      </w:r>
    </w:p>
    <w:p>
      <w:pPr>
        <w:spacing w:after="0" w:line="14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separation from CBS Corporation, the Company agreed to indemnify CBS Corporation with respect to its obligations as guarantor on certain Blockbuster store leases. Blockbuster’s aggregate obligations under these store leases were $241.5 million at September 30, 2007. Certain leases contain renewal options that can extend the primary lease term and remain covered by the guarantees. At September 30, 2007,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Company’s unaudited balance sheet includes a liability of $53.1 million in respect of the guarantee. Blockbuster has agreed to indemnify Viacom with respect to any amount paid under these guarantees and its indemnification obligations are secured by a $150 million letter of credit.</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2005, Former Viacom sold Famous Players, an operator of movie theaters in Canada, and liabilities may be incurred associated with the Famous Players theater leases. Famous Players’ aggregate obligations under these theater leases were $1.05 billion at September 30, 2007. The Company agreed to indemnify CBS Corporation with respect to any liability under these theater leases. At September 30, 2007, the Company’s unaudited balance sheet includes a liability of $198.6 million in respect of the guarantee.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In March 2007, Viacom filed a complaint in the Federal Court for the Southern District of New York against Google Inc. (“Google”) and its wholly owned subsidiary YouTube, alleging that Google and YouTube violate the Company’s copyrights. Viacom is seeking both damages and injunctive relief.</w:t>
      </w:r>
    </w:p>
    <w:p>
      <w:pPr>
        <w:spacing w:after="0" w:line="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Former Viacom, NAI, Blockbuster and Viacom, and certain of their respective present and former officers and directors, are currently defendants in two putative class action lawsuits relating to the 2004 split-off of Blockbuster from Former Viacom pursuant to an exchange offer. The lawsuits are an ERISA action in the United States District Court for the Northern District of Texas and a state law action in the Court of Chancery of Delaware. A consolidated securities action in the United States District Court for the Northern District of Texas arising from the same facts alleged that the defendants made untrue statements of material facts and concealed and failed to disclose material facts in the Prospectus-Offer to Exchange and elsewhere during the alleged class period was dismissed in September 2007, and the plaintiffs did not appeal. The plaintiff in the ERISA action alleges that the defendants in that case breached fiduciary obligations to the Blockbuster Investment Plan by continuing to offer to plan participants Blockbuster stock from and after November 2003 and by offering to Plan participants the opportunity to exchange their shares of Former Viacom common stock for the shares of Blockbuster common stock. The plaintiff in the Delaware case alleges that the Former Viacom Board member defendants breached fiduciary duties to Former Viacom shareholders in connection with the split-off and that the Blockbuster Board member defendants breached fiduciary duties to Blockbuster shareholders by disproportionately favoring Former Viacom in the split-off transaction. On September 24, 2007, defendants’ motion to dismiss the ERISA action was granted in part and denied in part, without prejudice to defendants’ right to re-file a motion to dismiss after the plaintiff files an amended complaint. A motion to dismiss the Delaware case, or stay action in favor of the Texas case, is pending in the Court of Chancery of Delaware. Blockbuster has agreed to indemnify Former Viacom and its employees, officers and directors with respect to any liabilities arising out of any material untrue statements and omissions in those portions of the 2004 Prospectus-Offer to Exchange relating to the split-off that were provided by Blockbuster, and Viacom has agreed to indemnify CBS Corporation for any losses arising from these lawsuits. The Company believes that the plaintiffs’ positions in these litigations are without merit and intends to continue to vigorously defend itself.</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13, 2005, two identical shareholder derivative lawsuits were filed against Former Viacom relating to the compensation of Sumner Redstone, Tom Freston and Leslie Moonves, each of whom was an executive officer of Former Viacom. The plaintiffs claimed that the 2004 compensation of these officers was excessive and unwarranted and not entirely fair to Former Viacom and its shareholders and sought disgorgement of compensation paid to the named officers in 2004, unspecified damages from members of Former Viacom’s Board of Directors for alleged breach of fiduciary duty, and other relief. The parties have reached an agreement to settle the matter, and a notice of settlement has been mailed to shareholders. The sole cost to the Company of the settlement is expected to be plaintiffs’ attorneys’ fees, which will be set by the Court and are expected to be immaterial. This cost will be evenly shared with CBS Corporation.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SUPPLEMENTAL CASH FLOW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143510</wp:posOffset>
            </wp:positionV>
            <wp:extent cx="66636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60" w:type="dxa"/>
            <w:vAlign w:val="bottom"/>
          </w:tcPr>
          <w:p>
            <w:pPr>
              <w:spacing w:after="0"/>
              <w:rPr>
                <w:sz w:val="14"/>
                <w:szCs w:val="14"/>
                <w:color w:val="auto"/>
              </w:rPr>
            </w:pPr>
          </w:p>
        </w:tc>
        <w:tc>
          <w:tcPr>
            <w:tcW w:w="12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1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20" w:type="dxa"/>
            <w:vAlign w:val="bottom"/>
            <w:tcBorders>
              <w:top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2007</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paid for interest, net of amounts capitalized</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ind w:right="192"/>
              <w:spacing w:after="0" w:line="142" w:lineRule="exact"/>
              <w:rPr>
                <w:sz w:val="20"/>
                <w:szCs w:val="20"/>
                <w:color w:val="auto"/>
              </w:rPr>
            </w:pPr>
            <w:r>
              <w:rPr>
                <w:rFonts w:ascii="Arial" w:cs="Arial" w:eastAsia="Arial" w:hAnsi="Arial"/>
                <w:sz w:val="14"/>
                <w:szCs w:val="14"/>
                <w:b w:val="1"/>
                <w:bCs w:val="1"/>
                <w:color w:val="auto"/>
              </w:rPr>
              <w:t>41.7</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w:t>
            </w:r>
          </w:p>
        </w:tc>
        <w:tc>
          <w:tcPr>
            <w:tcW w:w="6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278.3</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209.4</w:t>
            </w:r>
          </w:p>
        </w:tc>
        <w:tc>
          <w:tcPr>
            <w:tcW w:w="20" w:type="dxa"/>
            <w:vAlign w:val="bottom"/>
          </w:tcPr>
          <w:p>
            <w:pPr>
              <w:spacing w:after="0"/>
              <w:rPr>
                <w:sz w:val="12"/>
                <w:szCs w:val="12"/>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paid for taxes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79"/>
              </w:rPr>
              <w:t>302.7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134.6</w:t>
            </w: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470.5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423.6</w:t>
            </w:r>
          </w:p>
        </w:tc>
        <w:tc>
          <w:tcPr>
            <w:tcW w:w="20" w:type="dxa"/>
            <w:vAlign w:val="bottom"/>
            <w:tcBorders>
              <w:bottom w:val="single" w:sz="8" w:color="auto"/>
            </w:tcBorders>
          </w:tcPr>
          <w:p>
            <w:pPr>
              <w:spacing w:after="0"/>
              <w:rPr>
                <w:sz w:val="14"/>
                <w:szCs w:val="14"/>
                <w:color w:val="auto"/>
              </w:rPr>
            </w:pPr>
          </w:p>
        </w:tc>
      </w:tr>
    </w:tbl>
    <w:p>
      <w:pPr>
        <w:spacing w:after="0" w:line="15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Cash paid for taxes for the quarter and nine months ended September 30, 2007 include $48.1 million related to cash taxes associated with the gain on sale of MTV Russia. Cash paid for taxes for the quarter and nine months ended September 30, 2006 do not include amounts related to a tax receipt of $159.4 million of cash from CBS Corporation representing the Company’s share of tax overpayments made by former Viacom during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149860</wp:posOffset>
            </wp:positionV>
            <wp:extent cx="66636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Receivable Securitization Arrangements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Receivable interests sold to investors at beginning of period</w:t>
            </w: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950.0</w:t>
            </w:r>
          </w:p>
        </w:tc>
        <w:tc>
          <w:tcPr>
            <w:tcW w:w="120" w:type="dxa"/>
            <w:vAlign w:val="bottom"/>
            <w:tcBorders>
              <w:top w:val="single" w:sz="8" w:color="auto"/>
              <w:lef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450.0</w:t>
            </w: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Proceeds from the sale of receivables to special purpose entities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5,288.5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9"/>
              </w:rPr>
              <w:t>3,714.6</w:t>
            </w:r>
          </w:p>
        </w:tc>
      </w:tr>
      <w:tr>
        <w:trPr>
          <w:trHeight w:val="149"/>
        </w:trPr>
        <w:tc>
          <w:tcPr>
            <w:tcW w:w="20" w:type="dxa"/>
            <w:vAlign w:val="bottom"/>
          </w:tcPr>
          <w:p>
            <w:pPr>
              <w:spacing w:after="0"/>
              <w:rPr>
                <w:sz w:val="12"/>
                <w:szCs w:val="12"/>
                <w:color w:val="auto"/>
              </w:rPr>
            </w:pPr>
          </w:p>
        </w:tc>
        <w:tc>
          <w:tcPr>
            <w:tcW w:w="6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Loss on sale to investors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(40.4)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Cash collections remitted to the special purpose entities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99"/>
              </w:rPr>
              <w:t>(5,248.1)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(3,697.0)</w:t>
            </w: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84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interests sold to investors at end of the period</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950.0</w:t>
            </w: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spacing w:after="0"/>
              <w:rPr>
                <w:sz w:val="17"/>
                <w:szCs w:val="17"/>
                <w:color w:val="auto"/>
              </w:rPr>
            </w:pPr>
          </w:p>
        </w:tc>
      </w:tr>
      <w:tr>
        <w:trPr>
          <w:trHeight w:val="37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r>
      <w:tr>
        <w:trPr>
          <w:trHeight w:val="161"/>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Interest Expense, net</w:t>
            </w:r>
          </w:p>
        </w:tc>
        <w:tc>
          <w:tcPr>
            <w:tcW w:w="1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980" w:type="dxa"/>
            <w:vAlign w:val="bottom"/>
            <w:tcBorders>
              <w:top w:val="single" w:sz="8" w:color="auto"/>
              <w:right w:val="single" w:sz="8" w:color="CCEEFF"/>
            </w:tcBorders>
            <w:gridSpan w:val="3"/>
            <w:shd w:val="clear" w:color="auto" w:fill="CCEEFF"/>
          </w:tcPr>
          <w:p>
            <w:pPr>
              <w:jc w:val="right"/>
              <w:ind w:right="500"/>
              <w:spacing w:after="0" w:line="142" w:lineRule="exact"/>
              <w:rPr>
                <w:sz w:val="20"/>
                <w:szCs w:val="20"/>
                <w:color w:val="auto"/>
              </w:rPr>
            </w:pPr>
            <w:r>
              <w:rPr>
                <w:rFonts w:ascii="Arial" w:cs="Arial" w:eastAsia="Arial" w:hAnsi="Arial"/>
                <w:sz w:val="14"/>
                <w:szCs w:val="14"/>
                <w:b w:val="1"/>
                <w:bCs w:val="1"/>
                <w:color w:val="auto"/>
                <w:w w:val="88"/>
              </w:rPr>
              <w:t>$(119.4)</w:t>
            </w:r>
          </w:p>
        </w:tc>
        <w:tc>
          <w:tcPr>
            <w:tcW w:w="860" w:type="dxa"/>
            <w:vAlign w:val="bottom"/>
            <w:tcBorders>
              <w:top w:val="single" w:sz="8" w:color="auto"/>
            </w:tcBorders>
            <w:gridSpan w:val="3"/>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w w:val="84"/>
              </w:rPr>
              <w:t>$(120.3)</w:t>
            </w:r>
          </w:p>
        </w:tc>
        <w:tc>
          <w:tcPr>
            <w:tcW w:w="18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gridSpan w:val="3"/>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(355.8)</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(343.4)</w:t>
            </w: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98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4.6</w:t>
            </w:r>
          </w:p>
        </w:tc>
        <w:tc>
          <w:tcPr>
            <w:tcW w:w="8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w:t>
            </w: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84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980" w:type="dxa"/>
            <w:vAlign w:val="bottom"/>
            <w:tcBorders>
              <w:right w:val="single" w:sz="8" w:color="CCEEFF"/>
            </w:tcBorders>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(114.8)</w:t>
            </w:r>
          </w:p>
        </w:tc>
        <w:tc>
          <w:tcPr>
            <w:tcW w:w="8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(118.5)</w:t>
            </w:r>
          </w:p>
        </w:tc>
        <w:tc>
          <w:tcPr>
            <w:tcW w:w="1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(339.8)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(317.2)</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5"/>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spacing w:after="0"/>
              <w:rPr>
                <w:sz w:val="17"/>
                <w:szCs w:val="17"/>
                <w:color w:val="auto"/>
              </w:rPr>
            </w:pPr>
          </w:p>
        </w:tc>
      </w:tr>
      <w:tr>
        <w:trPr>
          <w:trHeight w:val="37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Other Items, net</w:t>
            </w:r>
          </w:p>
        </w:tc>
        <w:tc>
          <w:tcPr>
            <w:tcW w:w="18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2006</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Loss on securitization programs</w:t>
            </w:r>
          </w:p>
        </w:tc>
        <w:tc>
          <w:tcPr>
            <w:tcW w:w="4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70"/>
              </w:rPr>
              <w:t>$ (14.8)</w:t>
            </w: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74"/>
              </w:rPr>
              <w:t>$ (6.6)</w:t>
            </w: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w w:val="92"/>
              </w:rPr>
              <w:t>(42.3)</w:t>
            </w: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(18.8)</w:t>
            </w: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Foreign exchange gain (loss)</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w:t>
            </w:r>
          </w:p>
        </w:tc>
      </w:tr>
      <w:tr>
        <w:trPr>
          <w:trHeight w:val="149"/>
        </w:trPr>
        <w:tc>
          <w:tcPr>
            <w:tcW w:w="20" w:type="dxa"/>
            <w:vAlign w:val="bottom"/>
          </w:tcPr>
          <w:p>
            <w:pPr>
              <w:spacing w:after="0"/>
              <w:rPr>
                <w:sz w:val="12"/>
                <w:szCs w:val="12"/>
                <w:color w:val="auto"/>
              </w:rPr>
            </w:pPr>
          </w:p>
        </w:tc>
        <w:tc>
          <w:tcPr>
            <w:tcW w:w="68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Impairment of a cost investment</w:t>
            </w:r>
          </w:p>
        </w:tc>
        <w:tc>
          <w:tcPr>
            <w:tcW w:w="980" w:type="dxa"/>
            <w:vAlign w:val="bottom"/>
            <w:tcBorders>
              <w:right w:val="single" w:sz="8" w:color="CCEEFF"/>
            </w:tcBorders>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92"/>
              </w:rPr>
              <w:t>(36.0)</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2.8</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r>
      <w:tr>
        <w:trPr>
          <w:trHeight w:val="27"/>
        </w:trPr>
        <w:tc>
          <w:tcPr>
            <w:tcW w:w="20" w:type="dxa"/>
            <w:vAlign w:val="bottom"/>
          </w:tcPr>
          <w:p>
            <w:pPr>
              <w:spacing w:after="0"/>
              <w:rPr>
                <w:sz w:val="2"/>
                <w:szCs w:val="2"/>
                <w:color w:val="auto"/>
              </w:rPr>
            </w:pPr>
          </w:p>
        </w:tc>
        <w:tc>
          <w:tcPr>
            <w:tcW w:w="68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84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items, net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76"/>
              </w:rPr>
              <w:t>$  (7.3)</w:t>
            </w:r>
          </w:p>
        </w:tc>
        <w:tc>
          <w:tcPr>
            <w:tcW w:w="56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74"/>
              </w:rPr>
              <w:t>$ (6.6)</w:t>
            </w:r>
          </w:p>
        </w:tc>
        <w:tc>
          <w:tcPr>
            <w:tcW w:w="440" w:type="dxa"/>
            <w:vAlign w:val="bottom"/>
            <w:shd w:val="clear" w:color="auto" w:fill="CCEEFF"/>
          </w:tcPr>
          <w:p>
            <w:pPr>
              <w:spacing w:after="0"/>
              <w:rPr>
                <w:sz w:val="12"/>
                <w:szCs w:val="12"/>
                <w:color w:val="auto"/>
              </w:rPr>
            </w:pPr>
          </w:p>
        </w:tc>
        <w:tc>
          <w:tcPr>
            <w:tcW w:w="1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92"/>
              </w:rPr>
              <w:t>(52.5)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w:t>
      </w:r>
    </w:p>
    <w:p>
      <w:pPr>
        <w:spacing w:after="0" w:line="1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 the third quarter of 2007, the Company contributed a $230 million non-interest bearing note payable ($190 million, discounted at a rate of 5.8%) due 2013 and certain assets related to MTV’s URGE digital music service for a 49% stake in Rhapsody America LLC, a newly formed joint venture with RealNetworks, Inc.</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 xml:space="preserve">In the second quarter of 2007, the Company recorded a pre-tax impairment charge of $36.0 million to write off its investment in Amp’d Mobile, which filed for bankruptcy. The impairment charge is included in </w:t>
      </w:r>
      <w:r>
        <w:rPr>
          <w:rFonts w:ascii="Arial" w:cs="Arial" w:eastAsia="Arial" w:hAnsi="Arial"/>
          <w:sz w:val="16"/>
          <w:szCs w:val="16"/>
          <w:i w:val="1"/>
          <w:iCs w:val="1"/>
          <w:color w:val="auto"/>
        </w:rPr>
        <w:t>Other items, net</w:t>
      </w:r>
      <w:r>
        <w:rPr>
          <w:rFonts w:ascii="Arial" w:cs="Arial" w:eastAsia="Arial" w:hAnsi="Arial"/>
          <w:sz w:val="16"/>
          <w:szCs w:val="16"/>
          <w:color w:val="auto"/>
        </w:rPr>
        <w:t xml:space="preserve"> in the Consolidated Statement of Earnings for the nine months ended September 30, 2007.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Equity Investment</w:t>
      </w:r>
    </w:p>
    <w:p>
      <w:pPr>
        <w:spacing w:after="0" w:line="15" w:lineRule="exact"/>
        <w:rPr>
          <w:sz w:val="20"/>
          <w:szCs w:val="20"/>
          <w:color w:val="auto"/>
        </w:rPr>
      </w:pPr>
    </w:p>
    <w:p>
      <w:pPr>
        <w:jc w:val="both"/>
        <w:ind w:right="740"/>
        <w:spacing w:after="0" w:line="255" w:lineRule="auto"/>
        <w:rPr>
          <w:sz w:val="20"/>
          <w:szCs w:val="20"/>
          <w:color w:val="auto"/>
        </w:rPr>
      </w:pPr>
      <w:r>
        <w:rPr>
          <w:rFonts w:ascii="Arial" w:cs="Arial" w:eastAsia="Arial" w:hAnsi="Arial"/>
          <w:sz w:val="18"/>
          <w:szCs w:val="18"/>
          <w:color w:val="auto"/>
        </w:rPr>
        <w:t>In the second quarter of 2007, the Company sold its non-controlling investment in MTV Russia, an international equity affiliate, for $191.1 million and recognized a pre-tax gain on the sale of $151.0 million. The Company’s equity in earnings of MTV Russia is not material to its operations in any period presented.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DISCONTINUED OPERATIONS</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Famous Music is presented as a discontinued operation in the consolidated financial statements for all periods, including the elimination of Famous Music’s operating results from the Filmed Entertainment reportable segment, and as an asset held for sale in the December 31, 2006 consolidated balance sheet. In July 2007, the Company sold Famous Music and recorded a gain in discontinued operations, net of $125.5 million of taxes, of $191.7 million. Following the sale, the Company’s continuing involvement with Famous Music is limited to certain license and distribution agreements that are not considered significant.</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results of Famous Music’s operations for the quarters and nine months ended September 30, 2007 (through the date of sale) and 2006, respectively, and its major classes of assets and liabilities at December 31, 2006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Quarter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Discontinued Operations</w:t>
            </w:r>
          </w:p>
        </w:tc>
        <w:tc>
          <w:tcPr>
            <w:tcW w:w="100" w:type="dxa"/>
            <w:vAlign w:val="bottom"/>
          </w:tcPr>
          <w:p>
            <w:pPr>
              <w:spacing w:after="0"/>
              <w:rPr>
                <w:sz w:val="14"/>
                <w:szCs w:val="14"/>
                <w:color w:val="auto"/>
              </w:rPr>
            </w:pPr>
          </w:p>
        </w:tc>
        <w:tc>
          <w:tcPr>
            <w:tcW w:w="114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6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2006</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89"/>
              </w:rPr>
              <w:t>2007</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9.5</w:t>
            </w:r>
          </w:p>
        </w:tc>
        <w:tc>
          <w:tcPr>
            <w:tcW w:w="4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26.6</w:t>
            </w:r>
          </w:p>
        </w:tc>
        <w:tc>
          <w:tcPr>
            <w:tcW w:w="6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rPr>
              <w:t>72.4</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79.2</w:t>
            </w:r>
          </w:p>
        </w:tc>
        <w:tc>
          <w:tcPr>
            <w:tcW w:w="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Arial" w:cs="Arial" w:eastAsia="Arial" w:hAnsi="Arial"/>
                <w:sz w:val="14"/>
                <w:szCs w:val="14"/>
                <w:color w:val="auto"/>
              </w:rPr>
              <w:t>Pre-tax income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0.3</w:t>
            </w: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3.5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5"/>
                <w:szCs w:val="15"/>
                <w:color w:val="auto"/>
              </w:rPr>
            </w:pPr>
          </w:p>
        </w:tc>
      </w:tr>
      <w:tr>
        <w:trPr>
          <w:trHeight w:val="339"/>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5"/>
              </w:rPr>
              <w:t>December 31, 2006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Assets/(Liabilities)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Receivables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2.3</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assets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26.0</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7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Intangibles, net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76.3</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7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2.6</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other accruals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(47.6)</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Deferred revenues</w:t>
            </w:r>
          </w:p>
        </w:tc>
        <w:tc>
          <w:tcPr>
            <w:tcW w:w="10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(22.4)</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(13.1)</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the quarter and nine months ended September 30, 2006, respectively, discontinued operations also includes a $0.5 million and $21.8 million release of tax reserves resulting from audit settlements of prior year tax years related to Famous Players and Blockbuster.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17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On October 5, 2007, the Company sold $500 million aggregate principal amount of 6.125% senior notes due 2017 at a price equal to 99.286% of the principal amount and $250 million aggregate principal amount of 6.750% senior debentures due 2037 at a price equal to 99.275% of the principal amount. The total discount on the sale of these instruments was $5.4 million. The Company used the total cash proceeds, net of offering expenses, of $739.5 million to repay amounts outstanding under its revolving credit facility and its commercial paper program.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Results of Operations and Financial Condition</w:t>
      </w:r>
      <w:r>
        <w:rPr>
          <w:rFonts w:ascii="Arial" w:cs="Arial" w:eastAsia="Arial" w:hAnsi="Arial"/>
          <w:sz w:val="18"/>
          <w:szCs w:val="18"/>
          <w:b w:val="1"/>
          <w:bCs w:val="1"/>
          <w:color w:val="auto"/>
        </w:rPr>
        <w:t>.</w:t>
      </w:r>
    </w:p>
    <w:p>
      <w:pPr>
        <w:spacing w:after="0" w:line="17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Viacom, consisting of BET Networks, MTV Networks and Paramount Pictures, is the world’s leading entertainment content company. It engages audiences on television, motion picture and digital platforms through many of the world’s best known entertainment brands, including MTV</w:t>
      </w:r>
      <w:r>
        <w:rPr>
          <w:rFonts w:ascii="Arial" w:cs="Arial" w:eastAsia="Arial" w:hAnsi="Arial"/>
          <w:sz w:val="22"/>
          <w:szCs w:val="22"/>
          <w:color w:val="auto"/>
          <w:vertAlign w:val="superscript"/>
        </w:rPr>
        <w:t>®</w:t>
      </w:r>
      <w:r>
        <w:rPr>
          <w:rFonts w:ascii="Arial" w:cs="Arial" w:eastAsia="Arial" w:hAnsi="Arial"/>
          <w:sz w:val="18"/>
          <w:szCs w:val="18"/>
          <w:color w:val="auto"/>
        </w:rPr>
        <w:t>, VH1</w:t>
      </w:r>
      <w:r>
        <w:rPr>
          <w:rFonts w:ascii="Arial" w:cs="Arial" w:eastAsia="Arial" w:hAnsi="Arial"/>
          <w:sz w:val="22"/>
          <w:szCs w:val="22"/>
          <w:color w:val="auto"/>
          <w:vertAlign w:val="superscript"/>
        </w:rPr>
        <w:t>®</w:t>
      </w:r>
      <w:r>
        <w:rPr>
          <w:rFonts w:ascii="Arial" w:cs="Arial" w:eastAsia="Arial" w:hAnsi="Arial"/>
          <w:sz w:val="18"/>
          <w:szCs w:val="18"/>
          <w:color w:val="auto"/>
        </w:rPr>
        <w:t>, CMT</w:t>
      </w:r>
      <w:r>
        <w:rPr>
          <w:rFonts w:ascii="Arial" w:cs="Arial" w:eastAsia="Arial" w:hAnsi="Arial"/>
          <w:sz w:val="22"/>
          <w:szCs w:val="22"/>
          <w:color w:val="auto"/>
          <w:vertAlign w:val="superscript"/>
        </w:rPr>
        <w:t>®</w:t>
      </w:r>
      <w:r>
        <w:rPr>
          <w:rFonts w:ascii="Arial" w:cs="Arial" w:eastAsia="Arial" w:hAnsi="Arial"/>
          <w:sz w:val="18"/>
          <w:szCs w:val="18"/>
          <w:color w:val="auto"/>
        </w:rPr>
        <w:t>, Logo</w:t>
      </w:r>
      <w:r>
        <w:rPr>
          <w:rFonts w:ascii="Arial" w:cs="Arial" w:eastAsia="Arial" w:hAnsi="Arial"/>
          <w:sz w:val="22"/>
          <w:szCs w:val="22"/>
          <w:color w:val="auto"/>
          <w:vertAlign w:val="superscript"/>
        </w:rPr>
        <w:t>™</w:t>
      </w:r>
      <w:r>
        <w:rPr>
          <w:rFonts w:ascii="Arial" w:cs="Arial" w:eastAsia="Arial" w:hAnsi="Arial"/>
          <w:sz w:val="18"/>
          <w:szCs w:val="18"/>
          <w:color w:val="auto"/>
        </w:rPr>
        <w:t>, Harmonix</w:t>
      </w:r>
      <w:r>
        <w:rPr>
          <w:rFonts w:ascii="Arial" w:cs="Arial" w:eastAsia="Arial" w:hAnsi="Arial"/>
          <w:sz w:val="22"/>
          <w:szCs w:val="22"/>
          <w:color w:val="auto"/>
          <w:vertAlign w:val="superscript"/>
        </w:rPr>
        <w:t>®</w:t>
      </w:r>
      <w:r>
        <w:rPr>
          <w:rFonts w:ascii="Arial" w:cs="Arial" w:eastAsia="Arial" w:hAnsi="Arial"/>
          <w:sz w:val="18"/>
          <w:szCs w:val="18"/>
          <w:color w:val="auto"/>
        </w:rPr>
        <w:t>, Nickelodeon</w:t>
      </w:r>
      <w:r>
        <w:rPr>
          <w:rFonts w:ascii="Arial" w:cs="Arial" w:eastAsia="Arial" w:hAnsi="Arial"/>
          <w:sz w:val="22"/>
          <w:szCs w:val="22"/>
          <w:color w:val="auto"/>
          <w:vertAlign w:val="superscript"/>
        </w:rPr>
        <w:t>®</w:t>
      </w:r>
      <w:r>
        <w:rPr>
          <w:rFonts w:ascii="Arial" w:cs="Arial" w:eastAsia="Arial" w:hAnsi="Arial"/>
          <w:sz w:val="18"/>
          <w:szCs w:val="18"/>
          <w:color w:val="auto"/>
        </w:rPr>
        <w:t>, Noggin</w:t>
      </w:r>
      <w:r>
        <w:rPr>
          <w:rFonts w:ascii="Arial" w:cs="Arial" w:eastAsia="Arial" w:hAnsi="Arial"/>
          <w:sz w:val="22"/>
          <w:szCs w:val="22"/>
          <w:color w:val="auto"/>
          <w:vertAlign w:val="superscript"/>
        </w:rPr>
        <w:t>®</w:t>
      </w:r>
      <w:r>
        <w:rPr>
          <w:rFonts w:ascii="Arial" w:cs="Arial" w:eastAsia="Arial" w:hAnsi="Arial"/>
          <w:sz w:val="18"/>
          <w:szCs w:val="18"/>
          <w:color w:val="auto"/>
        </w:rPr>
        <w:t>, Nick at Nite</w:t>
      </w:r>
      <w:r>
        <w:rPr>
          <w:rFonts w:ascii="Arial" w:cs="Arial" w:eastAsia="Arial" w:hAnsi="Arial"/>
          <w:sz w:val="22"/>
          <w:szCs w:val="22"/>
          <w:color w:val="auto"/>
          <w:vertAlign w:val="superscript"/>
        </w:rPr>
        <w:t>®</w:t>
      </w:r>
      <w:r>
        <w:rPr>
          <w:rFonts w:ascii="Arial" w:cs="Arial" w:eastAsia="Arial" w:hAnsi="Arial"/>
          <w:sz w:val="18"/>
          <w:szCs w:val="18"/>
          <w:color w:val="auto"/>
        </w:rPr>
        <w:t>, AddictingGames</w:t>
      </w:r>
      <w:r>
        <w:rPr>
          <w:rFonts w:ascii="Arial" w:cs="Arial" w:eastAsia="Arial" w:hAnsi="Arial"/>
          <w:sz w:val="22"/>
          <w:szCs w:val="22"/>
          <w:color w:val="auto"/>
          <w:vertAlign w:val="superscript"/>
        </w:rPr>
        <w:t>™</w:t>
      </w:r>
      <w:r>
        <w:rPr>
          <w:rFonts w:ascii="Arial" w:cs="Arial" w:eastAsia="Arial" w:hAnsi="Arial"/>
          <w:sz w:val="18"/>
          <w:szCs w:val="18"/>
          <w:color w:val="auto"/>
        </w:rPr>
        <w:t>, Neopets</w:t>
      </w:r>
      <w:r>
        <w:rPr>
          <w:rFonts w:ascii="Arial" w:cs="Arial" w:eastAsia="Arial" w:hAnsi="Arial"/>
          <w:sz w:val="22"/>
          <w:szCs w:val="22"/>
          <w:color w:val="auto"/>
          <w:vertAlign w:val="superscript"/>
        </w:rPr>
        <w:t>®</w:t>
      </w:r>
      <w:r>
        <w:rPr>
          <w:rFonts w:ascii="Arial" w:cs="Arial" w:eastAsia="Arial" w:hAnsi="Arial"/>
          <w:sz w:val="18"/>
          <w:szCs w:val="18"/>
          <w:color w:val="auto"/>
        </w:rPr>
        <w:t>, COMEDY CENTRAL</w:t>
      </w:r>
      <w:r>
        <w:rPr>
          <w:rFonts w:ascii="Arial" w:cs="Arial" w:eastAsia="Arial" w:hAnsi="Arial"/>
          <w:sz w:val="22"/>
          <w:szCs w:val="22"/>
          <w:color w:val="auto"/>
          <w:vertAlign w:val="superscript"/>
        </w:rPr>
        <w:t>®</w:t>
      </w:r>
      <w:r>
        <w:rPr>
          <w:rFonts w:ascii="Arial" w:cs="Arial" w:eastAsia="Arial" w:hAnsi="Arial"/>
          <w:sz w:val="18"/>
          <w:szCs w:val="18"/>
          <w:color w:val="auto"/>
        </w:rPr>
        <w:t>, Spike TV</w:t>
      </w:r>
      <w:r>
        <w:rPr>
          <w:rFonts w:ascii="Arial" w:cs="Arial" w:eastAsia="Arial" w:hAnsi="Arial"/>
          <w:sz w:val="22"/>
          <w:szCs w:val="22"/>
          <w:color w:val="auto"/>
          <w:vertAlign w:val="superscript"/>
        </w:rPr>
        <w:t>®</w:t>
      </w:r>
      <w:r>
        <w:rPr>
          <w:rFonts w:ascii="Arial" w:cs="Arial" w:eastAsia="Arial" w:hAnsi="Arial"/>
          <w:sz w:val="18"/>
          <w:szCs w:val="18"/>
          <w:color w:val="auto"/>
        </w:rPr>
        <w:t>, TV Land</w:t>
      </w:r>
      <w:r>
        <w:rPr>
          <w:rFonts w:ascii="Arial" w:cs="Arial" w:eastAsia="Arial" w:hAnsi="Arial"/>
          <w:sz w:val="22"/>
          <w:szCs w:val="22"/>
          <w:color w:val="auto"/>
          <w:vertAlign w:val="superscript"/>
        </w:rPr>
        <w:t>®</w:t>
      </w:r>
      <w:r>
        <w:rPr>
          <w:rFonts w:ascii="Arial" w:cs="Arial" w:eastAsia="Arial" w:hAnsi="Arial"/>
          <w:sz w:val="18"/>
          <w:szCs w:val="18"/>
          <w:color w:val="auto"/>
        </w:rPr>
        <w:t>, Gametrailers</w:t>
      </w:r>
      <w:r>
        <w:rPr>
          <w:rFonts w:ascii="Arial" w:cs="Arial" w:eastAsia="Arial" w:hAnsi="Arial"/>
          <w:sz w:val="22"/>
          <w:szCs w:val="22"/>
          <w:color w:val="auto"/>
          <w:vertAlign w:val="superscript"/>
        </w:rPr>
        <w:t>™</w:t>
      </w:r>
      <w:r>
        <w:rPr>
          <w:rFonts w:ascii="Arial" w:cs="Arial" w:eastAsia="Arial" w:hAnsi="Arial"/>
          <w:sz w:val="18"/>
          <w:szCs w:val="18"/>
          <w:color w:val="auto"/>
        </w:rPr>
        <w:t>, BET</w:t>
      </w:r>
      <w:r>
        <w:rPr>
          <w:rFonts w:ascii="Arial" w:cs="Arial" w:eastAsia="Arial" w:hAnsi="Arial"/>
          <w:sz w:val="22"/>
          <w:szCs w:val="22"/>
          <w:color w:val="auto"/>
          <w:vertAlign w:val="superscript"/>
        </w:rPr>
        <w:t>®</w:t>
      </w:r>
      <w:r>
        <w:rPr>
          <w:rFonts w:ascii="Arial" w:cs="Arial" w:eastAsia="Arial" w:hAnsi="Arial"/>
          <w:sz w:val="18"/>
          <w:szCs w:val="18"/>
          <w:color w:val="auto"/>
        </w:rPr>
        <w:t>, Paramount Pictures</w:t>
      </w:r>
      <w:r>
        <w:rPr>
          <w:rFonts w:ascii="Arial" w:cs="Arial" w:eastAsia="Arial" w:hAnsi="Arial"/>
          <w:sz w:val="22"/>
          <w:szCs w:val="22"/>
          <w:color w:val="auto"/>
          <w:vertAlign w:val="superscript"/>
        </w:rPr>
        <w:t>®</w:t>
      </w:r>
      <w:r>
        <w:rPr>
          <w:rFonts w:ascii="Arial" w:cs="Arial" w:eastAsia="Arial" w:hAnsi="Arial"/>
          <w:sz w:val="18"/>
          <w:szCs w:val="18"/>
          <w:color w:val="auto"/>
        </w:rPr>
        <w:t>, DreamWorks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Paramount Vantage</w:t>
      </w:r>
      <w:r>
        <w:rPr>
          <w:rFonts w:ascii="Arial" w:cs="Arial" w:eastAsia="Arial" w:hAnsi="Arial"/>
          <w:sz w:val="22"/>
          <w:szCs w:val="22"/>
          <w:color w:val="auto"/>
          <w:vertAlign w:val="superscript"/>
        </w:rPr>
        <w:t>™</w:t>
      </w:r>
      <w:r>
        <w:rPr>
          <w:rFonts w:ascii="Arial" w:cs="Arial" w:eastAsia="Arial" w:hAnsi="Arial"/>
          <w:sz w:val="18"/>
          <w:szCs w:val="18"/>
          <w:color w:val="auto"/>
        </w:rPr>
        <w:t>. Viacom’s global reach includes 145 channels and approximately 300 online properties in 160 countries and territories.</w:t>
      </w:r>
    </w:p>
    <w:p>
      <w:pPr>
        <w:spacing w:after="0" w:line="1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manage our operations through two reportable segments: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which includes MTV Networks (“MTVN”) and BET Networks (“BETN”); and </w:t>
      </w:r>
      <w:r>
        <w:rPr>
          <w:rFonts w:ascii="Arial" w:cs="Arial" w:eastAsia="Arial" w:hAnsi="Arial"/>
          <w:sz w:val="18"/>
          <w:szCs w:val="18"/>
          <w:i w:val="1"/>
          <w:iCs w:val="1"/>
          <w:color w:val="auto"/>
        </w:rPr>
        <w:t>Filmed Entertainment</w:t>
      </w:r>
      <w:r>
        <w:rPr>
          <w:rFonts w:ascii="Arial" w:cs="Arial" w:eastAsia="Arial" w:hAnsi="Arial"/>
          <w:sz w:val="18"/>
          <w:szCs w:val="18"/>
          <w:color w:val="auto"/>
        </w:rPr>
        <w:t>, which includes Paramount Pictures (“Paramount”). On July 31, 2007, we sold Famous Music and have reflected it as a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for all periods presented.</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Management’s discussion and analysis of results of operations and financial condition is provided as a supplement to and should be read in conjunction with the unaudited consolidated financial statements and related notes to enhance the understanding of our financial condition, results of operations and cash flows. Additional context can also be found in our Annual Report on Form 10-K for the year ended December 31, 2006 (the “2006 Annual Report”). References to “Viacom,” “Company,” “we,” “us” and “our” refer to Viacom Inc. and our consolidated subsidiaries through which our various businesses are conducted, unless the context requires otherwise.</w:t>
      </w:r>
    </w:p>
    <w:p>
      <w:pPr>
        <w:spacing w:after="0" w:line="137" w:lineRule="exact"/>
        <w:rPr>
          <w:sz w:val="20"/>
          <w:szCs w:val="20"/>
          <w:color w:val="auto"/>
        </w:rPr>
      </w:pPr>
    </w:p>
    <w:p>
      <w:pPr>
        <w:ind w:right="2740"/>
        <w:spacing w:after="0" w:line="497" w:lineRule="auto"/>
        <w:rPr>
          <w:sz w:val="20"/>
          <w:szCs w:val="20"/>
          <w:color w:val="auto"/>
        </w:rPr>
      </w:pPr>
      <w:r>
        <w:rPr>
          <w:rFonts w:ascii="Arial" w:cs="Arial" w:eastAsia="Arial" w:hAnsi="Arial"/>
          <w:sz w:val="16"/>
          <w:szCs w:val="16"/>
          <w:b w:val="1"/>
          <w:bCs w:val="1"/>
          <w:color w:val="auto"/>
        </w:rPr>
        <w:t xml:space="preserve">Organization of Management’s Discussion and Analysis of Results of Operations and Financial Condition </w:t>
      </w:r>
      <w:r>
        <w:rPr>
          <w:rFonts w:ascii="Arial" w:cs="Arial" w:eastAsia="Arial" w:hAnsi="Arial"/>
          <w:sz w:val="16"/>
          <w:szCs w:val="16"/>
          <w:color w:val="auto"/>
        </w:rPr>
        <w:t>Significant components of management’s discussion and analysis of results of operations and financial condition include:</w:t>
      </w:r>
    </w:p>
    <w:p>
      <w:pPr>
        <w:ind w:right="20"/>
        <w:spacing w:after="0" w:line="268"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The consolidated results of operations section provides an analysis of our results on a consolidated basis for the quarter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2007 compared to the quarter and nine months ended September 30, 2006.</w:t>
      </w:r>
    </w:p>
    <w:p>
      <w:pPr>
        <w:spacing w:after="0" w:line="13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i w:val="1"/>
          <w:iCs w:val="1"/>
          <w:color w:val="auto"/>
        </w:rPr>
        <w:t xml:space="preserve">Segment Results of Operations. </w:t>
      </w:r>
      <w:r>
        <w:rPr>
          <w:rFonts w:ascii="Arial" w:cs="Arial" w:eastAsia="Arial" w:hAnsi="Arial"/>
          <w:sz w:val="16"/>
          <w:szCs w:val="16"/>
          <w:color w:val="auto"/>
        </w:rPr>
        <w:t>The segment results of operations section provides an analysis of our results on a reportable operating segment basis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and nine months ended September 30, 2007 compared to the quarter and nine months ended September 30, 2006.</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The liquidity and capital resources section provides a discussion of our cash flows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compared to the nine months ended September 30, 2006 and an update on our indebtedness.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summary consolidated results of operations are presented below for the quarters and nine months ended September 30,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Consolidated Results of Operations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Better/(Worse)</w:t>
            </w:r>
          </w:p>
        </w:tc>
        <w:tc>
          <w:tcPr>
            <w:tcW w:w="100" w:type="dxa"/>
            <w:vAlign w:val="bottom"/>
          </w:tcPr>
          <w:p>
            <w:pPr>
              <w:spacing w:after="0"/>
              <w:rPr>
                <w:sz w:val="14"/>
                <w:szCs w:val="14"/>
                <w:color w:val="auto"/>
              </w:rPr>
            </w:pPr>
          </w:p>
        </w:tc>
        <w:tc>
          <w:tcPr>
            <w:tcW w:w="18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Better/(Worse)</w:t>
            </w:r>
          </w:p>
        </w:tc>
        <w:tc>
          <w:tcPr>
            <w:tcW w:w="0" w:type="dxa"/>
            <w:vAlign w:val="bottom"/>
          </w:tcPr>
          <w:p>
            <w:pPr>
              <w:spacing w:after="0"/>
              <w:rPr>
                <w:sz w:val="1"/>
                <w:szCs w:val="1"/>
                <w:color w:val="auto"/>
              </w:rPr>
            </w:pPr>
          </w:p>
        </w:tc>
      </w:tr>
      <w:tr>
        <w:trPr>
          <w:trHeight w:val="142"/>
        </w:trPr>
        <w:tc>
          <w:tcPr>
            <w:tcW w:w="48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2007</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2"/>
                <w:szCs w:val="12"/>
                <w:color w:val="auto"/>
              </w:rPr>
            </w:pPr>
          </w:p>
        </w:tc>
        <w:tc>
          <w:tcPr>
            <w:tcW w:w="8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7"/>
              </w:rPr>
              <w:t>2007 vs. 2006</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2006</w:t>
            </w:r>
          </w:p>
        </w:tc>
        <w:tc>
          <w:tcPr>
            <w:tcW w:w="46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2007 vs.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w w:val="81"/>
              </w:rPr>
              <w:t>3,270.6</w:t>
            </w:r>
          </w:p>
        </w:tc>
        <w:tc>
          <w:tcPr>
            <w:tcW w:w="2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w w:val="81"/>
              </w:rPr>
              <w:t>2,633.2</w:t>
            </w:r>
          </w:p>
        </w:tc>
        <w:tc>
          <w:tcPr>
            <w:tcW w:w="1380" w:type="dxa"/>
            <w:vAlign w:val="bottom"/>
            <w:tcBorders>
              <w:top w:val="single" w:sz="8" w:color="auto"/>
            </w:tcBorders>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b w:val="1"/>
                <w:bCs w:val="1"/>
                <w:color w:val="auto"/>
                <w:w w:val="89"/>
              </w:rPr>
              <w:t>9,174.8</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7,794.8</w:t>
            </w:r>
          </w:p>
        </w:tc>
        <w:tc>
          <w:tcPr>
            <w:tcW w:w="4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7"/>
        </w:trPr>
        <w:tc>
          <w:tcPr>
            <w:tcW w:w="482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1,670.6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1"/>
              </w:rPr>
              <w:t>1,278.6</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4,998.0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3,974.0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681.8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601.9</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1,921.9</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1,619.0</w:t>
            </w:r>
          </w:p>
        </w:tc>
        <w:tc>
          <w:tcPr>
            <w:tcW w:w="4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103.1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98.3</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296.9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860"/>
              <w:spacing w:after="0"/>
              <w:rPr>
                <w:sz w:val="20"/>
                <w:szCs w:val="20"/>
                <w:color w:val="auto"/>
              </w:rPr>
            </w:pPr>
            <w:r>
              <w:rPr>
                <w:rFonts w:ascii="Arial" w:cs="Arial" w:eastAsia="Arial" w:hAnsi="Arial"/>
                <w:sz w:val="14"/>
                <w:szCs w:val="14"/>
                <w:color w:val="auto"/>
              </w:rPr>
              <w:t>Total expenses</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2,455.5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w w:val="81"/>
              </w:rPr>
              <w:t>1,978.8</w:t>
            </w:r>
          </w:p>
        </w:tc>
        <w:tc>
          <w:tcPr>
            <w:tcW w:w="1380" w:type="dxa"/>
            <w:vAlign w:val="bottom"/>
            <w:gridSpan w:val="2"/>
          </w:tcPr>
          <w:p>
            <w:pPr>
              <w:jc w:val="right"/>
              <w:ind w:right="46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7,216.8</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9"/>
              </w:rPr>
              <w:t>5,855.5</w:t>
            </w:r>
          </w:p>
        </w:tc>
        <w:tc>
          <w:tcPr>
            <w:tcW w:w="4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815.1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654.4</w:t>
            </w:r>
          </w:p>
        </w:tc>
        <w:tc>
          <w:tcPr>
            <w:tcW w:w="13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1,958.0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1,939.3</w:t>
            </w: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Pr>
          <w:p>
            <w:pPr>
              <w:ind w:left="420"/>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(114.8)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94"/>
              </w:rPr>
              <w:t>(118.5)</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(339.8)</w:t>
            </w:r>
          </w:p>
        </w:tc>
        <w:tc>
          <w:tcPr>
            <w:tcW w:w="100" w:type="dxa"/>
            <w:vAlign w:val="bottom"/>
          </w:tcPr>
          <w:p>
            <w:pPr>
              <w:spacing w:after="0"/>
              <w:rPr>
                <w:sz w:val="22"/>
                <w:szCs w:val="2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(317.2)</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equity investment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NM</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151.0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Other items, net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(6.6)</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(52.5)</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4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Earnings from continuing operations before provision for income taxes, equity in</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693.0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4"/>
                <w:szCs w:val="14"/>
                <w:b w:val="1"/>
                <w:bCs w:val="1"/>
                <w:color w:val="auto"/>
                <w:w w:val="89"/>
              </w:rPr>
              <w:t>1,716.7</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earnings (losses) and minority interest</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529.3</w:t>
            </w:r>
          </w:p>
        </w:tc>
        <w:tc>
          <w:tcPr>
            <w:tcW w:w="138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1,617.7</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Pr>
          <w:p>
            <w:pPr>
              <w:ind w:left="420"/>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(238.0)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94"/>
              </w:rPr>
              <w:t>(169.6)</w:t>
            </w:r>
          </w:p>
        </w:tc>
        <w:tc>
          <w:tcPr>
            <w:tcW w:w="1380" w:type="dxa"/>
            <w:vAlign w:val="bottom"/>
            <w:gridSpan w:val="2"/>
          </w:tcPr>
          <w:p>
            <w:pPr>
              <w:jc w:val="right"/>
              <w:ind w:right="46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(627.0)</w:t>
            </w:r>
          </w:p>
        </w:tc>
        <w:tc>
          <w:tcPr>
            <w:tcW w:w="100" w:type="dxa"/>
            <w:vAlign w:val="bottom"/>
          </w:tcPr>
          <w:p>
            <w:pPr>
              <w:spacing w:after="0"/>
              <w:rPr>
                <w:sz w:val="22"/>
                <w:szCs w:val="2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(529.1)</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earnings (losses) of affiliated companies, net of tax</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w:t>
            </w:r>
          </w:p>
        </w:tc>
        <w:tc>
          <w:tcPr>
            <w:tcW w:w="13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 net of tax</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w:t>
            </w: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NM</w:t>
            </w: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(4.3)</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449.9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355.2</w:t>
            </w:r>
          </w:p>
        </w:tc>
        <w:tc>
          <w:tcPr>
            <w:tcW w:w="13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1,084.9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1,087.7</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Pr>
          <w:p>
            <w:pPr>
              <w:ind w:left="420"/>
              <w:spacing w:after="0"/>
              <w:rPr>
                <w:sz w:val="20"/>
                <w:szCs w:val="20"/>
                <w:color w:val="auto"/>
              </w:rPr>
            </w:pPr>
            <w:r>
              <w:rPr>
                <w:rFonts w:ascii="Arial" w:cs="Arial" w:eastAsia="Arial" w:hAnsi="Arial"/>
                <w:sz w:val="14"/>
                <w:szCs w:val="14"/>
                <w:color w:val="auto"/>
              </w:rPr>
              <w:t>Discontinued operations, net of tax</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191.7</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1.6</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22"/>
                <w:szCs w:val="2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193.7</w:t>
            </w: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23.6</w:t>
            </w:r>
          </w:p>
        </w:tc>
        <w:tc>
          <w:tcPr>
            <w:tcW w:w="46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641.6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356.8</w:t>
            </w:r>
          </w:p>
        </w:tc>
        <w:tc>
          <w:tcPr>
            <w:tcW w:w="13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1,278.6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1,111.3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NM = not meaningful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7"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Revenues for the quarter ended September 30, 2007 increased $637.4 million, or 24%, to $3.27 billion. Media Networks segment revenues increased $161.4 million, or 9%, to $2.00 billion. Net acquisitions (defined as acquisitions net of a disposition) in our Media Networks segment contributed net incremental revenues of $32.9 million. Filmed Entertainment segment revenues increased $474.8 million, or 57%, to $1.30 billion, for the quarter ended September 30, 2007.</w:t>
      </w:r>
    </w:p>
    <w:p>
      <w:pPr>
        <w:spacing w:after="0" w:line="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Revenues for the nine months ended September 30, 2007 increased $1.38 billion, or 18%, to $9.17 billion. Media Networks segment revenues increased $493.5 million, or 10%, to $5.65 billion. Net acquisitions in our Media Networks segment contributed net incremental revenues of $112.7 million. Filmed Entertainment segment revenues increased $914.1 million, or 34%, to $3.64 billion, including $100.5 million in incremental revenues for the month of January 2007 from the acquisition of DreamWorks, which closed on January 31,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factors contributing to revenue growth are discussed in greater detail within the section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revenues by component, net of intercompany transactions, for the quarter and nine months ended September 30,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0"/>
              </w:rPr>
              <w:t>Quarter Ended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87"/>
              </w:rPr>
              <w:t>September 30,</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Better/(Worse)</w:t>
            </w: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Total Revenue</w:t>
            </w:r>
          </w:p>
        </w:tc>
      </w:tr>
      <w:tr>
        <w:trPr>
          <w:trHeight w:val="142"/>
        </w:trPr>
        <w:tc>
          <w:tcPr>
            <w:tcW w:w="39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2007 vs. 2006</w:t>
            </w: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Advertising sales</w:t>
            </w:r>
          </w:p>
        </w:tc>
        <w:tc>
          <w:tcPr>
            <w:tcW w:w="2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4"/>
              </w:rPr>
              <w:t>$1,160.1</w:t>
            </w:r>
          </w:p>
        </w:tc>
        <w:tc>
          <w:tcPr>
            <w:tcW w:w="5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1"/>
              </w:rPr>
              <w:t>1,087.4</w:t>
            </w: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gridSpan w:val="2"/>
            <w:shd w:val="clear" w:color="auto" w:fill="CCEEFF"/>
          </w:tcPr>
          <w:p>
            <w:pPr>
              <w:ind w:left="800"/>
              <w:spacing w:after="0" w:line="142" w:lineRule="exact"/>
              <w:rPr>
                <w:sz w:val="20"/>
                <w:szCs w:val="20"/>
                <w:color w:val="auto"/>
              </w:rPr>
            </w:pPr>
            <w:r>
              <w:rPr>
                <w:rFonts w:ascii="Arial" w:cs="Arial" w:eastAsia="Arial" w:hAnsi="Arial"/>
                <w:sz w:val="14"/>
                <w:szCs w:val="14"/>
                <w:color w:val="auto"/>
              </w:rPr>
              <w:t>7%</w:t>
            </w:r>
          </w:p>
        </w:tc>
        <w:tc>
          <w:tcPr>
            <w:tcW w:w="920" w:type="dxa"/>
            <w:vAlign w:val="bottom"/>
            <w:tcBorders>
              <w:top w:val="single" w:sz="8" w:color="auto"/>
            </w:tcBorders>
            <w:gridSpan w:val="2"/>
            <w:shd w:val="clear" w:color="auto" w:fill="CCEEFF"/>
          </w:tcPr>
          <w:p>
            <w:pPr>
              <w:jc w:val="right"/>
              <w:ind w:right="500"/>
              <w:spacing w:after="0" w:line="142" w:lineRule="exact"/>
              <w:rPr>
                <w:sz w:val="20"/>
                <w:szCs w:val="20"/>
                <w:color w:val="auto"/>
              </w:rPr>
            </w:pPr>
            <w:r>
              <w:rPr>
                <w:rFonts w:ascii="Arial" w:cs="Arial" w:eastAsia="Arial" w:hAnsi="Arial"/>
                <w:sz w:val="14"/>
                <w:szCs w:val="14"/>
                <w:color w:val="auto"/>
              </w:rPr>
              <w:t>35%</w:t>
            </w: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1,232.6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79"/>
              </w:rPr>
              <w:t>775.2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Arial" w:cs="Arial" w:eastAsia="Arial" w:hAnsi="Arial"/>
                <w:sz w:val="12"/>
                <w:szCs w:val="12"/>
                <w:color w:val="auto"/>
                <w:w w:val="74"/>
              </w:rPr>
              <w:t>59</w:t>
            </w:r>
          </w:p>
        </w:tc>
        <w:tc>
          <w:tcPr>
            <w:tcW w:w="6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6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582.1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9"/>
              </w:rPr>
              <w:t>510.4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ind w:left="740"/>
              <w:spacing w:after="0"/>
              <w:rPr>
                <w:sz w:val="20"/>
                <w:szCs w:val="20"/>
                <w:color w:val="auto"/>
              </w:rPr>
            </w:pPr>
            <w:r>
              <w:rPr>
                <w:rFonts w:ascii="Arial" w:cs="Arial" w:eastAsia="Arial" w:hAnsi="Arial"/>
                <w:sz w:val="12"/>
                <w:szCs w:val="12"/>
                <w:color w:val="auto"/>
                <w:w w:val="74"/>
              </w:rPr>
              <w:t>14</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295.8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w w:val="79"/>
              </w:rPr>
              <w:t>260.2</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w w:val="74"/>
              </w:rPr>
              <w:t>14</w:t>
            </w:r>
          </w:p>
        </w:tc>
        <w:tc>
          <w:tcPr>
            <w:tcW w:w="620" w:type="dxa"/>
            <w:vAlign w:val="bottom"/>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62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3,270.6</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1"/>
              </w:rPr>
              <w:t>2,633.2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24%</w:t>
            </w: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4"/>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gridSpan w:val="4"/>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spacing w:after="0"/>
              <w:rPr>
                <w:sz w:val="17"/>
                <w:szCs w:val="17"/>
                <w:color w:val="auto"/>
              </w:rPr>
            </w:pPr>
          </w:p>
        </w:tc>
      </w:tr>
      <w:tr>
        <w:trPr>
          <w:trHeight w:val="37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8"/>
          </w:tcPr>
          <w:p>
            <w:pPr>
              <w:jc w:val="center"/>
              <w:ind w:right="620"/>
              <w:spacing w:after="0"/>
              <w:rPr>
                <w:sz w:val="20"/>
                <w:szCs w:val="20"/>
                <w:color w:val="auto"/>
              </w:rPr>
            </w:pPr>
            <w:r>
              <w:rPr>
                <w:rFonts w:ascii="Arial" w:cs="Arial" w:eastAsia="Arial" w:hAnsi="Arial"/>
                <w:sz w:val="14"/>
                <w:szCs w:val="14"/>
                <w:b w:val="1"/>
                <w:bCs w:val="1"/>
                <w:color w:val="auto"/>
                <w:w w:val="88"/>
              </w:rPr>
              <w:t>Nine Months Ended</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jc w:val="center"/>
              <w:ind w:right="60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Better/(Worse)</w:t>
            </w: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Total Revenue</w:t>
            </w:r>
          </w:p>
        </w:tc>
      </w:tr>
      <w:tr>
        <w:trPr>
          <w:trHeight w:val="142"/>
        </w:trPr>
        <w:tc>
          <w:tcPr>
            <w:tcW w:w="39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2007 vs. 2006</w:t>
            </w: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Advertising sales</w:t>
            </w:r>
          </w:p>
        </w:tc>
        <w:tc>
          <w:tcPr>
            <w:tcW w:w="26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3,231.6</w:t>
            </w: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3,026.3</w:t>
            </w:r>
          </w:p>
        </w:tc>
        <w:tc>
          <w:tcPr>
            <w:tcW w:w="1480" w:type="dxa"/>
            <w:vAlign w:val="bottom"/>
            <w:tcBorders>
              <w:top w:val="single" w:sz="8" w:color="auto"/>
            </w:tcBorders>
            <w:gridSpan w:val="2"/>
            <w:shd w:val="clear" w:color="auto" w:fill="CCEEFF"/>
          </w:tcPr>
          <w:p>
            <w:pPr>
              <w:ind w:left="800"/>
              <w:spacing w:after="0" w:line="142" w:lineRule="exact"/>
              <w:rPr>
                <w:sz w:val="20"/>
                <w:szCs w:val="20"/>
                <w:color w:val="auto"/>
              </w:rPr>
            </w:pPr>
            <w:r>
              <w:rPr>
                <w:rFonts w:ascii="Arial" w:cs="Arial" w:eastAsia="Arial" w:hAnsi="Arial"/>
                <w:sz w:val="14"/>
                <w:szCs w:val="14"/>
                <w:color w:val="auto"/>
              </w:rPr>
              <w:t>7%</w:t>
            </w:r>
          </w:p>
        </w:tc>
        <w:tc>
          <w:tcPr>
            <w:tcW w:w="920" w:type="dxa"/>
            <w:vAlign w:val="bottom"/>
            <w:tcBorders>
              <w:top w:val="single" w:sz="8" w:color="auto"/>
            </w:tcBorders>
            <w:gridSpan w:val="2"/>
            <w:shd w:val="clear" w:color="auto" w:fill="CCEEFF"/>
          </w:tcPr>
          <w:p>
            <w:pPr>
              <w:jc w:val="right"/>
              <w:ind w:right="500"/>
              <w:spacing w:after="0" w:line="142" w:lineRule="exact"/>
              <w:rPr>
                <w:sz w:val="20"/>
                <w:szCs w:val="20"/>
                <w:color w:val="auto"/>
              </w:rPr>
            </w:pPr>
            <w:r>
              <w:rPr>
                <w:rFonts w:ascii="Arial" w:cs="Arial" w:eastAsia="Arial" w:hAnsi="Arial"/>
                <w:sz w:val="14"/>
                <w:szCs w:val="14"/>
                <w:color w:val="auto"/>
              </w:rPr>
              <w:t>35%</w:t>
            </w: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3,459.9</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2,562.1</w:t>
            </w:r>
          </w:p>
        </w:tc>
        <w:tc>
          <w:tcPr>
            <w:tcW w:w="860" w:type="dxa"/>
            <w:vAlign w:val="bottom"/>
          </w:tcPr>
          <w:p>
            <w:pPr>
              <w:ind w:left="740"/>
              <w:spacing w:after="0"/>
              <w:rPr>
                <w:sz w:val="20"/>
                <w:szCs w:val="20"/>
                <w:color w:val="auto"/>
              </w:rPr>
            </w:pPr>
            <w:r>
              <w:rPr>
                <w:rFonts w:ascii="Arial" w:cs="Arial" w:eastAsia="Arial" w:hAnsi="Arial"/>
                <w:sz w:val="12"/>
                <w:szCs w:val="12"/>
                <w:color w:val="auto"/>
                <w:w w:val="74"/>
              </w:rPr>
              <w:t>35</w:t>
            </w:r>
          </w:p>
        </w:tc>
        <w:tc>
          <w:tcPr>
            <w:tcW w:w="6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6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2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1,717.3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1,501.1</w:t>
            </w:r>
          </w:p>
        </w:tc>
        <w:tc>
          <w:tcPr>
            <w:tcW w:w="860" w:type="dxa"/>
            <w:vAlign w:val="bottom"/>
            <w:shd w:val="clear" w:color="auto" w:fill="CCEEFF"/>
          </w:tcPr>
          <w:p>
            <w:pPr>
              <w:ind w:left="740"/>
              <w:spacing w:after="0"/>
              <w:rPr>
                <w:sz w:val="20"/>
                <w:szCs w:val="20"/>
                <w:color w:val="auto"/>
              </w:rPr>
            </w:pPr>
            <w:r>
              <w:rPr>
                <w:rFonts w:ascii="Arial" w:cs="Arial" w:eastAsia="Arial" w:hAnsi="Arial"/>
                <w:sz w:val="12"/>
                <w:szCs w:val="12"/>
                <w:color w:val="auto"/>
                <w:w w:val="74"/>
              </w:rPr>
              <w:t>14</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2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766.0</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w w:val="79"/>
              </w:rPr>
              <w:t>705.3</w:t>
            </w:r>
          </w:p>
        </w:tc>
        <w:tc>
          <w:tcPr>
            <w:tcW w:w="480" w:type="dxa"/>
            <w:vAlign w:val="bottom"/>
          </w:tcPr>
          <w:p>
            <w:pPr>
              <w:spacing w:after="0"/>
              <w:rPr>
                <w:sz w:val="13"/>
                <w:szCs w:val="13"/>
                <w:color w:val="auto"/>
              </w:rPr>
            </w:pPr>
          </w:p>
        </w:tc>
        <w:tc>
          <w:tcPr>
            <w:tcW w:w="860" w:type="dxa"/>
            <w:vAlign w:val="bottom"/>
            <w:tcBorders>
              <w:bottom w:val="single" w:sz="8" w:color="auto"/>
            </w:tcBorders>
          </w:tcPr>
          <w:p>
            <w:pPr>
              <w:ind w:left="800"/>
              <w:spacing w:after="0"/>
              <w:rPr>
                <w:sz w:val="20"/>
                <w:szCs w:val="20"/>
                <w:color w:val="auto"/>
              </w:rPr>
            </w:pPr>
            <w:r>
              <w:rPr>
                <w:rFonts w:ascii="Arial" w:cs="Arial" w:eastAsia="Arial" w:hAnsi="Arial"/>
                <w:sz w:val="10"/>
                <w:szCs w:val="10"/>
                <w:color w:val="auto"/>
                <w:w w:val="71"/>
              </w:rPr>
              <w:t>9</w:t>
            </w:r>
          </w:p>
        </w:tc>
        <w:tc>
          <w:tcPr>
            <w:tcW w:w="620" w:type="dxa"/>
            <w:vAlign w:val="bottom"/>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w:t>
            </w:r>
          </w:p>
        </w:tc>
        <w:tc>
          <w:tcPr>
            <w:tcW w:w="62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2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9,174.8</w:t>
            </w: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7,794.8</w:t>
            </w:r>
          </w:p>
        </w:tc>
        <w:tc>
          <w:tcPr>
            <w:tcW w:w="148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18%</w:t>
            </w: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Operating expenses were up 31%, or $392.0 million, and 26%, or $1.02 billion, to $1.67 billion and $5.00 billion, respectively, for the quarter and nine months ended September 30, 2007.</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Production and programming expenditures increased 34%, or $270.8 million, for the quarter ended September 30, 2007, to $1.07 billion. Feature film amortization increased $233.8 million, or 67%, primarily attributable to the release of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in July 2007 and the timing of other theatrical releases. Programming costs, the largest operating expense of our Media Networks segment, were up $32.2 million, or 7%, primarily as a result of incremental investment in original and acquired programming. For the nine months ended September 30, 2007, production and programming expenses increased $603.7 million, or 24%, primarily attributable to higher feature film amortization of $474.7 million and from increased programming costs, principally amortization for original and acquired programming on our networks.</w:t>
      </w:r>
    </w:p>
    <w:p>
      <w:pPr>
        <w:spacing w:after="0" w:line="14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Distribution expenses increased $123.4 million, or 30%, for the third quarter of 2007, to $532.4 million, primarily reflecting higher print and advertising expenditures in our Filmed Entertainment segment as a result of the mix and timing of our third quarter theatrical and home entertainment releases including the July 2007 release of </w:t>
      </w:r>
      <w:r>
        <w:rPr>
          <w:rFonts w:ascii="Arial" w:cs="Arial" w:eastAsia="Arial" w:hAnsi="Arial"/>
          <w:sz w:val="16"/>
          <w:szCs w:val="16"/>
          <w:i w:val="1"/>
          <w:iCs w:val="1"/>
          <w:color w:val="auto"/>
        </w:rPr>
        <w:t>Transformers</w:t>
      </w:r>
      <w:r>
        <w:rPr>
          <w:rFonts w:ascii="Arial" w:cs="Arial" w:eastAsia="Arial" w:hAnsi="Arial"/>
          <w:sz w:val="16"/>
          <w:szCs w:val="16"/>
          <w:color w:val="auto"/>
        </w:rPr>
        <w:t>. For the nine months ended September 30, 2007, distribution expenses increased $421.6 million, or 33%, also due to the mix and timing of theatrical releases and increased print and advertising costs, as well as the acquisition of DreamWorks and the commencement of our distribution activities for DreamWorks Animation which closed and commenced, respectively, on January 31, 2006.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Selling, general and administrative expenditures (“SG&amp;A”) were up 13%, or $79.9 million, and 19%, or $302.9 million, to $681.8 million and $1.92 billion, respectively, for the quarter and nine months ended September 30, 2007, on revenue increases of 24% and 18% versus the prior year. The quarter and nine month periods ended September 30, 2006 include a net compensation charge of $62.0 million relating to the resignation of the former President and Chief Executive Officer, partially offset by a compensation expense benefit from an amendment to the Company’s employment agreement with its Executive Chairman. The increased expense also reflects higher employee compensation expense, including incentive compensation related to Harmonix, as well as restructuring charges of $3.0 million and $70.1 million for the three and nine months ended September 30, 2007 respectively, related to restructuring actions commenced by MTV Networks in February 2007. These actions are anticipated to be completed by the end of the year and total approximately $80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 increased $4.8 million and $34.4 million, respectively, for the quarter and nine months ended September 30, 2007, as compared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periods for 2006. For the quarter, the increase was driven by depreciation on current-year fixed asset additions.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2007, the increase also includes increased intangible asset amortization expense resulting from acquisitions, including DreamWorks by the Filmed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Entertainment segment and various digital media acquisitions by the Media Networks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component of expense is discussed in greater detail within the section </w:t>
      </w:r>
      <w:r>
        <w:rPr>
          <w:rFonts w:ascii="Arial" w:cs="Arial" w:eastAsia="Arial" w:hAnsi="Arial"/>
          <w:sz w:val="18"/>
          <w:szCs w:val="18"/>
          <w:i w:val="1"/>
          <w:i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Total operating income increased 25%, or $160.7 million, to $815.1 million, for the quarter ended September 30, 2007 compared with 2006. Media Networks operating income increased 2%, with the 9% increase in revenues partially offset by a 13% growth in expenses, principally the result of the higher programming and employee compensation expenses. The increase in operating income at the Filmed Entertainment segment of $79.5 million resulted from a 57% increase in revenues partially offset by increases in feature film amortization and print and advertising expenses. Corporate expenses decreased $61.1 million largely due to a net compensation charge of $62.0 million recorded in 2006.</w:t>
      </w:r>
    </w:p>
    <w:p>
      <w:pPr>
        <w:spacing w:after="0" w:line="11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the nine months ended September 30, 2007, operating income increased 1%, or $18.7 million, to $1.96 billion. In Media Networks, operating income increased $23.3 million as the 10% growth in revenues was offset principally by the incremental programming amortization and employee compensation expenses, including restructuring charges of $70.1 million. Filmed Entertainment operating income decreased $62.3 million to an operating loss of $14.4 million principally due to increased feature film amortization costs of $474.7 million and higher distribution-related costs of $457.0 million which more than offset incremental revenues of $914.1 million. Corporate expenses decreased $54.7 million largely due to the net compensation charge of $62.0 million in 2006.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Interest expense, net includes costs related to our senior notes and debentures, credit facilities, note payable, commercial paper, capital lease obligations and amounts associated with our derivative financial instruments. For the quarter and nine months ended September 30, 2007, interest expense, net, decreased $3.7 million and increased $22.6 million, respectively, versus the comparable periods in 2006. The decrease in interest expense for the quarter was driven by a decrease in average debt outstanding, partially offset by increased interest rates. For the nine month comparative period, the impact of increased interest rates more than offset the decrease in average debt outstanding. The decrease in average debt outstanding in both periods resulted principally from increased cash flow provided by operations and proceeds received from dispositions this year of $541.8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Equity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June 2007, the Company sold its non-controlling investment in MTV Russia for $191.1 million and recognized a pre-tax gain on the sale of $151.0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Net</w:t>
      </w:r>
    </w:p>
    <w:p>
      <w:pPr>
        <w:spacing w:after="0" w:line="2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Other items, net includes expenses of $7.3 million and $52.5 million for the quarter and nine months ended September 30, 2007, principally reflecting losses on our receivables securitization programs. The amount for the nine months ended September 30, 2007 also included a $36.0 million impairment charge related to the bankruptcy filing of Amp’d Mobile.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For the quarter ended September 30, 2007, income tax expense was $238.0 million on pretax earnings of $693.0 million or an effective tax rate of 34.3%. Our effective income tax rate was 32.0% for the quarter ended September 30, 2006. For the nine months ended September 30, 2007, income tax expense was $627.0 million on pretax earnings of $1.72 billion, or an effective tax rate of 36.5%. Our effective income tax rate was 32.7% for the nine months ended September 30, 2006. The increase in the effective tax rates for the three and nine months ended September 30, 2007 is principally due to discrete tax benefits of $29.1 million and $99.8 million recognized in the quarter and nine months ended September 30, 2006, respectively, as compared to net discrete tax benefits of $15.0 million in the quarter and nine months ended September 30, 2007. The discrete tax benefits in both years were principally the result of audit settlements.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 of Affiliated Companies, Net of Tax</w:t>
      </w:r>
    </w:p>
    <w:p>
      <w:pPr>
        <w:spacing w:after="0" w:line="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Equity in earnings (losses) of affiliated companies, net of tax was ($0.3) million and $7.7 million for the quarter and nine months ended September 30, 2007, respectively, as compared to ($2.4) million and $3.4 million in the prior year. In the third quarter of 2007, we began recognizing our share of the results of Rhapsody America. The increase in equity earnings for the nine months ended September 30, 2007 principally results from the consolidation of Nickelodeon UK Limited (“Nick UK”) commencing in June 2006 and MTV Japan commencing in September 2006 upon our acquisition of controlling interests in these entities. Prior to our acquisition of a majority interest, we had reflected our share of Nick UK’s and MTV Japan’s results in equity in earnings (losses) of affiliated companies, net of tax. Nick UK had incurred a loss in 2006 prior to its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Net of Tax</w:t>
      </w:r>
    </w:p>
    <w:p>
      <w:pPr>
        <w:spacing w:after="0" w:line="21"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Minority interest expense, net of tax, which primarily represents ownership held by third parties of certain international consolidated entities, was $4.8 million and $12.5 million for the quarter and nine months ended September 30, 2007, respectively, as compared to $2.1 million and $4.3 million in the prior year. The increase in expense is primarily attributable to the consolidation of Nick UK and MTV Japan.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Net of Tax</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third quarter of 2007, we sold Famous Music and recorded a gain of $191.7 million. For the nine months ended September 30, 2007, discontinued operations of $193.7 million reflects the gain and Famous Music’s operations prior to completion of the sale. Famous Music is presented as a discontinued operation in the consolidated financial statements for all periods presented, including the elimination of Famous Music’s operating results from the Filmed Entertainment reportable segment, and is classified as assets held for sale in the December 31, 2006 Consolidated Balance Sheet. For the quarter and nine months ended September 30, 2006, respectively, discontinued operations also includes a $0.5 million and $21.8 million release of reserves principally resulting from audit settlements related to Famous Players and Blockbuster.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table presents revenues, expenses and operating income by reportable segment for the quarters and nine months ended September 30, 2007 and 2006. Operating income is used as the measurement of segment profit performance. Transactions between reportable segments are accounted for as third-party arrangements for the purposes of presenting reportable segment results of operations. Typical intersegment transactions include the purchase of advertising by the Filmed Entertainment segment on Media Networks segment properties and the purchase of the Filmed Entertainment segment’s feature films exhibition rights by the Media Networks segment. The elimination of such intercompany transactions in the consolidated results of operations is included within eliminations in the table below. Certain 2006 amounts have been reclassified to conform to the 2007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Segment Results of Operations</w:t>
            </w:r>
          </w:p>
        </w:tc>
        <w:tc>
          <w:tcPr>
            <w:tcW w:w="60" w:type="dxa"/>
            <w:vAlign w:val="bottom"/>
          </w:tcPr>
          <w:p>
            <w:pPr>
              <w:spacing w:after="0"/>
              <w:rPr>
                <w:sz w:val="15"/>
                <w:szCs w:val="15"/>
                <w:color w:val="auto"/>
              </w:rPr>
            </w:pPr>
          </w:p>
        </w:tc>
        <w:tc>
          <w:tcPr>
            <w:tcW w:w="17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Better/(Worse)</w:t>
            </w:r>
          </w:p>
        </w:tc>
        <w:tc>
          <w:tcPr>
            <w:tcW w:w="200" w:type="dxa"/>
            <w:vAlign w:val="bottom"/>
          </w:tcPr>
          <w:p>
            <w:pPr>
              <w:spacing w:after="0"/>
              <w:rPr>
                <w:sz w:val="15"/>
                <w:szCs w:val="15"/>
                <w:color w:val="auto"/>
              </w:rPr>
            </w:pPr>
          </w:p>
        </w:tc>
        <w:tc>
          <w:tcPr>
            <w:tcW w:w="19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Better/(Worse)</w:t>
            </w:r>
          </w:p>
        </w:tc>
        <w:tc>
          <w:tcPr>
            <w:tcW w:w="0" w:type="dxa"/>
            <w:vAlign w:val="bottom"/>
          </w:tcPr>
          <w:p>
            <w:pPr>
              <w:spacing w:after="0"/>
              <w:rPr>
                <w:sz w:val="1"/>
                <w:szCs w:val="1"/>
                <w:color w:val="auto"/>
              </w:rPr>
            </w:pPr>
          </w:p>
        </w:tc>
      </w:tr>
      <w:tr>
        <w:trPr>
          <w:trHeight w:val="142"/>
        </w:trPr>
        <w:tc>
          <w:tcPr>
            <w:tcW w:w="52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2007</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 vs. 2006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46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2007 vs.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420"/>
              <w:spacing w:after="0" w:line="149" w:lineRule="exact"/>
              <w:rPr>
                <w:sz w:val="20"/>
                <w:szCs w:val="20"/>
                <w:color w:val="auto"/>
              </w:rPr>
            </w:pPr>
            <w:r>
              <w:rPr>
                <w:rFonts w:ascii="Arial" w:cs="Arial" w:eastAsia="Arial" w:hAnsi="Arial"/>
                <w:sz w:val="14"/>
                <w:szCs w:val="14"/>
                <w:color w:val="auto"/>
              </w:rPr>
              <w:t>Media Networks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1,999.3</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5"/>
              </w:rPr>
              <w:t>1,837.9</w:t>
            </w:r>
          </w:p>
        </w:tc>
        <w:tc>
          <w:tcPr>
            <w:tcW w:w="44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$ 5,654.2</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5,160.7</w:t>
            </w:r>
          </w:p>
        </w:tc>
        <w:tc>
          <w:tcPr>
            <w:tcW w:w="4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Filmed Entertainment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1,304.7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829.9</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3,639.6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2,725.5</w:t>
            </w: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ind w:left="420"/>
              <w:spacing w:after="0" w:line="149" w:lineRule="exact"/>
              <w:rPr>
                <w:sz w:val="20"/>
                <w:szCs w:val="20"/>
                <w:color w:val="auto"/>
              </w:rPr>
            </w:pPr>
            <w:r>
              <w:rPr>
                <w:rFonts w:ascii="Arial" w:cs="Arial" w:eastAsia="Arial" w:hAnsi="Arial"/>
                <w:sz w:val="14"/>
                <w:szCs w:val="14"/>
                <w:color w:val="auto"/>
              </w:rPr>
              <w:t>Eliminations</w:t>
            </w:r>
          </w:p>
        </w:tc>
        <w:tc>
          <w:tcPr>
            <w:tcW w:w="60" w:type="dxa"/>
            <w:vAlign w:val="bottom"/>
          </w:tcPr>
          <w:p>
            <w:pPr>
              <w:spacing w:after="0"/>
              <w:rPr>
                <w:sz w:val="13"/>
                <w:szCs w:val="13"/>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(33.4)</w:t>
            </w:r>
          </w:p>
        </w:tc>
        <w:tc>
          <w:tcPr>
            <w:tcW w:w="60" w:type="dxa"/>
            <w:vAlign w:val="bottom"/>
          </w:tcPr>
          <w:p>
            <w:pPr>
              <w:spacing w:after="0"/>
              <w:rPr>
                <w:sz w:val="13"/>
                <w:szCs w:val="13"/>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3"/>
                <w:szCs w:val="13"/>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(119.0)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(91.4)</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3,270.6</w:t>
            </w:r>
          </w:p>
        </w:tc>
        <w:tc>
          <w:tcPr>
            <w:tcW w:w="4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2,633.2</w:t>
            </w:r>
          </w:p>
        </w:tc>
        <w:tc>
          <w:tcPr>
            <w:tcW w:w="4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9,174.8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7,794.8</w:t>
            </w:r>
          </w:p>
        </w:tc>
        <w:tc>
          <w:tcPr>
            <w:tcW w:w="4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Media Networks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1,202.5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1,060.2</w:t>
            </w:r>
          </w:p>
        </w:tc>
        <w:tc>
          <w:tcPr>
            <w:tcW w:w="4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3,521.8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3,051.6</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420"/>
              <w:spacing w:after="0" w:line="149" w:lineRule="exact"/>
              <w:rPr>
                <w:sz w:val="20"/>
                <w:szCs w:val="20"/>
                <w:color w:val="auto"/>
              </w:rPr>
            </w:pPr>
            <w:r>
              <w:rPr>
                <w:rFonts w:ascii="Arial" w:cs="Arial" w:eastAsia="Arial" w:hAnsi="Arial"/>
                <w:sz w:val="14"/>
                <w:szCs w:val="14"/>
                <w:color w:val="auto"/>
              </w:rPr>
              <w:t>Filmed Entertainment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1,233.0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837.7</w:t>
            </w:r>
          </w:p>
        </w:tc>
        <w:tc>
          <w:tcPr>
            <w:tcW w:w="44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3,654.0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2,677.6</w:t>
            </w:r>
          </w:p>
        </w:tc>
        <w:tc>
          <w:tcPr>
            <w:tcW w:w="4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segment expenses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2,435.5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1,897.9</w:t>
            </w:r>
          </w:p>
        </w:tc>
        <w:tc>
          <w:tcPr>
            <w:tcW w:w="4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7,175.8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5,729.2</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420"/>
              <w:spacing w:after="0" w:line="149" w:lineRule="exact"/>
              <w:rPr>
                <w:sz w:val="20"/>
                <w:szCs w:val="20"/>
                <w:color w:val="auto"/>
              </w:rPr>
            </w:pPr>
            <w:r>
              <w:rPr>
                <w:rFonts w:ascii="Arial" w:cs="Arial" w:eastAsia="Arial" w:hAnsi="Arial"/>
                <w:sz w:val="14"/>
                <w:szCs w:val="14"/>
                <w:color w:val="auto"/>
              </w:rPr>
              <w:t>Corporate</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4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216.0</w:t>
            </w:r>
          </w:p>
        </w:tc>
        <w:tc>
          <w:tcPr>
            <w:tcW w:w="4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(32.7)</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(32.9)</w:t>
            </w: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(120.3)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4"/>
                <w:szCs w:val="14"/>
                <w:color w:val="auto"/>
              </w:rPr>
              <w:t>Total expenses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2,455.5</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5"/>
              </w:rPr>
              <w:t>1,978.8</w:t>
            </w:r>
          </w:p>
        </w:tc>
        <w:tc>
          <w:tcPr>
            <w:tcW w:w="4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(24)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7,216.8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9"/>
              </w:rPr>
              <w:t>5,855.5</w:t>
            </w:r>
          </w:p>
        </w:tc>
        <w:tc>
          <w:tcPr>
            <w:tcW w:w="4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income/(loss)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420"/>
              <w:spacing w:after="0" w:line="149" w:lineRule="exact"/>
              <w:rPr>
                <w:sz w:val="20"/>
                <w:szCs w:val="20"/>
                <w:color w:val="auto"/>
              </w:rPr>
            </w:pPr>
            <w:r>
              <w:rPr>
                <w:rFonts w:ascii="Arial" w:cs="Arial" w:eastAsia="Arial" w:hAnsi="Arial"/>
                <w:sz w:val="14"/>
                <w:szCs w:val="14"/>
                <w:color w:val="auto"/>
              </w:rPr>
              <w:t>Media Networks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796.8</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777.7</w:t>
            </w:r>
          </w:p>
        </w:tc>
        <w:tc>
          <w:tcPr>
            <w:tcW w:w="4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2,132.4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2,109.1</w:t>
            </w:r>
          </w:p>
        </w:tc>
        <w:tc>
          <w:tcPr>
            <w:tcW w:w="4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Filmed Entertainment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(7.8)</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NM</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4"/>
                <w:szCs w:val="14"/>
                <w:color w:val="auto"/>
              </w:rPr>
              <w:t>Total segment operating income</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868.5</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769.9</w:t>
            </w:r>
          </w:p>
        </w:tc>
        <w:tc>
          <w:tcPr>
            <w:tcW w:w="4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13</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2,118.0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9"/>
              </w:rPr>
              <w:t>2,157.0</w:t>
            </w:r>
          </w:p>
        </w:tc>
        <w:tc>
          <w:tcPr>
            <w:tcW w:w="460" w:type="dxa"/>
            <w:vAlign w:val="bottom"/>
          </w:tcPr>
          <w:p>
            <w:pPr>
              <w:spacing w:after="0"/>
              <w:rPr>
                <w:sz w:val="13"/>
                <w:szCs w:val="13"/>
                <w:color w:val="auto"/>
              </w:rPr>
            </w:pPr>
          </w:p>
        </w:tc>
        <w:tc>
          <w:tcPr>
            <w:tcW w:w="9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expenses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(52.7)</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9"/>
              </w:rPr>
              <w:t>(113.8)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(216.0)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420"/>
              <w:spacing w:after="0" w:line="149" w:lineRule="exact"/>
              <w:rPr>
                <w:sz w:val="20"/>
                <w:szCs w:val="20"/>
                <w:color w:val="auto"/>
              </w:rPr>
            </w:pPr>
            <w:r>
              <w:rPr>
                <w:rFonts w:ascii="Arial" w:cs="Arial" w:eastAsia="Arial" w:hAnsi="Arial"/>
                <w:sz w:val="14"/>
                <w:szCs w:val="14"/>
                <w:color w:val="auto"/>
              </w:rPr>
              <w:t>Eliminations</w:t>
            </w:r>
          </w:p>
        </w:tc>
        <w:tc>
          <w:tcPr>
            <w:tcW w:w="6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(0.7)</w:t>
            </w:r>
          </w:p>
        </w:tc>
        <w:tc>
          <w:tcPr>
            <w:tcW w:w="6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815.1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654.4</w:t>
            </w:r>
          </w:p>
        </w:tc>
        <w:tc>
          <w:tcPr>
            <w:tcW w:w="4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$ 1,958.0</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1,939.3</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NM = not meaningful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Worldwide revenues for the third quarter increased $161.4 million or 9% in 2007 to $2.00 billion, with affiliate fees up 14%, and advertising and ancillary revenues each up 7%. Net acquisitions contributed $32.9 million to revenue growth. For the nine months ended September 30, 2007, worldwide revenues increased $493.5 million, or 10% to $5.65 billion, with affiliate fees up 14%, and advertising and ancillary revenues each up 8%. Net acquisitions contributed $112.7 million to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13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Better/(Worse)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Better/(Worse)</w:t>
            </w:r>
          </w:p>
        </w:tc>
        <w:tc>
          <w:tcPr>
            <w:tcW w:w="0" w:type="dxa"/>
            <w:vAlign w:val="bottom"/>
          </w:tcPr>
          <w:p>
            <w:pPr>
              <w:spacing w:after="0"/>
              <w:rPr>
                <w:sz w:val="1"/>
                <w:szCs w:val="1"/>
                <w:color w:val="auto"/>
              </w:rPr>
            </w:pPr>
          </w:p>
        </w:tc>
      </w:tr>
      <w:tr>
        <w:trPr>
          <w:trHeight w:val="142"/>
        </w:trPr>
        <w:tc>
          <w:tcPr>
            <w:tcW w:w="53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2007 vs. 2006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2007 vs.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by component</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380" w:type="dxa"/>
            <w:vAlign w:val="bottom"/>
            <w:gridSpan w:val="2"/>
          </w:tcPr>
          <w:p>
            <w:pPr>
              <w:spacing w:after="0"/>
              <w:rPr>
                <w:sz w:val="20"/>
                <w:szCs w:val="20"/>
                <w:color w:val="auto"/>
              </w:rPr>
            </w:pPr>
            <w:r>
              <w:rPr>
                <w:rFonts w:ascii="Arial" w:cs="Arial" w:eastAsia="Arial" w:hAnsi="Arial"/>
                <w:sz w:val="14"/>
                <w:szCs w:val="14"/>
                <w:color w:val="auto"/>
              </w:rPr>
              <w:t>Advertising</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4"/>
              </w:rPr>
              <w:t>$1,180.5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$1,105.8</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color w:val="auto"/>
              </w:rPr>
              <w:t>7%</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3,301.4</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3,070.5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582.1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510.4</w:t>
            </w:r>
          </w:p>
        </w:tc>
        <w:tc>
          <w:tcPr>
            <w:tcW w:w="15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1,717.3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9"/>
              </w:rPr>
              <w:t>1,501.1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236.7</w:t>
            </w:r>
          </w:p>
        </w:tc>
        <w:tc>
          <w:tcPr>
            <w:tcW w:w="4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221.7</w:t>
            </w:r>
          </w:p>
        </w:tc>
        <w:tc>
          <w:tcPr>
            <w:tcW w:w="40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635.5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589.1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 by component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1,999.3</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1,837.9</w:t>
            </w:r>
          </w:p>
        </w:tc>
        <w:tc>
          <w:tcPr>
            <w:tcW w:w="4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5,654.2</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9"/>
              </w:rPr>
              <w:t>5,160.7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by Geography</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gridSpan w:val="2"/>
            <w:vMerge w:val="continue"/>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Domestic</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$1,693.6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$1,585.1</w:t>
            </w:r>
          </w:p>
        </w:tc>
        <w:tc>
          <w:tcPr>
            <w:tcW w:w="15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4,805.2</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9"/>
              </w:rPr>
              <w:t>4,457.8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305.7</w:t>
            </w:r>
          </w:p>
        </w:tc>
        <w:tc>
          <w:tcPr>
            <w:tcW w:w="4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252.8</w:t>
            </w:r>
          </w:p>
        </w:tc>
        <w:tc>
          <w:tcPr>
            <w:tcW w:w="40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849.0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702.9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 by geography</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1,999.3</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1,837.9</w:t>
            </w:r>
          </w:p>
        </w:tc>
        <w:tc>
          <w:tcPr>
            <w:tcW w:w="4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5,654.2</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9"/>
              </w:rPr>
              <w:t>5,160.7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Worldwide advertising revenues were up 7% to $1.18 billion in the third quarter. Acquisitions contributed $15.3 million in incremental advertising revenues for the third quarter, or 1 percentage point of reported growth. Domestic advertising revenue increased 5% versus the comparable period of 2006 driven by Spike TV, MTV, VH1, COMEDY CENTRAL and digital properties. International advertising revenues increased 21%, primarily due to the acquisition of a controlling interest in MTV Japan, strong European performance and higher digital advertising revenues. Foreign exchange contributed 8 percentage points to reported international growth.</w:t>
      </w:r>
    </w:p>
    <w:p>
      <w:pPr>
        <w:spacing w:after="0" w:line="1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nine months ended September 30, 2007, worldwide advertising revenues increased $230.9 million, or 8%. Acquisitions contributed $65.3 million in incremental advertising revenues for the nine months ended September 30, 2007, or 2 percentage points of growth. Domestic advertising revenue growth of 6% was driven by Spike TV, VH1, COMEDY CENTRAL and digital properties. International advertising revenues increased 25%, primarily driven by the acquisitions of controlling interests in Nick UK and MTV Japan, strong European performance and foreign currency fluctuations, which contributed 8 percentage points to reported international growth.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Fees</w:t>
      </w:r>
    </w:p>
    <w:p>
      <w:pPr>
        <w:spacing w:after="0" w:line="15"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Worldwide affiliate fees increased 14% to $582.1 million in the third quarter. Acquisitions contributed 1 percentage point of total reported growth. Domestic affiliate fees were up 11%, due principally to contractual rate increases across core channels as well as an increase in subscribers for emerging networks and digital channels. International affiliate fees increased 28% driven principally by the acquisition of a controlling interest in MTV Japan and foreign currency fluctuations, which contributed 8 percentage points to reported international growth.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nine months ended September 30, 2007, worldwide affiliate fees increased $216.2 million, or 14%. International consolidations contributed 3 percentage points of total reported growth. International affiliate fees increased 36% driven principally by the acquisitions of controlling interests in Nick UK and MTV Japan, foreign exchange benefits, new channel launches, and rate increases. Domestic affiliate fees grew 11% principally a result of rate and subscriber increases. Foreign exchange accounted for 8 percentage points of international growth.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Worldwide ancillary revenues increased 7% and 8% for the quarter and nine months ended September 30, 2007, respectively. Domestic ancillary revenues for the quarter and nine months were up 5% and 13%, respectively, driven by royalties earned on </w:t>
      </w:r>
      <w:r>
        <w:rPr>
          <w:rFonts w:ascii="Arial" w:cs="Arial" w:eastAsia="Arial" w:hAnsi="Arial"/>
          <w:sz w:val="16"/>
          <w:szCs w:val="16"/>
          <w:i w:val="1"/>
          <w:iCs w:val="1"/>
          <w:color w:val="auto"/>
        </w:rPr>
        <w:t>Guitar Hero II</w:t>
      </w:r>
      <w:r>
        <w:rPr>
          <w:rFonts w:ascii="Arial" w:cs="Arial" w:eastAsia="Arial" w:hAnsi="Arial"/>
          <w:sz w:val="16"/>
          <w:szCs w:val="16"/>
          <w:color w:val="auto"/>
        </w:rPr>
        <w:t xml:space="preserve"> game sales, higher digital revenues and increased television license fees, partially offset by lower home video revenues due to a lower number of video releases and in particular, compared to the impact of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Chappelle Show: The Lost Episodes </w:t>
      </w:r>
      <w:r>
        <w:rPr>
          <w:rFonts w:ascii="Arial" w:cs="Arial" w:eastAsia="Arial" w:hAnsi="Arial"/>
          <w:sz w:val="16"/>
          <w:szCs w:val="16"/>
          <w:color w:val="auto"/>
        </w:rPr>
        <w:t>released in 2006. International ancillary revenues increased 12% in the quarter and decreased 3% in the nine months.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over year variances are principally due to higher consumer products licensing and home video revenues, partially offset by the fourth quarter 2006 disposition of an international production operation. Foreign exchange contributed 2 and 3 percentage points, respectively, to the reported international growth in the three and nine months ended September 30,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Media Networks segment expenses consist of costs incurred in developing original programming and acquiring third party content, costs incurred to market our brands and content and distribute our programming across distribution channels; and general and administrative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1"/>
              </w:rPr>
              <w:t>Nine Months Ended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Expenses and Operating Income</w:t>
            </w:r>
          </w:p>
        </w:tc>
        <w:tc>
          <w:tcPr>
            <w:tcW w:w="60" w:type="dxa"/>
            <w:vAlign w:val="bottom"/>
          </w:tcPr>
          <w:p>
            <w:pPr>
              <w:spacing w:after="0"/>
              <w:rPr>
                <w:sz w:val="14"/>
                <w:szCs w:val="14"/>
                <w:color w:val="auto"/>
              </w:rPr>
            </w:pPr>
          </w:p>
        </w:tc>
        <w:tc>
          <w:tcPr>
            <w:tcW w:w="17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Better/(Worse)</w:t>
            </w:r>
          </w:p>
        </w:tc>
        <w:tc>
          <w:tcPr>
            <w:tcW w:w="120" w:type="dxa"/>
            <w:vAlign w:val="bottom"/>
          </w:tcPr>
          <w:p>
            <w:pPr>
              <w:spacing w:after="0"/>
              <w:rPr>
                <w:sz w:val="14"/>
                <w:szCs w:val="14"/>
                <w:color w:val="auto"/>
              </w:rPr>
            </w:pPr>
          </w:p>
        </w:tc>
        <w:tc>
          <w:tcPr>
            <w:tcW w:w="1380" w:type="dxa"/>
            <w:vAlign w:val="bottom"/>
            <w:gridSpan w:val="5"/>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Better/(Worse)</w:t>
            </w:r>
          </w:p>
        </w:tc>
        <w:tc>
          <w:tcPr>
            <w:tcW w:w="0" w:type="dxa"/>
            <w:vAlign w:val="bottom"/>
          </w:tcPr>
          <w:p>
            <w:pPr>
              <w:spacing w:after="0"/>
              <w:rPr>
                <w:sz w:val="1"/>
                <w:szCs w:val="1"/>
                <w:color w:val="auto"/>
              </w:rPr>
            </w:pPr>
          </w:p>
        </w:tc>
      </w:tr>
      <w:tr>
        <w:trPr>
          <w:trHeight w:val="142"/>
        </w:trPr>
        <w:tc>
          <w:tcPr>
            <w:tcW w:w="53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2007</w:t>
            </w: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2007 vs. 2006</w:t>
            </w: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2007 vs.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420"/>
              <w:spacing w:after="0" w:line="149" w:lineRule="exact"/>
              <w:rPr>
                <w:sz w:val="20"/>
                <w:szCs w:val="20"/>
                <w:color w:val="auto"/>
              </w:rPr>
            </w:pPr>
            <w:r>
              <w:rPr>
                <w:rFonts w:ascii="Arial" w:cs="Arial" w:eastAsia="Arial" w:hAnsi="Arial"/>
                <w:sz w:val="14"/>
                <w:szCs w:val="14"/>
                <w:color w:val="auto"/>
              </w:rPr>
              <w:t>Operating expenses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616.7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595.4</w:t>
            </w:r>
          </w:p>
        </w:tc>
        <w:tc>
          <w:tcPr>
            <w:tcW w:w="14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1,852.6</w:t>
            </w: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1,721.8</w:t>
            </w:r>
          </w:p>
        </w:tc>
        <w:tc>
          <w:tcPr>
            <w:tcW w:w="1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&amp; administration</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514.4</w:t>
            </w:r>
          </w:p>
        </w:tc>
        <w:tc>
          <w:tcPr>
            <w:tcW w:w="48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392.1</w:t>
            </w:r>
          </w:p>
        </w:tc>
        <w:tc>
          <w:tcPr>
            <w:tcW w:w="14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1,456.6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1,135.3</w:t>
            </w:r>
          </w:p>
        </w:tc>
        <w:tc>
          <w:tcPr>
            <w:tcW w:w="14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&amp; amortization</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71.4</w:t>
            </w:r>
          </w:p>
        </w:tc>
        <w:tc>
          <w:tcPr>
            <w:tcW w:w="48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72.7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194.5</w:t>
            </w:r>
          </w:p>
        </w:tc>
        <w:tc>
          <w:tcPr>
            <w:tcW w:w="14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1,202.5</w:t>
            </w: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1"/>
              </w:rPr>
              <w:t>1,060.2</w:t>
            </w:r>
          </w:p>
        </w:tc>
        <w:tc>
          <w:tcPr>
            <w:tcW w:w="14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3,521.8</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3,051.6</w:t>
            </w:r>
          </w:p>
        </w:tc>
        <w:tc>
          <w:tcPr>
            <w:tcW w:w="1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796.8</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777.7</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color w:val="auto"/>
              </w:rPr>
              <w:t>2%</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2,132.4</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9"/>
              </w:rPr>
              <w:t>2,109.1</w:t>
            </w:r>
          </w:p>
        </w:tc>
        <w:tc>
          <w:tcPr>
            <w:tcW w:w="1440" w:type="dxa"/>
            <w:vAlign w:val="bottom"/>
            <w:gridSpan w:val="3"/>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 xml:space="preserve">Operating expenses are comprised of costs related to original and acquired programming, expenses associated with the distribution of home entertainment products, and consumer products licensing and participation fees. In the third quarter of 2007, the $21.3 million increase in operating expense reflects higher programming amortization in the quarter compared to 2006, due to acquired programming such as </w:t>
      </w:r>
      <w:r>
        <w:rPr>
          <w:rFonts w:ascii="Arial" w:cs="Arial" w:eastAsia="Arial" w:hAnsi="Arial"/>
          <w:sz w:val="16"/>
          <w:szCs w:val="16"/>
          <w:i w:val="1"/>
          <w:iCs w:val="1"/>
          <w:color w:val="auto"/>
        </w:rPr>
        <w:t>The Ultimate Fighter</w:t>
      </w:r>
      <w:r>
        <w:rPr>
          <w:rFonts w:ascii="Arial" w:cs="Arial" w:eastAsia="Arial" w:hAnsi="Arial"/>
          <w:sz w:val="16"/>
          <w:szCs w:val="16"/>
          <w:color w:val="auto"/>
        </w:rPr>
        <w:t xml:space="preserve">, </w:t>
      </w:r>
      <w:r>
        <w:rPr>
          <w:rFonts w:ascii="Arial" w:cs="Arial" w:eastAsia="Arial" w:hAnsi="Arial"/>
          <w:sz w:val="16"/>
          <w:szCs w:val="16"/>
          <w:i w:val="1"/>
          <w:iCs w:val="1"/>
          <w:color w:val="auto"/>
        </w:rPr>
        <w:t>Star Trek Voyager, CSI: New York</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The Kill Point </w:t>
      </w:r>
      <w:r>
        <w:rPr>
          <w:rFonts w:ascii="Arial" w:cs="Arial" w:eastAsia="Arial" w:hAnsi="Arial"/>
          <w:sz w:val="16"/>
          <w:szCs w:val="16"/>
          <w:color w:val="auto"/>
        </w:rPr>
        <w:t>on Spike TV;</w:t>
      </w:r>
      <w:r>
        <w:rPr>
          <w:rFonts w:ascii="Arial" w:cs="Arial" w:eastAsia="Arial" w:hAnsi="Arial"/>
          <w:sz w:val="16"/>
          <w:szCs w:val="16"/>
          <w:i w:val="1"/>
          <w:iCs w:val="1"/>
          <w:color w:val="auto"/>
        </w:rPr>
        <w:t xml:space="preserve"> M*A*S*H </w:t>
      </w:r>
      <w:r>
        <w:rPr>
          <w:rFonts w:ascii="Arial" w:cs="Arial" w:eastAsia="Arial" w:hAnsi="Arial"/>
          <w:sz w:val="16"/>
          <w:szCs w:val="16"/>
          <w:color w:val="auto"/>
        </w:rPr>
        <w:t>on TV Land; and</w:t>
      </w:r>
      <w:r>
        <w:rPr>
          <w:rFonts w:ascii="Arial" w:cs="Arial" w:eastAsia="Arial" w:hAnsi="Arial"/>
          <w:sz w:val="16"/>
          <w:szCs w:val="16"/>
          <w:i w:val="1"/>
          <w:iCs w:val="1"/>
          <w:color w:val="auto"/>
        </w:rPr>
        <w:t xml:space="preserve"> Roseanne </w:t>
      </w:r>
      <w:r>
        <w:rPr>
          <w:rFonts w:ascii="Arial" w:cs="Arial" w:eastAsia="Arial" w:hAnsi="Arial"/>
          <w:sz w:val="16"/>
          <w:szCs w:val="16"/>
          <w:color w:val="auto"/>
        </w:rPr>
        <w:t>on Nick-at-Nite, and original programming such as the new seasons of</w:t>
      </w:r>
      <w:r>
        <w:rPr>
          <w:rFonts w:ascii="Arial" w:cs="Arial" w:eastAsia="Arial" w:hAnsi="Arial"/>
          <w:sz w:val="16"/>
          <w:szCs w:val="16"/>
          <w:i w:val="1"/>
          <w:iCs w:val="1"/>
          <w:color w:val="auto"/>
        </w:rPr>
        <w:t xml:space="preserve"> Exposed, Parental Control </w:t>
      </w:r>
      <w:r>
        <w:rPr>
          <w:rFonts w:ascii="Arial" w:cs="Arial" w:eastAsia="Arial" w:hAnsi="Arial"/>
          <w:sz w:val="16"/>
          <w:szCs w:val="16"/>
          <w:color w:val="auto"/>
        </w:rPr>
        <w:t>and</w:t>
      </w:r>
      <w:r>
        <w:rPr>
          <w:rFonts w:ascii="Arial" w:cs="Arial" w:eastAsia="Arial" w:hAnsi="Arial"/>
          <w:sz w:val="16"/>
          <w:szCs w:val="16"/>
          <w:i w:val="1"/>
          <w:iCs w:val="1"/>
          <w:color w:val="auto"/>
        </w:rPr>
        <w:t xml:space="preserve"> Next </w:t>
      </w:r>
      <w:r>
        <w:rPr>
          <w:rFonts w:ascii="Arial" w:cs="Arial" w:eastAsia="Arial" w:hAnsi="Arial"/>
          <w:sz w:val="16"/>
          <w:szCs w:val="16"/>
          <w:color w:val="auto"/>
        </w:rPr>
        <w:t>on MTV;</w:t>
      </w:r>
      <w:r>
        <w:rPr>
          <w:rFonts w:ascii="Arial" w:cs="Arial" w:eastAsia="Arial" w:hAnsi="Arial"/>
          <w:sz w:val="16"/>
          <w:szCs w:val="16"/>
          <w:i w:val="1"/>
          <w:iCs w:val="1"/>
          <w:color w:val="auto"/>
        </w:rPr>
        <w:t xml:space="preserve"> Trick My Truck </w:t>
      </w:r>
      <w:r>
        <w:rPr>
          <w:rFonts w:ascii="Arial" w:cs="Arial" w:eastAsia="Arial" w:hAnsi="Arial"/>
          <w:sz w:val="16"/>
          <w:szCs w:val="16"/>
          <w:color w:val="auto"/>
        </w:rPr>
        <w:t>on CMT; and increased costs at</w:t>
      </w:r>
      <w:r>
        <w:rPr>
          <w:rFonts w:ascii="Arial" w:cs="Arial" w:eastAsia="Arial" w:hAnsi="Arial"/>
          <w:sz w:val="16"/>
          <w:szCs w:val="16"/>
          <w:i w:val="1"/>
          <w:iCs w:val="1"/>
          <w:color w:val="auto"/>
        </w:rPr>
        <w:t xml:space="preserve"> The Daily Show </w:t>
      </w:r>
      <w:r>
        <w:rPr>
          <w:rFonts w:ascii="Arial" w:cs="Arial" w:eastAsia="Arial" w:hAnsi="Arial"/>
          <w:sz w:val="16"/>
          <w:szCs w:val="16"/>
          <w:color w:val="auto"/>
        </w:rPr>
        <w:t>and a new season of</w:t>
      </w:r>
      <w:r>
        <w:rPr>
          <w:rFonts w:ascii="Arial" w:cs="Arial" w:eastAsia="Arial" w:hAnsi="Arial"/>
          <w:sz w:val="16"/>
          <w:szCs w:val="16"/>
          <w:i w:val="1"/>
          <w:iCs w:val="1"/>
          <w:color w:val="auto"/>
        </w:rPr>
        <w:t xml:space="preserve"> Mind of Mencia </w:t>
      </w:r>
      <w:r>
        <w:rPr>
          <w:rFonts w:ascii="Arial" w:cs="Arial" w:eastAsia="Arial" w:hAnsi="Arial"/>
          <w:sz w:val="16"/>
          <w:szCs w:val="16"/>
          <w:color w:val="auto"/>
        </w:rPr>
        <w:t>on Comedy Central.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 xml:space="preserve">For the nine months ended September 30, 2007, total operating expenses increased $130.8 million, also due primarily to an increase in production and programming costs, primarily programming amortization. The increase in programming amortization was due to the same content noted above, as well as additional acquired programming such as </w:t>
      </w:r>
      <w:r>
        <w:rPr>
          <w:rFonts w:ascii="Arial" w:cs="Arial" w:eastAsia="Arial" w:hAnsi="Arial"/>
          <w:sz w:val="18"/>
          <w:szCs w:val="18"/>
          <w:i w:val="1"/>
          <w:iCs w:val="1"/>
          <w:color w:val="auto"/>
        </w:rPr>
        <w:t>The Cosby Show</w:t>
      </w:r>
      <w:r>
        <w:rPr>
          <w:rFonts w:ascii="Arial" w:cs="Arial" w:eastAsia="Arial" w:hAnsi="Arial"/>
          <w:sz w:val="18"/>
          <w:szCs w:val="18"/>
          <w:color w:val="auto"/>
        </w:rPr>
        <w:t xml:space="preserve"> on Nick-at-Nite, and increased investment in original programming such as the new season of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Hills </w:t>
      </w:r>
      <w:r>
        <w:rPr>
          <w:rFonts w:ascii="Arial" w:cs="Arial" w:eastAsia="Arial" w:hAnsi="Arial"/>
          <w:sz w:val="18"/>
          <w:szCs w:val="18"/>
          <w:color w:val="auto"/>
        </w:rPr>
        <w:t>on MTV.</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general and administrative expenses consist primarily of personnel, marketing, professional service fees, and facility and occupancy costs. In the third quarter of 2007, SG&amp;A expenses increased 31% to $514.4 million, primarily related to employee compensation costs, including incentive compensation related to Harmonix, severance and restructuring, as well as higher marketing costs.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nine months ended September 30, 2007, selling, general and administrative expenses increased $321.3 million to $1.46 billion. The increase is primarily due to increased employee compensation costs, including incentive compensation related to Harmonix, severance and restructuring expenses, marketing costs and other general and administrative expenses.</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SG&amp;A included $3.0 million and $70.1 million, respectively, of restructuring costs in the quarter and nine months ended September 30, 2007. The restructuring activities are anticipated to be completed by the fourth quarter of 2007 and result in 2007 full year restructuring charges of approximately $80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ind w:right="80"/>
        <w:spacing w:after="0" w:line="331" w:lineRule="auto"/>
        <w:rPr>
          <w:sz w:val="20"/>
          <w:szCs w:val="20"/>
          <w:color w:val="auto"/>
        </w:rPr>
      </w:pPr>
      <w:r>
        <w:rPr>
          <w:rFonts w:ascii="Arial" w:cs="Arial" w:eastAsia="Arial" w:hAnsi="Arial"/>
          <w:sz w:val="15"/>
          <w:szCs w:val="15"/>
          <w:color w:val="auto"/>
        </w:rPr>
        <w:t>Depreciation and amortization expenses reflect depreciation on fixed assets, including transponders financed under capital leases, and amortization of finite-lived intangible assets. Depreciation and amortization decreased $1.3 million and increased $18.1 million for the quarter and nine months ended September 30, 2007, compared to the same periods last year. The increase on a year-to-date basis was principally due to the amortization of intangibles associated with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Operating income grew 2%, to $796.8 million in the third quarter of 2007, and 1% to $2.13 billion for the nine months ended September 30, 2007, compared with the same periods in 2006. The increase in the quarter was due to a 9% increase in revenues partially offset by a 13% increase in expenses. Revenue growth of 10% for the nine month period was largely offset by a 15% increase in expenses, including restructuring charges of $70.1 million.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Worldwide revenues increased $474.8 million in the third quarter of 2007 to $1.30 billion. For the nine months ended September 30, 2007, worldwide revenues increased 34% to $3.64 billion. The acquisition of DreamWorks and the DreamWorks Animation distribution agreement (the “DreamWorks acquisition”) contributed incremental revenues of $100.5 million in January 2007. Results of operations for DreamWorks have been included in the Filmed Entertainment segment beginning 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60" w:type="dxa"/>
            <w:vAlign w:val="bottom"/>
          </w:tcPr>
          <w:p>
            <w:pPr>
              <w:spacing w:after="0"/>
              <w:rPr>
                <w:sz w:val="14"/>
                <w:szCs w:val="14"/>
                <w:color w:val="auto"/>
              </w:rPr>
            </w:pPr>
          </w:p>
        </w:tc>
        <w:tc>
          <w:tcPr>
            <w:tcW w:w="12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Better/(Worse)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Better/(Worse)</w:t>
            </w:r>
          </w:p>
        </w:tc>
        <w:tc>
          <w:tcPr>
            <w:tcW w:w="0" w:type="dxa"/>
            <w:vAlign w:val="bottom"/>
          </w:tcPr>
          <w:p>
            <w:pPr>
              <w:spacing w:after="0"/>
              <w:rPr>
                <w:sz w:val="1"/>
                <w:szCs w:val="1"/>
                <w:color w:val="auto"/>
              </w:rPr>
            </w:pPr>
          </w:p>
        </w:tc>
      </w:tr>
      <w:tr>
        <w:trPr>
          <w:trHeight w:val="142"/>
        </w:trPr>
        <w:tc>
          <w:tcPr>
            <w:tcW w:w="54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2007</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 vs. 2006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8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2007 vs.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by component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480" w:type="dxa"/>
            <w:vAlign w:val="bottom"/>
            <w:gridSpan w:val="2"/>
          </w:tcPr>
          <w:p>
            <w:pPr>
              <w:spacing w:after="0"/>
              <w:rPr>
                <w:sz w:val="20"/>
                <w:szCs w:val="20"/>
                <w:color w:val="auto"/>
              </w:rPr>
            </w:pPr>
            <w:r>
              <w:rPr>
                <w:rFonts w:ascii="Arial" w:cs="Arial" w:eastAsia="Arial" w:hAnsi="Arial"/>
                <w:sz w:val="14"/>
                <w:szCs w:val="14"/>
                <w:color w:val="auto"/>
              </w:rPr>
              <w:t>Theatrical</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490.0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$211.7</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color w:val="auto"/>
              </w:rPr>
              <w:t>131%</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1,193.1</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655.6</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w w:val="85"/>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entertainment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457.4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329.9</w:t>
            </w:r>
          </w:p>
        </w:tc>
        <w:tc>
          <w:tcPr>
            <w:tcW w:w="15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1,412.5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9"/>
              </w:rPr>
              <w:t>1,154.4</w:t>
            </w:r>
          </w:p>
        </w:tc>
        <w:tc>
          <w:tcPr>
            <w:tcW w:w="8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76"/>
              </w:rPr>
              <w:t>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Television license fees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294.5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247.0</w:t>
            </w:r>
          </w:p>
        </w:tc>
        <w:tc>
          <w:tcPr>
            <w:tcW w:w="15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794.3</w:t>
            </w:r>
          </w:p>
        </w:tc>
        <w:tc>
          <w:tcPr>
            <w:tcW w:w="860" w:type="dxa"/>
            <w:vAlign w:val="bottom"/>
          </w:tcPr>
          <w:p>
            <w:pPr>
              <w:ind w:left="720"/>
              <w:spacing w:after="0" w:line="149" w:lineRule="exact"/>
              <w:rPr>
                <w:sz w:val="20"/>
                <w:szCs w:val="20"/>
                <w:color w:val="auto"/>
              </w:rPr>
            </w:pPr>
            <w:r>
              <w:rPr>
                <w:rFonts w:ascii="Arial" w:cs="Arial" w:eastAsia="Arial" w:hAnsi="Arial"/>
                <w:sz w:val="14"/>
                <w:szCs w:val="14"/>
                <w:color w:val="auto"/>
                <w:w w:val="76"/>
              </w:rPr>
              <w:t>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Ancillary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62.8</w:t>
            </w: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4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142.6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121.2</w:t>
            </w:r>
          </w:p>
        </w:tc>
        <w:tc>
          <w:tcPr>
            <w:tcW w:w="8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76"/>
              </w:rPr>
              <w:t>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420"/>
              <w:spacing w:after="0"/>
              <w:rPr>
                <w:sz w:val="20"/>
                <w:szCs w:val="20"/>
                <w:color w:val="auto"/>
              </w:rPr>
            </w:pPr>
            <w:r>
              <w:rPr>
                <w:rFonts w:ascii="Arial" w:cs="Arial" w:eastAsia="Arial" w:hAnsi="Arial"/>
                <w:sz w:val="14"/>
                <w:szCs w:val="14"/>
                <w:color w:val="auto"/>
              </w:rPr>
              <w:t>Total revenues by component</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5"/>
              </w:rPr>
              <w:t>1,304.7</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829.9</w:t>
            </w:r>
          </w:p>
        </w:tc>
        <w:tc>
          <w:tcPr>
            <w:tcW w:w="158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57%</w:t>
            </w:r>
          </w:p>
        </w:tc>
        <w:tc>
          <w:tcPr>
            <w:tcW w:w="3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3,639.6</w:t>
            </w: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w w:val="89"/>
              </w:rPr>
              <w:t>2,725.5</w:t>
            </w:r>
          </w:p>
        </w:tc>
        <w:tc>
          <w:tcPr>
            <w:tcW w:w="980" w:type="dxa"/>
            <w:vAlign w:val="bottom"/>
            <w:gridSpan w:val="2"/>
          </w:tcPr>
          <w:p>
            <w:pPr>
              <w:ind w:left="720"/>
              <w:spacing w:after="0" w:line="155" w:lineRule="exact"/>
              <w:rPr>
                <w:sz w:val="20"/>
                <w:szCs w:val="20"/>
                <w:color w:val="auto"/>
              </w:rPr>
            </w:pPr>
            <w:r>
              <w:rPr>
                <w:rFonts w:ascii="Arial" w:cs="Arial" w:eastAsia="Arial" w:hAnsi="Arial"/>
                <w:sz w:val="14"/>
                <w:szCs w:val="14"/>
                <w:color w:val="auto"/>
                <w:w w:val="85"/>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by geography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480" w:type="dxa"/>
            <w:vAlign w:val="bottom"/>
            <w:gridSpan w:val="2"/>
          </w:tcPr>
          <w:p>
            <w:pPr>
              <w:spacing w:after="0"/>
              <w:rPr>
                <w:sz w:val="20"/>
                <w:szCs w:val="20"/>
                <w:color w:val="auto"/>
              </w:rPr>
            </w:pPr>
            <w:r>
              <w:rPr>
                <w:rFonts w:ascii="Arial" w:cs="Arial" w:eastAsia="Arial" w:hAnsi="Arial"/>
                <w:sz w:val="14"/>
                <w:szCs w:val="14"/>
                <w:color w:val="auto"/>
              </w:rPr>
              <w:t>Domestic</w:t>
            </w:r>
          </w:p>
        </w:tc>
        <w:tc>
          <w:tcPr>
            <w:tcW w:w="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646.9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$515.8</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color w:val="auto"/>
              </w:rPr>
              <w:t>25%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2,035.8</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1,803.3</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w w:val="85"/>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International</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657.8</w:t>
            </w: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314.1</w:t>
            </w:r>
          </w:p>
        </w:tc>
        <w:tc>
          <w:tcPr>
            <w:tcW w:w="4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NM</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1,603.8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922.2</w:t>
            </w:r>
          </w:p>
        </w:tc>
        <w:tc>
          <w:tcPr>
            <w:tcW w:w="8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76"/>
              </w:rPr>
              <w:t>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420"/>
              <w:spacing w:after="0"/>
              <w:rPr>
                <w:sz w:val="20"/>
                <w:szCs w:val="20"/>
                <w:color w:val="auto"/>
              </w:rPr>
            </w:pPr>
            <w:r>
              <w:rPr>
                <w:rFonts w:ascii="Arial" w:cs="Arial" w:eastAsia="Arial" w:hAnsi="Arial"/>
                <w:sz w:val="14"/>
                <w:szCs w:val="14"/>
                <w:color w:val="auto"/>
              </w:rPr>
              <w:t>Total revenues by geography</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5"/>
              </w:rPr>
              <w:t>1,304.7</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829.9</w:t>
            </w:r>
          </w:p>
        </w:tc>
        <w:tc>
          <w:tcPr>
            <w:tcW w:w="158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57%</w:t>
            </w:r>
          </w:p>
        </w:tc>
        <w:tc>
          <w:tcPr>
            <w:tcW w:w="3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3,639.6</w:t>
            </w: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w w:val="89"/>
              </w:rPr>
              <w:t>2,725.5</w:t>
            </w:r>
          </w:p>
        </w:tc>
        <w:tc>
          <w:tcPr>
            <w:tcW w:w="980" w:type="dxa"/>
            <w:vAlign w:val="bottom"/>
            <w:gridSpan w:val="2"/>
          </w:tcPr>
          <w:p>
            <w:pPr>
              <w:ind w:left="720"/>
              <w:spacing w:after="0" w:line="155" w:lineRule="exact"/>
              <w:rPr>
                <w:sz w:val="20"/>
                <w:szCs w:val="20"/>
                <w:color w:val="auto"/>
              </w:rPr>
            </w:pPr>
            <w:r>
              <w:rPr>
                <w:rFonts w:ascii="Arial" w:cs="Arial" w:eastAsia="Arial" w:hAnsi="Arial"/>
                <w:sz w:val="14"/>
                <w:szCs w:val="14"/>
                <w:color w:val="auto"/>
                <w:w w:val="85"/>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NM = not meaningful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Theatrical</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Worldwide theatrical revenues increased $278.3 million to $490.0 million in the third quarter of 2007. Domestic revenues increased $78.8 million driven primarily by the July 2007 release of Transformers which generated revenues of $160.0 million. Current quarter theatrical releases, five in total, generated $92.1 million in incremental revenues driven by the number and mix of titles released including </w:t>
      </w:r>
      <w:r>
        <w:rPr>
          <w:rFonts w:ascii="Arial" w:cs="Arial" w:eastAsia="Arial" w:hAnsi="Arial"/>
          <w:sz w:val="16"/>
          <w:szCs w:val="16"/>
          <w:i w:val="1"/>
          <w:iCs w:val="1"/>
          <w:color w:val="auto"/>
        </w:rPr>
        <w:t>Transformers, Stardust, Hot Rod, An Arctic Tale</w:t>
      </w:r>
      <w:r>
        <w:rPr>
          <w:rFonts w:ascii="Arial" w:cs="Arial" w:eastAsia="Arial" w:hAnsi="Arial"/>
          <w:sz w:val="16"/>
          <w:szCs w:val="16"/>
          <w:color w:val="auto"/>
        </w:rPr>
        <w:t xml:space="preserve"> and </w:t>
      </w:r>
      <w:r>
        <w:rPr>
          <w:rFonts w:ascii="Arial" w:cs="Arial" w:eastAsia="Arial" w:hAnsi="Arial"/>
          <w:sz w:val="16"/>
          <w:szCs w:val="16"/>
          <w:i w:val="1"/>
          <w:iCs w:val="1"/>
          <w:color w:val="auto"/>
        </w:rPr>
        <w:t>Into the Wild</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World Trade Center, Barnyard, Jackass Number Two</w:t>
      </w:r>
      <w:r>
        <w:rPr>
          <w:rFonts w:ascii="Arial" w:cs="Arial" w:eastAsia="Arial" w:hAnsi="Arial"/>
          <w:sz w:val="16"/>
          <w:szCs w:val="16"/>
          <w:color w:val="auto"/>
        </w:rPr>
        <w:t xml:space="preserve"> and </w:t>
      </w:r>
      <w:r>
        <w:rPr>
          <w:rFonts w:ascii="Arial" w:cs="Arial" w:eastAsia="Arial" w:hAnsi="Arial"/>
          <w:sz w:val="16"/>
          <w:szCs w:val="16"/>
          <w:i w:val="1"/>
          <w:iCs w:val="1"/>
          <w:color w:val="auto"/>
        </w:rPr>
        <w:t>Last Kiss</w:t>
      </w:r>
      <w:r>
        <w:rPr>
          <w:rFonts w:ascii="Arial" w:cs="Arial" w:eastAsia="Arial" w:hAnsi="Arial"/>
          <w:sz w:val="16"/>
          <w:szCs w:val="16"/>
          <w:color w:val="auto"/>
        </w:rPr>
        <w:t xml:space="preserve"> released during the third quarter of 2006. These increases were partially offset by a $13.3 million decline in revenues from films released in previous quarters, most notably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compared to </w:t>
      </w:r>
      <w:r>
        <w:rPr>
          <w:rFonts w:ascii="Arial" w:cs="Arial" w:eastAsia="Arial" w:hAnsi="Arial"/>
          <w:sz w:val="16"/>
          <w:szCs w:val="16"/>
          <w:i w:val="1"/>
          <w:iCs w:val="1"/>
          <w:color w:val="auto"/>
        </w:rPr>
        <w:t>Over the Hedge, Nacho Libre</w:t>
      </w:r>
      <w:r>
        <w:rPr>
          <w:rFonts w:ascii="Arial" w:cs="Arial" w:eastAsia="Arial" w:hAnsi="Arial"/>
          <w:sz w:val="16"/>
          <w:szCs w:val="16"/>
          <w:color w:val="auto"/>
        </w:rPr>
        <w:t xml:space="preserve"> and An </w:t>
      </w:r>
      <w:r>
        <w:rPr>
          <w:rFonts w:ascii="Arial" w:cs="Arial" w:eastAsia="Arial" w:hAnsi="Arial"/>
          <w:sz w:val="16"/>
          <w:szCs w:val="16"/>
          <w:i w:val="1"/>
          <w:iCs w:val="1"/>
          <w:color w:val="auto"/>
        </w:rPr>
        <w:t>Inconvenient Truth</w:t>
      </w:r>
      <w:r>
        <w:rPr>
          <w:rFonts w:ascii="Arial" w:cs="Arial" w:eastAsia="Arial" w:hAnsi="Arial"/>
          <w:sz w:val="16"/>
          <w:szCs w:val="16"/>
          <w:color w:val="auto"/>
        </w:rPr>
        <w:t>, released in the second quarter of 2006. International theatrical revenues increased $199.5 million primarily driven by</w:t>
      </w:r>
      <w:r>
        <w:rPr>
          <w:rFonts w:ascii="Arial" w:cs="Arial" w:eastAsia="Arial" w:hAnsi="Arial"/>
          <w:sz w:val="16"/>
          <w:szCs w:val="16"/>
          <w:i w:val="1"/>
          <w:iCs w:val="1"/>
          <w:color w:val="auto"/>
        </w:rPr>
        <w:t xml:space="preserve"> Transformers </w:t>
      </w:r>
      <w:r>
        <w:rPr>
          <w:rFonts w:ascii="Arial" w:cs="Arial" w:eastAsia="Arial" w:hAnsi="Arial"/>
          <w:sz w:val="16"/>
          <w:szCs w:val="16"/>
          <w:color w:val="auto"/>
        </w:rPr>
        <w:t>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generated $164.2 million in international revenues. In addition, distribution revenue from DreamWorks Animation’s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was $54.3 million higher than </w:t>
      </w:r>
      <w:r>
        <w:rPr>
          <w:rFonts w:ascii="Arial" w:cs="Arial" w:eastAsia="Arial" w:hAnsi="Arial"/>
          <w:sz w:val="16"/>
          <w:szCs w:val="16"/>
          <w:i w:val="1"/>
          <w:iCs w:val="1"/>
          <w:color w:val="auto"/>
        </w:rPr>
        <w:t>Over the Hedge</w:t>
      </w:r>
      <w:r>
        <w:rPr>
          <w:rFonts w:ascii="Arial" w:cs="Arial" w:eastAsia="Arial" w:hAnsi="Arial"/>
          <w:sz w:val="16"/>
          <w:szCs w:val="16"/>
          <w:color w:val="auto"/>
        </w:rPr>
        <w:t xml:space="preserve"> and </w:t>
      </w:r>
      <w:r>
        <w:rPr>
          <w:rFonts w:ascii="Arial" w:cs="Arial" w:eastAsia="Arial" w:hAnsi="Arial"/>
          <w:sz w:val="16"/>
          <w:szCs w:val="16"/>
          <w:i w:val="1"/>
          <w:iCs w:val="1"/>
          <w:color w:val="auto"/>
        </w:rPr>
        <w:t>Wallace and Gromit</w:t>
      </w:r>
      <w:r>
        <w:rPr>
          <w:rFonts w:ascii="Arial" w:cs="Arial" w:eastAsia="Arial" w:hAnsi="Arial"/>
          <w:sz w:val="16"/>
          <w:szCs w:val="16"/>
          <w:color w:val="auto"/>
        </w:rPr>
        <w:t xml:space="preserve">: </w:t>
      </w:r>
      <w:r>
        <w:rPr>
          <w:rFonts w:ascii="Arial" w:cs="Arial" w:eastAsia="Arial" w:hAnsi="Arial"/>
          <w:sz w:val="16"/>
          <w:szCs w:val="16"/>
          <w:i w:val="1"/>
          <w:iCs w:val="1"/>
          <w:color w:val="auto"/>
        </w:rPr>
        <w:t>Curse of the Were-Rabbit</w:t>
      </w:r>
      <w:r>
        <w:rPr>
          <w:rFonts w:ascii="Arial" w:cs="Arial" w:eastAsia="Arial" w:hAnsi="Arial"/>
          <w:sz w:val="16"/>
          <w:szCs w:val="16"/>
          <w:color w:val="auto"/>
        </w:rPr>
        <w:t xml:space="preserve"> in the third quarter of 2006.</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Worldwide theatrical revenues for the nine months ended September 30, 2007 increased 82% to $1.19 billion. We released seventeen films in the nine months ended September 30, 2007 compared to thirteen films last year. Domestic revenues increased $238.8 million primarily due to the number and mix of theatrical releases. </w:t>
      </w:r>
      <w:r>
        <w:rPr>
          <w:rFonts w:ascii="Arial" w:cs="Arial" w:eastAsia="Arial" w:hAnsi="Arial"/>
          <w:sz w:val="16"/>
          <w:szCs w:val="16"/>
          <w:i w:val="1"/>
          <w:iCs w:val="1"/>
          <w:color w:val="auto"/>
        </w:rPr>
        <w:t>Transformers, Blades of Glory, Norbit, Disturbia</w:t>
      </w:r>
      <w:r>
        <w:rPr>
          <w:rFonts w:ascii="Arial" w:cs="Arial" w:eastAsia="Arial" w:hAnsi="Arial"/>
          <w:sz w:val="16"/>
          <w:szCs w:val="16"/>
          <w:color w:val="auto"/>
        </w:rPr>
        <w:t xml:space="preserve"> and </w:t>
      </w:r>
      <w:r>
        <w:rPr>
          <w:rFonts w:ascii="Arial" w:cs="Arial" w:eastAsia="Arial" w:hAnsi="Arial"/>
          <w:sz w:val="16"/>
          <w:szCs w:val="16"/>
          <w:i w:val="1"/>
          <w:iCs w:val="1"/>
          <w:color w:val="auto"/>
        </w:rPr>
        <w:t>Shooter</w:t>
      </w:r>
      <w:r>
        <w:rPr>
          <w:rFonts w:ascii="Arial" w:cs="Arial" w:eastAsia="Arial" w:hAnsi="Arial"/>
          <w:sz w:val="16"/>
          <w:szCs w:val="16"/>
          <w:color w:val="auto"/>
        </w:rPr>
        <w:t xml:space="preserve"> contributed incremental revenues of $110.9 million compared to last year’s releases </w:t>
      </w:r>
      <w:r>
        <w:rPr>
          <w:rFonts w:ascii="Arial" w:cs="Arial" w:eastAsia="Arial" w:hAnsi="Arial"/>
          <w:sz w:val="16"/>
          <w:szCs w:val="16"/>
          <w:i w:val="1"/>
          <w:iCs w:val="1"/>
          <w:color w:val="auto"/>
        </w:rPr>
        <w:t xml:space="preserve">Mission: Impossible III, Nacho Libre, Failure to Launch, World Trade Center </w:t>
      </w:r>
      <w:r>
        <w:rPr>
          <w:rFonts w:ascii="Arial" w:cs="Arial" w:eastAsia="Arial" w:hAnsi="Arial"/>
          <w:sz w:val="16"/>
          <w:szCs w:val="16"/>
          <w:color w:val="auto"/>
        </w:rPr>
        <w:t>and</w:t>
      </w:r>
      <w:r>
        <w:rPr>
          <w:rFonts w:ascii="Arial" w:cs="Arial" w:eastAsia="Arial" w:hAnsi="Arial"/>
          <w:sz w:val="16"/>
          <w:szCs w:val="16"/>
          <w:i w:val="1"/>
          <w:iCs w:val="1"/>
          <w:color w:val="auto"/>
        </w:rPr>
        <w:t xml:space="preserve"> Barnyard</w:t>
      </w:r>
      <w:r>
        <w:rPr>
          <w:rFonts w:ascii="Arial" w:cs="Arial" w:eastAsia="Arial" w:hAnsi="Arial"/>
          <w:sz w:val="16"/>
          <w:szCs w:val="16"/>
          <w:color w:val="auto"/>
        </w:rPr>
        <w:t>. Distribution of DreamWorks Animation’s</w:t>
      </w:r>
      <w:r>
        <w:rPr>
          <w:rFonts w:ascii="Arial" w:cs="Arial" w:eastAsia="Arial" w:hAnsi="Arial"/>
          <w:sz w:val="16"/>
          <w:szCs w:val="16"/>
          <w:i w:val="1"/>
          <w:iCs w:val="1"/>
          <w:color w:val="auto"/>
        </w:rPr>
        <w:t xml:space="preserve"> Shrek the Third </w:t>
      </w:r>
      <w:r>
        <w:rPr>
          <w:rFonts w:ascii="Arial" w:cs="Arial" w:eastAsia="Arial" w:hAnsi="Arial"/>
          <w:sz w:val="16"/>
          <w:szCs w:val="16"/>
          <w:color w:val="auto"/>
        </w:rPr>
        <w:t xml:space="preserve">contributed incremental revenues of $82.4 million compared to </w:t>
      </w:r>
      <w:r>
        <w:rPr>
          <w:rFonts w:ascii="Arial" w:cs="Arial" w:eastAsia="Arial" w:hAnsi="Arial"/>
          <w:sz w:val="16"/>
          <w:szCs w:val="16"/>
          <w:i w:val="1"/>
          <w:iCs w:val="1"/>
          <w:color w:val="auto"/>
        </w:rPr>
        <w:t>Over the Hedge</w:t>
      </w:r>
      <w:r>
        <w:rPr>
          <w:rFonts w:ascii="Arial" w:cs="Arial" w:eastAsia="Arial" w:hAnsi="Arial"/>
          <w:sz w:val="16"/>
          <w:szCs w:val="16"/>
          <w:color w:val="auto"/>
        </w:rPr>
        <w:t xml:space="preserve"> released last year. International revenues increased $298.7 million due principally to our release of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and distribution of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which contributed a combined $205.8 million of incremental revenues over 2006 releases </w:t>
      </w:r>
      <w:r>
        <w:rPr>
          <w:rFonts w:ascii="Arial" w:cs="Arial" w:eastAsia="Arial" w:hAnsi="Arial"/>
          <w:sz w:val="16"/>
          <w:szCs w:val="16"/>
          <w:i w:val="1"/>
          <w:iCs w:val="1"/>
          <w:color w:val="auto"/>
        </w:rPr>
        <w:t xml:space="preserve">Mission: Impossible III </w:t>
      </w:r>
      <w:r>
        <w:rPr>
          <w:rFonts w:ascii="Arial" w:cs="Arial" w:eastAsia="Arial" w:hAnsi="Arial"/>
          <w:sz w:val="16"/>
          <w:szCs w:val="16"/>
          <w:color w:val="auto"/>
        </w:rPr>
        <w:t>and</w:t>
      </w:r>
      <w:r>
        <w:rPr>
          <w:rFonts w:ascii="Arial" w:cs="Arial" w:eastAsia="Arial" w:hAnsi="Arial"/>
          <w:sz w:val="16"/>
          <w:szCs w:val="16"/>
          <w:i w:val="1"/>
          <w:iCs w:val="1"/>
          <w:color w:val="auto"/>
        </w:rPr>
        <w:t xml:space="preserve"> Over the Hedge</w:t>
      </w:r>
      <w:r>
        <w:rPr>
          <w:rFonts w:ascii="Arial" w:cs="Arial" w:eastAsia="Arial" w:hAnsi="Arial"/>
          <w:sz w:val="16"/>
          <w:szCs w:val="16"/>
          <w:color w:val="auto"/>
        </w:rPr>
        <w:t>. Other titles contributing to the increase included</w:t>
      </w:r>
      <w:r>
        <w:rPr>
          <w:rFonts w:ascii="Arial" w:cs="Arial" w:eastAsia="Arial" w:hAnsi="Arial"/>
          <w:sz w:val="16"/>
          <w:szCs w:val="16"/>
          <w:i w:val="1"/>
          <w:iCs w:val="1"/>
          <w:color w:val="auto"/>
        </w:rPr>
        <w:t xml:space="preserve"> Norbit, Dreamgirls, Charlotte’s Web </w:t>
      </w:r>
      <w:r>
        <w:rPr>
          <w:rFonts w:ascii="Arial" w:cs="Arial" w:eastAsia="Arial" w:hAnsi="Arial"/>
          <w:sz w:val="16"/>
          <w:szCs w:val="16"/>
          <w:color w:val="auto"/>
        </w:rPr>
        <w:t>and</w:t>
      </w:r>
      <w:r>
        <w:rPr>
          <w:rFonts w:ascii="Arial" w:cs="Arial" w:eastAsia="Arial" w:hAnsi="Arial"/>
          <w:sz w:val="16"/>
          <w:szCs w:val="16"/>
          <w:i w:val="1"/>
          <w:iCs w:val="1"/>
          <w:color w:val="auto"/>
        </w:rPr>
        <w:t xml:space="preserve"> Shooter</w:t>
      </w:r>
      <w:r>
        <w:rPr>
          <w:rFonts w:ascii="Arial" w:cs="Arial" w:eastAsia="Arial" w:hAnsi="Arial"/>
          <w:sz w:val="16"/>
          <w:szCs w:val="16"/>
          <w:color w:val="auto"/>
        </w:rPr>
        <w:t>, as compared to</w:t>
      </w:r>
      <w:r>
        <w:rPr>
          <w:rFonts w:ascii="Arial" w:cs="Arial" w:eastAsia="Arial" w:hAnsi="Arial"/>
          <w:sz w:val="16"/>
          <w:szCs w:val="16"/>
          <w:i w:val="1"/>
          <w:iCs w:val="1"/>
          <w:color w:val="auto"/>
        </w:rPr>
        <w:t xml:space="preserve"> Munich </w:t>
      </w:r>
      <w:r>
        <w:rPr>
          <w:rFonts w:ascii="Arial" w:cs="Arial" w:eastAsia="Arial" w:hAnsi="Arial"/>
          <w:sz w:val="16"/>
          <w:szCs w:val="16"/>
          <w:color w:val="auto"/>
        </w:rPr>
        <w:t>in the prior year, and Vantage theatrical revenues attributable to</w:t>
      </w:r>
      <w:r>
        <w:rPr>
          <w:rFonts w:ascii="Arial" w:cs="Arial" w:eastAsia="Arial" w:hAnsi="Arial"/>
          <w:sz w:val="16"/>
          <w:szCs w:val="16"/>
          <w:i w:val="1"/>
          <w:iCs w:val="1"/>
          <w:color w:val="auto"/>
        </w:rPr>
        <w:t xml:space="preserve"> Babel </w:t>
      </w:r>
      <w:r>
        <w:rPr>
          <w:rFonts w:ascii="Arial" w:cs="Arial" w:eastAsia="Arial" w:hAnsi="Arial"/>
          <w:sz w:val="16"/>
          <w:szCs w:val="16"/>
          <w:color w:val="auto"/>
        </w:rPr>
        <w:t>and</w:t>
      </w:r>
      <w:r>
        <w:rPr>
          <w:rFonts w:ascii="Arial" w:cs="Arial" w:eastAsia="Arial" w:hAnsi="Arial"/>
          <w:sz w:val="16"/>
          <w:szCs w:val="16"/>
          <w:i w:val="1"/>
          <w:iCs w:val="1"/>
          <w:color w:val="auto"/>
        </w:rPr>
        <w:t xml:space="preserve"> An Inconvenient Truth</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Entertainment</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Worldwide home entertainment revenues increased $127.5 million to $457.4 in the third quarter of 2007. Domestic home entertainment revenues increased $85.1 million primarily due to the performance of our six releases in the quarter, </w:t>
      </w:r>
      <w:r>
        <w:rPr>
          <w:rFonts w:ascii="Arial" w:cs="Arial" w:eastAsia="Arial" w:hAnsi="Arial"/>
          <w:sz w:val="16"/>
          <w:szCs w:val="16"/>
          <w:i w:val="1"/>
          <w:iCs w:val="1"/>
          <w:color w:val="auto"/>
        </w:rPr>
        <w:t>Blades of Glory, Disturbia, Zodiac, Next, Year of the Dog</w:t>
      </w:r>
      <w:r>
        <w:rPr>
          <w:rFonts w:ascii="Arial" w:cs="Arial" w:eastAsia="Arial" w:hAnsi="Arial"/>
          <w:sz w:val="16"/>
          <w:szCs w:val="16"/>
          <w:color w:val="auto"/>
        </w:rPr>
        <w:t xml:space="preserve"> and </w:t>
      </w:r>
      <w:r>
        <w:rPr>
          <w:rFonts w:ascii="Arial" w:cs="Arial" w:eastAsia="Arial" w:hAnsi="Arial"/>
          <w:sz w:val="16"/>
          <w:szCs w:val="16"/>
          <w:i w:val="1"/>
          <w:iCs w:val="1"/>
          <w:color w:val="auto"/>
        </w:rPr>
        <w:t>Perfume</w:t>
      </w:r>
      <w:r>
        <w:rPr>
          <w:rFonts w:ascii="Arial" w:cs="Arial" w:eastAsia="Arial" w:hAnsi="Arial"/>
          <w:sz w:val="16"/>
          <w:szCs w:val="16"/>
          <w:color w:val="auto"/>
        </w:rPr>
        <w:t xml:space="preserve"> compared to two releases in 2006, </w:t>
      </w:r>
      <w:r>
        <w:rPr>
          <w:rFonts w:ascii="Arial" w:cs="Arial" w:eastAsia="Arial" w:hAnsi="Arial"/>
          <w:sz w:val="16"/>
          <w:szCs w:val="16"/>
          <w:i w:val="1"/>
          <w:iCs w:val="1"/>
          <w:color w:val="auto"/>
        </w:rPr>
        <w:t>She’s the Man</w:t>
      </w:r>
      <w:r>
        <w:rPr>
          <w:rFonts w:ascii="Arial" w:cs="Arial" w:eastAsia="Arial" w:hAnsi="Arial"/>
          <w:sz w:val="16"/>
          <w:szCs w:val="16"/>
          <w:color w:val="auto"/>
        </w:rPr>
        <w:t xml:space="preserve"> and </w:t>
      </w:r>
      <w:r>
        <w:rPr>
          <w:rFonts w:ascii="Arial" w:cs="Arial" w:eastAsia="Arial" w:hAnsi="Arial"/>
          <w:sz w:val="16"/>
          <w:szCs w:val="16"/>
          <w:i w:val="1"/>
          <w:iCs w:val="1"/>
          <w:color w:val="auto"/>
        </w:rPr>
        <w:t>Ask the Dust</w:t>
      </w:r>
      <w:r>
        <w:rPr>
          <w:rFonts w:ascii="Arial" w:cs="Arial" w:eastAsia="Arial" w:hAnsi="Arial"/>
          <w:sz w:val="16"/>
          <w:szCs w:val="16"/>
          <w:color w:val="auto"/>
        </w:rPr>
        <w:t xml:space="preserve">. Additionally, the release of </w:t>
      </w:r>
      <w:r>
        <w:rPr>
          <w:rFonts w:ascii="Arial" w:cs="Arial" w:eastAsia="Arial" w:hAnsi="Arial"/>
          <w:sz w:val="16"/>
          <w:szCs w:val="16"/>
          <w:i w:val="1"/>
          <w:iCs w:val="1"/>
          <w:color w:val="auto"/>
        </w:rPr>
        <w:t>Shooter</w:t>
      </w:r>
      <w:r>
        <w:rPr>
          <w:rFonts w:ascii="Arial" w:cs="Arial" w:eastAsia="Arial" w:hAnsi="Arial"/>
          <w:sz w:val="16"/>
          <w:szCs w:val="16"/>
          <w:color w:val="auto"/>
        </w:rPr>
        <w:t xml:space="preserve"> in the second quarter of 2007 contributed to incremental revenues in the current quarter. International home entertainment revenues increased $42.4 million driven primarily by incremental revenues of $27.0 million related most notably to </w:t>
      </w:r>
      <w:r>
        <w:rPr>
          <w:rFonts w:ascii="Arial" w:cs="Arial" w:eastAsia="Arial" w:hAnsi="Arial"/>
          <w:sz w:val="16"/>
          <w:szCs w:val="16"/>
          <w:i w:val="1"/>
          <w:iCs w:val="1"/>
          <w:color w:val="auto"/>
        </w:rPr>
        <w:t>Shooter, Blades of Glory</w:t>
      </w:r>
      <w:r>
        <w:rPr>
          <w:rFonts w:ascii="Arial" w:cs="Arial" w:eastAsia="Arial" w:hAnsi="Arial"/>
          <w:sz w:val="16"/>
          <w:szCs w:val="16"/>
          <w:color w:val="auto"/>
        </w:rPr>
        <w:t xml:space="preserve"> and </w:t>
      </w:r>
      <w:r>
        <w:rPr>
          <w:rFonts w:ascii="Arial" w:cs="Arial" w:eastAsia="Arial" w:hAnsi="Arial"/>
          <w:sz w:val="16"/>
          <w:szCs w:val="16"/>
          <w:i w:val="1"/>
          <w:iCs w:val="1"/>
          <w:color w:val="auto"/>
        </w:rPr>
        <w:t>Norbit</w:t>
      </w:r>
      <w:r>
        <w:rPr>
          <w:rFonts w:ascii="Arial" w:cs="Arial" w:eastAsia="Arial" w:hAnsi="Arial"/>
          <w:sz w:val="16"/>
          <w:szCs w:val="16"/>
          <w:color w:val="auto"/>
        </w:rPr>
        <w:t xml:space="preserve"> compared to </w:t>
      </w:r>
      <w:r>
        <w:rPr>
          <w:rFonts w:ascii="Arial" w:cs="Arial" w:eastAsia="Arial" w:hAnsi="Arial"/>
          <w:sz w:val="16"/>
          <w:szCs w:val="16"/>
          <w:i w:val="1"/>
          <w:iCs w:val="1"/>
          <w:color w:val="auto"/>
        </w:rPr>
        <w:t>Munich</w:t>
      </w:r>
      <w:r>
        <w:rPr>
          <w:rFonts w:ascii="Arial" w:cs="Arial" w:eastAsia="Arial" w:hAnsi="Arial"/>
          <w:sz w:val="16"/>
          <w:szCs w:val="16"/>
          <w:color w:val="auto"/>
        </w:rPr>
        <w:t xml:space="preserve"> and </w:t>
      </w:r>
      <w:r>
        <w:rPr>
          <w:rFonts w:ascii="Arial" w:cs="Arial" w:eastAsia="Arial" w:hAnsi="Arial"/>
          <w:sz w:val="16"/>
          <w:szCs w:val="16"/>
          <w:i w:val="1"/>
          <w:iCs w:val="1"/>
          <w:color w:val="auto"/>
        </w:rPr>
        <w:t>Failure to Launch</w:t>
      </w:r>
      <w:r>
        <w:rPr>
          <w:rFonts w:ascii="Arial" w:cs="Arial" w:eastAsia="Arial" w:hAnsi="Arial"/>
          <w:sz w:val="16"/>
          <w:szCs w:val="16"/>
          <w:color w:val="auto"/>
        </w:rPr>
        <w:t xml:space="preserve"> last year. Additionally, catalog releases contributed $8.7 million in incremental revenue in the current year quarter.</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For the nine months ended September 30, 2007, worldwide home entertainment revenues increased $258.1 million to $1.41 billion. Domestic home entertainment revenues increased $74.6 million to $868.2 million due primarily to higher revenues of $193.1 million from current year releases such as </w:t>
      </w:r>
      <w:r>
        <w:rPr>
          <w:rFonts w:ascii="Arial" w:cs="Arial" w:eastAsia="Arial" w:hAnsi="Arial"/>
          <w:sz w:val="16"/>
          <w:szCs w:val="16"/>
          <w:i w:val="1"/>
          <w:iCs w:val="1"/>
          <w:color w:val="auto"/>
        </w:rPr>
        <w:t>Shooter, Blades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Glory, Norbit, Dreamgirls </w:t>
      </w:r>
      <w:r>
        <w:rPr>
          <w:rFonts w:ascii="Arial" w:cs="Arial" w:eastAsia="Arial" w:hAnsi="Arial"/>
          <w:sz w:val="16"/>
          <w:szCs w:val="16"/>
          <w:color w:val="auto"/>
        </w:rPr>
        <w:t>and</w:t>
      </w:r>
      <w:r>
        <w:rPr>
          <w:rFonts w:ascii="Arial" w:cs="Arial" w:eastAsia="Arial" w:hAnsi="Arial"/>
          <w:sz w:val="16"/>
          <w:szCs w:val="16"/>
          <w:i w:val="1"/>
          <w:iCs w:val="1"/>
          <w:color w:val="auto"/>
        </w:rPr>
        <w:t xml:space="preserve"> Flags of our Fathers </w:t>
      </w:r>
      <w:r>
        <w:rPr>
          <w:rFonts w:ascii="Arial" w:cs="Arial" w:eastAsia="Arial" w:hAnsi="Arial"/>
          <w:sz w:val="16"/>
          <w:szCs w:val="16"/>
          <w:color w:val="auto"/>
        </w:rPr>
        <w:t>as compared to</w:t>
      </w:r>
      <w:r>
        <w:rPr>
          <w:rFonts w:ascii="Arial" w:cs="Arial" w:eastAsia="Arial" w:hAnsi="Arial"/>
          <w:sz w:val="16"/>
          <w:szCs w:val="16"/>
          <w:i w:val="1"/>
          <w:iCs w:val="1"/>
          <w:color w:val="auto"/>
        </w:rPr>
        <w:t xml:space="preserve"> Failure to Launch, Dreamer: Inspired by A True Story, Last Holiday </w:t>
      </w:r>
      <w:r>
        <w:rPr>
          <w:rFonts w:ascii="Arial" w:cs="Arial" w:eastAsia="Arial" w:hAnsi="Arial"/>
          <w:sz w:val="16"/>
          <w:szCs w:val="16"/>
          <w:color w:val="auto"/>
        </w:rPr>
        <w:t>and</w:t>
      </w:r>
      <w:r>
        <w:rPr>
          <w:rFonts w:ascii="Arial" w:cs="Arial" w:eastAsia="Arial" w:hAnsi="Arial"/>
          <w:sz w:val="16"/>
          <w:szCs w:val="16"/>
          <w:i w:val="1"/>
          <w:iCs w:val="1"/>
          <w:color w:val="auto"/>
        </w:rPr>
        <w:t xml:space="preserve"> She’s the Man </w:t>
      </w:r>
      <w:r>
        <w:rPr>
          <w:rFonts w:ascii="Arial" w:cs="Arial" w:eastAsia="Arial" w:hAnsi="Arial"/>
          <w:sz w:val="16"/>
          <w:szCs w:val="16"/>
          <w:color w:val="auto"/>
        </w:rPr>
        <w:t>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prior year period. Incremental revenues of $93.6 million were earned on the distribution of DreamWorks Animation titles, most notably </w:t>
      </w:r>
      <w:r>
        <w:rPr>
          <w:rFonts w:ascii="Arial" w:cs="Arial" w:eastAsia="Arial" w:hAnsi="Arial"/>
          <w:sz w:val="16"/>
          <w:szCs w:val="16"/>
          <w:i w:val="1"/>
          <w:iCs w:val="1"/>
          <w:color w:val="auto"/>
        </w:rPr>
        <w:t>Flushed Away</w:t>
      </w:r>
      <w:r>
        <w:rPr>
          <w:rFonts w:ascii="Arial" w:cs="Arial" w:eastAsia="Arial" w:hAnsi="Arial"/>
          <w:sz w:val="16"/>
          <w:szCs w:val="16"/>
          <w:color w:val="auto"/>
        </w:rPr>
        <w:t xml:space="preserve"> and </w:t>
      </w:r>
      <w:r>
        <w:rPr>
          <w:rFonts w:ascii="Arial" w:cs="Arial" w:eastAsia="Arial" w:hAnsi="Arial"/>
          <w:sz w:val="16"/>
          <w:szCs w:val="16"/>
          <w:i w:val="1"/>
          <w:iCs w:val="1"/>
          <w:color w:val="auto"/>
        </w:rPr>
        <w:t>Over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Hedge. </w:t>
      </w:r>
      <w:r>
        <w:rPr>
          <w:rFonts w:ascii="Arial" w:cs="Arial" w:eastAsia="Arial" w:hAnsi="Arial"/>
          <w:sz w:val="16"/>
          <w:szCs w:val="16"/>
          <w:color w:val="auto"/>
        </w:rPr>
        <w:t>These increases were partially offset by decreases of $212.0 million primarily due to lower revenues generated from prior year releases, catalog,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acquired titles. International home entertainment revenues increased $183.5 million to $544.3 million due to an incremental $75.0 million in revenues from DreamWorks Animation titles, most notably </w:t>
      </w:r>
      <w:r>
        <w:rPr>
          <w:rFonts w:ascii="Arial" w:cs="Arial" w:eastAsia="Arial" w:hAnsi="Arial"/>
          <w:sz w:val="16"/>
          <w:szCs w:val="16"/>
          <w:i w:val="1"/>
          <w:iCs w:val="1"/>
          <w:color w:val="auto"/>
        </w:rPr>
        <w:t>Flushed Away, Over the Hedge</w:t>
      </w:r>
      <w:r>
        <w:rPr>
          <w:rFonts w:ascii="Arial" w:cs="Arial" w:eastAsia="Arial" w:hAnsi="Arial"/>
          <w:sz w:val="16"/>
          <w:szCs w:val="16"/>
          <w:color w:val="auto"/>
        </w:rPr>
        <w:t xml:space="preserve"> and </w:t>
      </w:r>
      <w:r>
        <w:rPr>
          <w:rFonts w:ascii="Arial" w:cs="Arial" w:eastAsia="Arial" w:hAnsi="Arial"/>
          <w:sz w:val="16"/>
          <w:szCs w:val="16"/>
          <w:i w:val="1"/>
          <w:iCs w:val="1"/>
          <w:color w:val="auto"/>
        </w:rPr>
        <w:t>Madagascar</w:t>
      </w:r>
      <w:r>
        <w:rPr>
          <w:rFonts w:ascii="Arial" w:cs="Arial" w:eastAsia="Arial" w:hAnsi="Arial"/>
          <w:sz w:val="16"/>
          <w:szCs w:val="16"/>
          <w:color w:val="auto"/>
        </w:rPr>
        <w:t xml:space="preserve">; an incremental $49.2 million in revenues from current period releases, including </w:t>
      </w:r>
      <w:r>
        <w:rPr>
          <w:rFonts w:ascii="Arial" w:cs="Arial" w:eastAsia="Arial" w:hAnsi="Arial"/>
          <w:sz w:val="16"/>
          <w:szCs w:val="16"/>
          <w:i w:val="1"/>
          <w:iCs w:val="1"/>
          <w:color w:val="auto"/>
        </w:rPr>
        <w:t>Shooter, Dreamgirls, Norbit, Blades of Glory</w:t>
      </w:r>
      <w:r>
        <w:rPr>
          <w:rFonts w:ascii="Arial" w:cs="Arial" w:eastAsia="Arial" w:hAnsi="Arial"/>
          <w:sz w:val="16"/>
          <w:szCs w:val="16"/>
          <w:color w:val="auto"/>
        </w:rPr>
        <w:t xml:space="preserve"> and </w:t>
      </w:r>
      <w:r>
        <w:rPr>
          <w:rFonts w:ascii="Arial" w:cs="Arial" w:eastAsia="Arial" w:hAnsi="Arial"/>
          <w:sz w:val="16"/>
          <w:szCs w:val="16"/>
          <w:i w:val="1"/>
          <w:iCs w:val="1"/>
          <w:color w:val="auto"/>
        </w:rPr>
        <w:t>Freedom Writers</w:t>
      </w:r>
      <w:r>
        <w:rPr>
          <w:rFonts w:ascii="Arial" w:cs="Arial" w:eastAsia="Arial" w:hAnsi="Arial"/>
          <w:sz w:val="16"/>
          <w:szCs w:val="16"/>
          <w:color w:val="auto"/>
        </w:rPr>
        <w:t xml:space="preserve"> compared to </w:t>
      </w:r>
      <w:r>
        <w:rPr>
          <w:rFonts w:ascii="Arial" w:cs="Arial" w:eastAsia="Arial" w:hAnsi="Arial"/>
          <w:sz w:val="16"/>
          <w:szCs w:val="16"/>
          <w:i w:val="1"/>
          <w:iCs w:val="1"/>
          <w:color w:val="auto"/>
        </w:rPr>
        <w:t>Munich</w:t>
      </w:r>
      <w:r>
        <w:rPr>
          <w:rFonts w:ascii="Arial" w:cs="Arial" w:eastAsia="Arial" w:hAnsi="Arial"/>
          <w:sz w:val="16"/>
          <w:szCs w:val="16"/>
          <w:color w:val="auto"/>
        </w:rPr>
        <w:t xml:space="preserve"> and </w:t>
      </w:r>
      <w:r>
        <w:rPr>
          <w:rFonts w:ascii="Arial" w:cs="Arial" w:eastAsia="Arial" w:hAnsi="Arial"/>
          <w:sz w:val="16"/>
          <w:szCs w:val="16"/>
          <w:i w:val="1"/>
          <w:iCs w:val="1"/>
          <w:color w:val="auto"/>
        </w:rPr>
        <w:t>Failure to Launch</w:t>
      </w:r>
      <w:r>
        <w:rPr>
          <w:rFonts w:ascii="Arial" w:cs="Arial" w:eastAsia="Arial" w:hAnsi="Arial"/>
          <w:sz w:val="16"/>
          <w:szCs w:val="16"/>
          <w:color w:val="auto"/>
        </w:rPr>
        <w:t xml:space="preserve"> among other 2006 releases; and an incremental $48.4 million due to titles released last year, such as </w:t>
      </w:r>
      <w:r>
        <w:rPr>
          <w:rFonts w:ascii="Arial" w:cs="Arial" w:eastAsia="Arial" w:hAnsi="Arial"/>
          <w:sz w:val="16"/>
          <w:szCs w:val="16"/>
          <w:i w:val="1"/>
          <w:iCs w:val="1"/>
          <w:color w:val="auto"/>
        </w:rPr>
        <w:t>World Trade Center</w:t>
      </w:r>
      <w:r>
        <w:rPr>
          <w:rFonts w:ascii="Arial" w:cs="Arial" w:eastAsia="Arial" w:hAnsi="Arial"/>
          <w:sz w:val="16"/>
          <w:szCs w:val="16"/>
          <w:color w:val="auto"/>
        </w:rPr>
        <w:t xml:space="preserve"> and </w:t>
      </w:r>
      <w:r>
        <w:rPr>
          <w:rFonts w:ascii="Arial" w:cs="Arial" w:eastAsia="Arial" w:hAnsi="Arial"/>
          <w:sz w:val="16"/>
          <w:szCs w:val="16"/>
          <w:i w:val="1"/>
          <w:iCs w:val="1"/>
          <w:color w:val="auto"/>
        </w:rPr>
        <w:t>Charlotte’s Web</w:t>
      </w:r>
      <w:r>
        <w:rPr>
          <w:rFonts w:ascii="Arial" w:cs="Arial" w:eastAsia="Arial" w:hAnsi="Arial"/>
          <w:sz w:val="16"/>
          <w:szCs w:val="16"/>
          <w:color w:val="auto"/>
        </w:rPr>
        <w:t xml:space="preserve"> compared to the impact of 2005 releases </w:t>
      </w:r>
      <w:r>
        <w:rPr>
          <w:rFonts w:ascii="Arial" w:cs="Arial" w:eastAsia="Arial" w:hAnsi="Arial"/>
          <w:sz w:val="16"/>
          <w:szCs w:val="16"/>
          <w:i w:val="1"/>
          <w:iCs w:val="1"/>
          <w:color w:val="auto"/>
        </w:rPr>
        <w:t>Four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Brothers </w:t>
      </w:r>
      <w:r>
        <w:rPr>
          <w:rFonts w:ascii="Arial" w:cs="Arial" w:eastAsia="Arial" w:hAnsi="Arial"/>
          <w:sz w:val="16"/>
          <w:szCs w:val="16"/>
          <w:color w:val="auto"/>
        </w:rPr>
        <w:t>and</w:t>
      </w:r>
      <w:r>
        <w:rPr>
          <w:rFonts w:ascii="Arial" w:cs="Arial" w:eastAsia="Arial" w:hAnsi="Arial"/>
          <w:sz w:val="16"/>
          <w:szCs w:val="16"/>
          <w:i w:val="1"/>
          <w:iCs w:val="1"/>
          <w:color w:val="auto"/>
        </w:rPr>
        <w:t xml:space="preserve"> Aeon Flux </w:t>
      </w:r>
      <w:r>
        <w:rPr>
          <w:rFonts w:ascii="Arial" w:cs="Arial" w:eastAsia="Arial" w:hAnsi="Arial"/>
          <w:sz w:val="16"/>
          <w:szCs w:val="16"/>
          <w:color w:val="auto"/>
        </w:rPr>
        <w:t>in 2006.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License Fees</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Worldwide television license fees increased 19% to $294.5 million in the third quarter of 2007 primarily due to an increase in international syndicated television license fees and a growth in network license fees of $76.0 million due to a favorable mix and availability of titles in the current quarter including </w:t>
      </w:r>
      <w:r>
        <w:rPr>
          <w:rFonts w:ascii="Arial" w:cs="Arial" w:eastAsia="Arial" w:hAnsi="Arial"/>
          <w:sz w:val="16"/>
          <w:szCs w:val="16"/>
          <w:i w:val="1"/>
          <w:iCs w:val="1"/>
          <w:color w:val="auto"/>
        </w:rPr>
        <w:t>Lemony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Snicket’s A Series of Unfortunate Events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Ring Two</w:t>
      </w:r>
      <w:r>
        <w:rPr>
          <w:rFonts w:ascii="Arial" w:cs="Arial" w:eastAsia="Arial" w:hAnsi="Arial"/>
          <w:sz w:val="16"/>
          <w:szCs w:val="16"/>
          <w:color w:val="auto"/>
        </w:rPr>
        <w:t>, as compared to the third quarter of 2006. These increases were partially offset by a decrease in pay</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revenues of $32.4 million driven by fewer titles available in the current quarter versus the prior year quarter.</w:t>
      </w:r>
    </w:p>
    <w:p>
      <w:pPr>
        <w:spacing w:after="0" w:line="11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the nine months ended September 30, 2007, television license fees increased 12%, or $97.1 million. The DreamWorks acquisition contributed $30.9 million of incremental revenue in January 2007. The remaining increase is primarily attributable to an increase in syndicated license fees and network license fees of $186.7 million offset by a decline in pay television revenues of $99.1 million. Both fluctuations were due to the timing and mix of products available.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Ancillary revenues increased 52% to $62.8 million and 18% to $142.6 million for the quarter and nine months ended September 30, 2007, respectively, primarily due to higher licensing and merchandising revenues, principally related to </w:t>
      </w:r>
      <w:r>
        <w:rPr>
          <w:rFonts w:ascii="Arial" w:cs="Arial" w:eastAsia="Arial" w:hAnsi="Arial"/>
          <w:sz w:val="18"/>
          <w:szCs w:val="18"/>
          <w:i w:val="1"/>
          <w:iCs w:val="1"/>
          <w:color w:val="auto"/>
        </w:rPr>
        <w:t>Transformers</w:t>
      </w:r>
      <w:r>
        <w:rPr>
          <w:rFonts w:ascii="Arial" w:cs="Arial" w:eastAsia="Arial" w:hAnsi="Arial"/>
          <w:sz w:val="18"/>
          <w:szCs w:val="18"/>
          <w:color w:val="auto"/>
        </w:rPr>
        <w: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Income/(Loss)</w:t>
      </w:r>
    </w:p>
    <w:p>
      <w:pPr>
        <w:spacing w:after="0" w:line="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Filmed Entertainment segment expenses principally consist of the amortization of feature film costs based on an ultimate revenue forecast model; costs incurred for print and advertising of our feature films and expenses in connection with our distribution of DreamWorks Animation films and DreamWorks live-action library films; and general and administrative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Quarter Ended</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Expenses and Operating Income/(Loss)</w:t>
            </w:r>
          </w:p>
        </w:tc>
        <w:tc>
          <w:tcPr>
            <w:tcW w:w="60" w:type="dxa"/>
            <w:vAlign w:val="bottom"/>
          </w:tcPr>
          <w:p>
            <w:pPr>
              <w:spacing w:after="0"/>
              <w:rPr>
                <w:sz w:val="14"/>
                <w:szCs w:val="14"/>
                <w:color w:val="auto"/>
              </w:rPr>
            </w:pPr>
          </w:p>
        </w:tc>
        <w:tc>
          <w:tcPr>
            <w:tcW w:w="16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Better/(Worse)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Better/(Worse)</w:t>
            </w: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460" w:type="dxa"/>
            <w:vAlign w:val="bottom"/>
          </w:tcPr>
          <w:p>
            <w:pPr>
              <w:spacing w:after="0"/>
              <w:rPr>
                <w:sz w:val="12"/>
                <w:szCs w:val="12"/>
                <w:color w:val="auto"/>
              </w:rPr>
            </w:pPr>
          </w:p>
        </w:tc>
        <w:tc>
          <w:tcPr>
            <w:tcW w:w="8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2007 vs. 2006</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2007 vs.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420"/>
              <w:spacing w:after="0" w:line="149" w:lineRule="exact"/>
              <w:rPr>
                <w:sz w:val="20"/>
                <w:szCs w:val="20"/>
                <w:color w:val="auto"/>
              </w:rPr>
            </w:pPr>
            <w:r>
              <w:rPr>
                <w:rFonts w:ascii="Arial" w:cs="Arial" w:eastAsia="Arial" w:hAnsi="Arial"/>
                <w:sz w:val="14"/>
                <w:szCs w:val="14"/>
                <w:color w:val="auto"/>
              </w:rPr>
              <w:t>Operating expenses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1,086.5</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5"/>
              </w:rPr>
              <w:t>716.2</w:t>
            </w:r>
          </w:p>
        </w:tc>
        <w:tc>
          <w:tcPr>
            <w:tcW w:w="122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(52)%</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392"/>
              <w:spacing w:after="0" w:line="149" w:lineRule="exact"/>
              <w:rPr>
                <w:sz w:val="20"/>
                <w:szCs w:val="20"/>
                <w:color w:val="auto"/>
              </w:rPr>
            </w:pPr>
            <w:r>
              <w:rPr>
                <w:rFonts w:ascii="Arial" w:cs="Arial" w:eastAsia="Arial" w:hAnsi="Arial"/>
                <w:sz w:val="14"/>
                <w:szCs w:val="14"/>
                <w:b w:val="1"/>
                <w:bCs w:val="1"/>
                <w:color w:val="auto"/>
                <w:w w:val="81"/>
              </w:rPr>
              <w:t>3,265.6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2,342.0</w:t>
            </w:r>
          </w:p>
        </w:tc>
        <w:tc>
          <w:tcPr>
            <w:tcW w:w="1440" w:type="dxa"/>
            <w:vAlign w:val="bottom"/>
            <w:gridSpan w:val="3"/>
          </w:tcPr>
          <w:p>
            <w:pPr>
              <w:ind w:left="1100"/>
              <w:spacing w:after="0" w:line="149" w:lineRule="exact"/>
              <w:rPr>
                <w:sz w:val="20"/>
                <w:szCs w:val="20"/>
                <w:color w:val="auto"/>
              </w:rPr>
            </w:pPr>
            <w:r>
              <w:rPr>
                <w:rFonts w:ascii="Arial" w:cs="Arial" w:eastAsia="Arial" w:hAnsi="Arial"/>
                <w:sz w:val="14"/>
                <w:szCs w:val="14"/>
                <w:color w:val="auto"/>
                <w:w w:val="85"/>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&amp; administration</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119.4</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99.4</w:t>
            </w:r>
          </w:p>
        </w:tc>
        <w:tc>
          <w:tcPr>
            <w:tcW w:w="122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316.5</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277.2</w:t>
            </w:r>
          </w:p>
        </w:tc>
        <w:tc>
          <w:tcPr>
            <w:tcW w:w="1440" w:type="dxa"/>
            <w:vAlign w:val="bottom"/>
            <w:gridSpan w:val="3"/>
            <w:shd w:val="clear" w:color="auto" w:fill="CCEEFF"/>
          </w:tcPr>
          <w:p>
            <w:pPr>
              <w:ind w:left="1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&amp; amortization</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460" w:type="dxa"/>
            <w:vAlign w:val="bottom"/>
          </w:tcPr>
          <w:p>
            <w:pPr>
              <w:spacing w:after="0"/>
              <w:rPr>
                <w:sz w:val="12"/>
                <w:szCs w:val="12"/>
                <w:color w:val="auto"/>
              </w:rPr>
            </w:pPr>
          </w:p>
        </w:tc>
        <w:tc>
          <w:tcPr>
            <w:tcW w:w="122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92"/>
              <w:spacing w:after="0" w:line="149" w:lineRule="exact"/>
              <w:rPr>
                <w:sz w:val="20"/>
                <w:szCs w:val="20"/>
                <w:color w:val="auto"/>
              </w:rPr>
            </w:pPr>
            <w:r>
              <w:rPr>
                <w:rFonts w:ascii="Arial" w:cs="Arial" w:eastAsia="Arial" w:hAnsi="Arial"/>
                <w:sz w:val="14"/>
                <w:szCs w:val="14"/>
                <w:b w:val="1"/>
                <w:bCs w:val="1"/>
                <w:color w:val="auto"/>
              </w:rPr>
              <w:t>71.9</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1440" w:type="dxa"/>
            <w:vAlign w:val="bottom"/>
            <w:gridSpan w:val="3"/>
          </w:tcPr>
          <w:p>
            <w:pPr>
              <w:ind w:left="11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1,233.0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837.7</w:t>
            </w:r>
          </w:p>
        </w:tc>
        <w:tc>
          <w:tcPr>
            <w:tcW w:w="4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(47)%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86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w w:val="81"/>
              </w:rPr>
              <w:t>3,654.0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2,677.6</w:t>
            </w:r>
          </w:p>
        </w:tc>
        <w:tc>
          <w:tcPr>
            <w:tcW w:w="1440" w:type="dxa"/>
            <w:vAlign w:val="bottom"/>
            <w:gridSpan w:val="3"/>
            <w:shd w:val="clear" w:color="auto" w:fill="CCEEFF"/>
          </w:tcPr>
          <w:p>
            <w:pPr>
              <w:ind w:left="1100"/>
              <w:spacing w:after="0" w:line="149" w:lineRule="exact"/>
              <w:rPr>
                <w:sz w:val="20"/>
                <w:szCs w:val="20"/>
                <w:color w:val="auto"/>
              </w:rPr>
            </w:pPr>
            <w:r>
              <w:rPr>
                <w:rFonts w:ascii="Arial" w:cs="Arial" w:eastAsia="Arial" w:hAnsi="Arial"/>
                <w:sz w:val="14"/>
                <w:szCs w:val="14"/>
                <w:color w:val="auto"/>
                <w:w w:val="85"/>
              </w:rPr>
              <w:t>(36)%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income/(loss)</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71.7</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(7.8)</w:t>
            </w:r>
          </w:p>
        </w:tc>
        <w:tc>
          <w:tcPr>
            <w:tcW w:w="122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NM</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352"/>
              <w:spacing w:after="0" w:line="155" w:lineRule="exact"/>
              <w:rPr>
                <w:sz w:val="20"/>
                <w:szCs w:val="20"/>
                <w:color w:val="auto"/>
              </w:rPr>
            </w:pPr>
            <w:r>
              <w:rPr>
                <w:rFonts w:ascii="Arial" w:cs="Arial" w:eastAsia="Arial" w:hAnsi="Arial"/>
                <w:sz w:val="14"/>
                <w:szCs w:val="14"/>
                <w:b w:val="1"/>
                <w:bCs w:val="1"/>
                <w:color w:val="auto"/>
              </w:rPr>
              <w:t>(14.4)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47.9</w:t>
            </w:r>
          </w:p>
        </w:tc>
        <w:tc>
          <w:tcPr>
            <w:tcW w:w="420" w:type="dxa"/>
            <w:vAlign w:val="bottom"/>
          </w:tcPr>
          <w:p>
            <w:pPr>
              <w:spacing w:after="0"/>
              <w:rPr>
                <w:sz w:val="13"/>
                <w:szCs w:val="13"/>
                <w:color w:val="auto"/>
              </w:rPr>
            </w:pP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0"/>
        <w:spacing w:after="0"/>
        <w:rPr>
          <w:sz w:val="20"/>
          <w:szCs w:val="20"/>
          <w:color w:val="auto"/>
        </w:rPr>
      </w:pPr>
      <w:r>
        <w:rPr>
          <w:rFonts w:ascii="Arial" w:cs="Arial" w:eastAsia="Arial" w:hAnsi="Arial"/>
          <w:sz w:val="14"/>
          <w:szCs w:val="14"/>
          <w:color w:val="auto"/>
        </w:rPr>
        <w:t>NM = not meaningful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Operating expenses principally include the amortization of production costs of our released feature films, print and advertising expenses and distribution costs. In the third quarter of 2007, operating expenses increased $370.3 million, or 52%, to $1.09 billion in line with revenues, primarily as a result of higher feature film amortization expense of $233.8 million, and distribution-related costs of $141.8 million. The increase in distribution-related costs principally reflects higher print and advertising costs, primarily driven by the mix and timing of our third quarter 2007 theatrical and home entertainment releases including the July 2007 theatrical release of </w:t>
      </w:r>
      <w:r>
        <w:rPr>
          <w:rFonts w:ascii="Arial" w:cs="Arial" w:eastAsia="Arial" w:hAnsi="Arial"/>
          <w:sz w:val="18"/>
          <w:szCs w:val="18"/>
          <w:i w:val="1"/>
          <w:iCs w:val="1"/>
          <w:color w:val="auto"/>
        </w:rPr>
        <w:t>Transformers</w:t>
      </w:r>
      <w:r>
        <w:rPr>
          <w:rFonts w:ascii="Arial" w:cs="Arial" w:eastAsia="Arial" w:hAnsi="Arial"/>
          <w:sz w:val="18"/>
          <w:szCs w:val="18"/>
          <w:color w:val="auto"/>
        </w:rPr>
        <w:t>.</w:t>
      </w:r>
    </w:p>
    <w:p>
      <w:pPr>
        <w:spacing w:after="0" w:line="14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For the nine months ended September 30, 2007, operating expenses increased $923.6 million, or 39%, to $3.27 billion. The increase reflects revenue growth of 34%, higher feature film amortization expense of $474.7 million, and increased distribution-related costs of $457.0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Selling, general and administrative expenses consist primarily of overhead costs. SG&amp;A expenses increased $20.0 million and $39.3 million for the quarter and nine months ended September 30, 2007, respectively. The increase in the quarter and nine months ended September 30, 2007 was primarily attributable to costs associated with new business initiatives at Paramount.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Depreciation and amortization expense includes depreciation on fixed assets and amortization of acquired intangibles, including acquired distribution rights, principally associated with the DreamWorks acquisition. Depreciation and amortization for the quarter and nine months ended September 30, 2007 increased $5.0 million and $13.5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Income/(Loss)</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income increased $79.5 million to a profit of $71.7 million in the third quarter of 2007 and decreased $62.3 million to a loss of $14.4 million for the nine months ended September 30, 2007. The increase during the third quarter resulted from a 57% increase in revenues and a 47% increase in expenses. Over the nine month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period, operating income decreased by $62.3 million principally due to the increase in amortization of production costs of $474.7 million and the increase in print and advertising costs of $457.0 million more than offsetting the growth in revenues of $914.1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primary source of liquidity is cash provided through the operations of our businesses. Additionally, we have sufficient access to capital markets that, together with cash flow from operations, provide us adequate resources to fund ongoing operations including investment in programming and film productions, capital expenditures and investment in new projects, including digital media, share repurchases and acquisitions.</w:t>
      </w:r>
    </w:p>
    <w:p>
      <w:pPr>
        <w:spacing w:after="0" w:line="10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principal uses of cash include the creation of new content, acquisitions of third party content, ongoing investments in our businesses, cash acquisitions of businesses, and share repurchases. We also use cash for interest and tax payments. We manage share repurchases and acquisitions with a goal of maintaining total debt levels within rating agency guidelines to maintain an investment grade credit rating. We may access external financing from time to time depending on our cash requirements, our assessments of current and anticipated market conditions and after-tax cost of capital.</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access to capital markets can be impacted by factors outside our control. Additionally, our cost to borrow is affected by market conditions and short and long-term debt ratings assigned by independent rating agencies, which are based on our performance as measured by certain credit metrics such as interest coverage and leverage ratios. Our credit ratings remain unchanged from December 31, 2006.</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that our investment grade credit rating will provide us with adequate access to capital markets given our expected cash needs. Our bank facilities are subject to one principal financial covenant, interest coverage, which we met on September 30, 2007.</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October 5, 2007, the Company sold $500 million aggregate principal amount of 6.125% senior notes due 2017 and $250 million aggregate principal amount of 6.750% senior debentures due 2037 for total cash proceeds, net of offering expenses, of $739.5 million. The Company used the net proceeds of the offering to repay amounts outstanding under its revolving credit facility and commercial paper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decreased by $332.4 million for the nine months ended September 30, 2007.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157480</wp:posOffset>
            </wp:positionV>
            <wp:extent cx="60801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Nine Months Ended</w:t>
            </w:r>
          </w:p>
        </w:tc>
      </w:tr>
      <w:tr>
        <w:trPr>
          <w:trHeight w:val="161"/>
        </w:trPr>
        <w:tc>
          <w:tcPr>
            <w:tcW w:w="7960" w:type="dxa"/>
            <w:vAlign w:val="bottom"/>
          </w:tcPr>
          <w:p>
            <w:pPr>
              <w:spacing w:after="0"/>
              <w:rPr>
                <w:sz w:val="20"/>
                <w:szCs w:val="20"/>
                <w:color w:val="auto"/>
              </w:rPr>
            </w:pPr>
            <w:r>
              <w:rPr>
                <w:rFonts w:ascii="Arial" w:cs="Arial" w:eastAsia="Arial" w:hAnsi="Arial"/>
                <w:sz w:val="14"/>
                <w:szCs w:val="14"/>
                <w:b w:val="1"/>
                <w:bCs w:val="1"/>
                <w:color w:val="auto"/>
              </w:rPr>
              <w:t>Cash Flows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2007</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76"/>
              </w:rPr>
              <w:t>2006</w:t>
            </w:r>
          </w:p>
        </w:tc>
        <w:tc>
          <w:tcPr>
            <w:tcW w:w="60" w:type="dxa"/>
            <w:vAlign w:val="bottom"/>
            <w:tcBorders>
              <w:bottom w:val="single" w:sz="8" w:color="auto"/>
            </w:tcBorders>
          </w:tcPr>
          <w:p>
            <w:pPr>
              <w:spacing w:after="0"/>
              <w:rPr>
                <w:sz w:val="12"/>
                <w:szCs w:val="12"/>
                <w:color w:val="auto"/>
              </w:rPr>
            </w:pPr>
          </w:p>
        </w:tc>
      </w:tr>
      <w:tr>
        <w:trPr>
          <w:trHeight w:val="142"/>
        </w:trPr>
        <w:tc>
          <w:tcPr>
            <w:tcW w:w="7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flow from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1,102.7</w:t>
            </w: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843.0</w:t>
            </w:r>
          </w:p>
        </w:tc>
      </w:tr>
      <w:tr>
        <w:trPr>
          <w:trHeight w:val="149"/>
        </w:trPr>
        <w:tc>
          <w:tcPr>
            <w:tcW w:w="7960" w:type="dxa"/>
            <w:vAlign w:val="bottom"/>
          </w:tcPr>
          <w:p>
            <w:pPr>
              <w:spacing w:after="0" w:line="149" w:lineRule="exact"/>
              <w:rPr>
                <w:sz w:val="20"/>
                <w:szCs w:val="20"/>
                <w:color w:val="auto"/>
              </w:rPr>
            </w:pPr>
            <w:r>
              <w:rPr>
                <w:rFonts w:ascii="Arial" w:cs="Arial" w:eastAsia="Arial" w:hAnsi="Arial"/>
                <w:sz w:val="14"/>
                <w:szCs w:val="14"/>
                <w:color w:val="auto"/>
              </w:rPr>
              <w:t>Net cash flow from (used in) investing activities</w:t>
            </w: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328.2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(680.7)</w:t>
            </w:r>
          </w:p>
        </w:tc>
      </w:tr>
      <w:tr>
        <w:trPr>
          <w:trHeight w:val="149"/>
        </w:trPr>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used in financing activities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(1,762.6)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r>
      <w:tr>
        <w:trPr>
          <w:trHeight w:val="149"/>
        </w:trPr>
        <w:tc>
          <w:tcPr>
            <w:tcW w:w="7960" w:type="dxa"/>
            <w:vAlign w:val="bottom"/>
          </w:tcPr>
          <w:p>
            <w:pPr>
              <w:spacing w:after="0" w:line="149" w:lineRule="exact"/>
              <w:rPr>
                <w:sz w:val="20"/>
                <w:szCs w:val="20"/>
                <w:color w:val="auto"/>
              </w:rPr>
            </w:pPr>
            <w:r>
              <w:rPr>
                <w:rFonts w:ascii="Arial" w:cs="Arial" w:eastAsia="Arial" w:hAnsi="Arial"/>
                <w:sz w:val="14"/>
                <w:szCs w:val="14"/>
                <w:color w:val="auto"/>
              </w:rPr>
              <w:t>Effect of exchange rate on cash</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(0.7)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w:t>
            </w:r>
          </w:p>
        </w:tc>
      </w:tr>
      <w:tr>
        <w:trPr>
          <w:trHeight w:val="27"/>
        </w:trPr>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7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(Decrease)/increase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(332.4)</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88.1</w:t>
            </w:r>
          </w:p>
        </w:tc>
      </w:tr>
      <w:tr>
        <w:trPr>
          <w:trHeight w:val="20"/>
        </w:trPr>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operating activities was $1,102.7 million in the nine months ended September 30, 2007, principally due to net earnings from continuing operations and collections on our accounts receivable of $1,084.9 million primarily offset by our continued investment in original and acquired programming and feature film production.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Cash provided by investing activities in the nine months ended September 30, 2007 was $328.2 million compared with cash used in investing activities of $680.7 million in 2006. In July 2007 we sold Famous Music for $351.7 million and in June 2007 we sold our non-controlling interest in MTV Russia for $191.1 million. These amounts were offset by $148.0 million of capital expenditures, which increased $20.4 million over the prior year due principally due to purchasing a facility to support our information technology functions. In 2006, net cash used in investing activities was $680.7 million, reflecting acquisitions, principally DreamWorks, Xfire, Inc. and Atom Entertainment, Inc., partially offset by the sale of the DreamWorks live-action library.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Cash used in financing activities for the nine months ended September 30, 2007 was $1,762.6 million, including $1,549.9 million of share repurchases. During this period, we repaid $782.2 million of debt, principally commercial paper, offset by an increase of $700.0 million of bank debt under our revolving credit facility. Additionally, in 2007, we paid a final amount of $170 million related to the special dividend to CBS Corporation. For the nine months ended September 30, 2006, the proceeds from issuance of senior notes and debentures, as well as commercial paper borrowings were substantially used to repay outstanding bank debt and repurchase stock, resulting in a net use of cash of $84.0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Structure and Financing Obligations</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September 30, 2007, total financing obligations were $7.73 billion, an increase of $82.6 million from $7.65 billion at December 31, 2006. Indebtedness at September 30, 2007 includes the issuance of a $230 million five year non-interest bearing note payable ($183.7 million, net of discount) contributed to Rhapsody America in connection with the formation of the joint venture.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At September 30, 2007, the outstanding commercial paper had a weighted average interest rate of 5.68% and average maturity of less than 30 days. The commercial paper is classified as a non-current financing obligation as the Company has the intent and ability through utilization of its $3.25 billion revolving facility due December 2010 to refinance such obligations as long-term.</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 expense on debt borrowings was $111.1 million and $114.5 million in the quarters ended September 30, 2007 and 2006, respectively. Modestly lower interest expense in the quarter reflects the receipt of proceeds from the sale of Famous Music and MTV Russia, partially offset by increased interest rates. Interest paid on borrowings during the quarter was $35.4 million. Interest expense on debt borrowings was $332.9 million and $304.2 million for the nine months ended September 30, 2007 and 2006, respectively. The increase in interest expense for the nine months reflects the increased interest rates, partially offset by lower average outstanding debt for the period. Interest paid on borrowings during the nine months ended September 30, 2007 was $259.1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further discussed in our 2006 Annual Report, the Company had in place a $3.0 billion stock repurchase program that was completed in June 2007. For the year, through completion of the program, 13.7 million shares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were repurchased in the open market under the program for an aggregate purchase price of $580.0 million. An additional 1.8 million shares were purchased under an agreement with National Amusements, Inc. (“NAI”), the Company’s controlling stockholder, for an aggregate purchase price of $75.0 million.</w:t>
      </w:r>
    </w:p>
    <w:p>
      <w:pPr>
        <w:spacing w:after="0" w:line="8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May 29, 2007, the Company’s Board of Directors approved a new stock repurchase program under which we are authorized to acquire up to $4.0 billion of Viacom Class A and Class B common stock. The independent members of the Board also approved NAI’s continued participation in the new program on substantially the same terms as those on which it participated in the previous program. This program commenced on June 22, 2007, following the completion of the $3.0 billion stock repurchase program. For the quarter and nine months ended September 30, 2007, 15.7 million and 17.4 million shares were repurchased in the open market under the new program for an aggregate purchase price of $617.4 million and $687.9 million, respectively. In addition, 2.8 million shares were purchased in July 2007 from the 401(k) plans sponsored by CBS Corporation at an aggregate price of $120.0 million. An additional 2.4 million and 2.6 million shares were purchased under the agreement with NAI for an aggregate purchase price of $94.5 million and $103.5 million, respectively, for the quarter and nine months ended September 30, 2007. For the year through October 25, 2007, the Company acquired 42.7 million shares at a weighted average price per share of $40.80 for an aggregate purchase price of $1.74 billion under both of the stock repurchase programs, including shares purchased from NAI and the 401(k) plans sponsored by CBS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Company, in the normal course of business, enters into transactions with related parties, including companies owned by or affiliated with CBS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see </w:t>
      </w:r>
      <w:r>
        <w:rPr>
          <w:rFonts w:ascii="Arial" w:cs="Arial" w:eastAsia="Arial" w:hAnsi="Arial"/>
          <w:sz w:val="18"/>
          <w:szCs w:val="18"/>
          <w:i w:val="1"/>
          <w:iCs w:val="1"/>
          <w:color w:val="auto"/>
        </w:rPr>
        <w:t>Note 8. Related Party Transactions</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quarterly report on Form 10-Q, including “Item 2. Management’s Discussion and Analysis of Results of Operations and Financial Condition,” contains both historical and forward-looking statements. All statements which are not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our current expectations concerning future results and events. Forward-looking statements generally can be identified by the use of statements that include phrases such as “believe,” “expect,” “anticipate,” “intend,” “plan,” “foresee,” “likely,” “will” or other similar words or phrases. Similarly, statements that describe our objectives, plans or goals are or may be forward-looking statements. These forward-looking statements involve known and unknown risks, uncertainties and other factors that are difficult to predict and which may cause our actual results, performance or achievements to be different from any future results, performance and achievements expressed or implied by these statements. These risks, uncertainties and other factors include, among others: advertising market conditions and developments in our markets worldwide and, in particular, for advertisements targeting demographics served by our programming services and other content outlets; the public acceptance of and ratings for our movies, cable television programs, digital services and other content; competition for advertising dollars from search and other online and wireless-based services and content providers; technological developments and their effect in our markets and on consumer behavior; our ability to successfully launch programming services and other content to new distribution platforms; changes in the Federal communications laws and regulations applicable to cable operations, including the possibility of mandatory</w:t>
      </w:r>
    </w:p>
    <w:p>
      <w:pPr>
        <w:spacing w:after="0" w:line="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 carte programming or limitation on the packaging of programming services; the impact of piracy on our programming and films; the impact of increased</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scale in parties involved in the distribution of our products and programming services to consumers; the impact of union activity, including possible work stoppages or our inability to negotiate favorable terms for contract renewals; other domestic and global economic, business, competitive and/or regulatory factors affecting our businesses generally; and other factors described in our news releases and filings with the Securities and Exchange Commission, including but not limited to our 2006 Annual Report on Form 10-K and reports on Form 10-Q and Form 8-K. The forward-looking statements included in this document are made only as of the date of this document, and, under Section 27A of the Securities Act and Section 21E of the Exchange Act, we do not have any obligation to publicly update any forward-looking statements to reflect subsequent events or circumstances.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exposed to the impact of interest rate changes, foreign currency fluctuations and changes in the market value of investments. In the normal course of business, we may employ established and prudent policies and procedures to manage our exposure principally to changes in interest rates and foreign exchange risks. The objective of such policies and procedures is to manage exposure to market risks in order to minimize the impact on earnings and cash flows. We do not enter into financial instrument transactions for speculative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7"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Our chief executive officer and chief financial officer have concluded that, as of the end of the period covered by this report, our disclosure controls and procedures (as defined in Rules 13a-15(e) or 15d-15(e) of the Securities Exchange Act of 1934, as amended (“Exchange Act”)) were effective, based on the evaluation of these controls and procedures required by Rule 13a-15(b) or 15d-15(b) of the Exchange Act.</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 change in our internal control over financial reporting occurred during our last fiscal quarter that has materially affected, or is reasonably likely to materially affect, the Company’s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Since our 2006 Annual Report, there have been no material developments in the material legal proceedings in which we are involved, except as set forth in </w:t>
      </w:r>
      <w:r>
        <w:rPr>
          <w:rFonts w:ascii="Arial" w:cs="Arial" w:eastAsia="Arial" w:hAnsi="Arial"/>
          <w:sz w:val="16"/>
          <w:szCs w:val="16"/>
          <w:i w:val="1"/>
          <w:iCs w:val="1"/>
          <w:color w:val="auto"/>
        </w:rPr>
        <w:t>Note</w:t>
      </w:r>
    </w:p>
    <w:p>
      <w:pPr>
        <w:spacing w:after="0" w:line="3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the Consolidated Financial Statements included elsewhere in this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wide range of risks may affect our business and financial results, now and in the future; however, we consider the risks described in our 2006 Annual Report to be the most significant. There may be other currently unknown or unpredictable economic, business, competitive, regulatory or other factors that could have material adverse effects on our business or future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May 30, 2007, we announced that the Company’s Board of Directors had approved a new stock repurchase program under which we are authorized to acquire up to $4.0 billion of Viacom Class A and Class B common stock. We commenced repurchases under this program in June 2007. In connection with the program, we also extended our agreement with NAI and NAIRI pursuant to which they participate in the program on a pro-rata basis designed not to increase NAIRI’s holdings of Viacom stock as a result of our purchases of shares under the program.</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provides information about our purchases under the program of equity securities that are registered under Section 12 of the Exchange Act during the quarter ended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Remaining</w:t>
            </w:r>
          </w:p>
        </w:tc>
      </w:tr>
      <w:tr>
        <w:trPr>
          <w:trHeight w:val="149"/>
        </w:trPr>
        <w:tc>
          <w:tcPr>
            <w:tcW w:w="5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Availability</w:t>
            </w:r>
          </w:p>
        </w:tc>
      </w:tr>
      <w:tr>
        <w:trPr>
          <w:trHeight w:val="161"/>
        </w:trPr>
        <w:tc>
          <w:tcPr>
            <w:tcW w:w="5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Repurchased</w:t>
            </w:r>
          </w:p>
        </w:tc>
        <w:tc>
          <w:tcPr>
            <w:tcW w:w="9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Paid per Share</w:t>
            </w: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Under Program</w:t>
            </w:r>
          </w:p>
        </w:tc>
      </w:tr>
      <w:tr>
        <w:trPr>
          <w:trHeight w:val="142"/>
        </w:trPr>
        <w:tc>
          <w:tcPr>
            <w:tcW w:w="520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86"/>
              </w:rPr>
              <w:t>(thousands)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i w:val="1"/>
                <w:iCs w:val="1"/>
                <w:color w:val="auto"/>
                <w:w w:val="98"/>
              </w:rPr>
              <w:t>(dollars)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2"/>
              <w:spacing w:after="0" w:line="142" w:lineRule="exact"/>
              <w:rPr>
                <w:sz w:val="20"/>
                <w:szCs w:val="20"/>
                <w:color w:val="auto"/>
              </w:rPr>
            </w:pPr>
            <w:r>
              <w:rPr>
                <w:rFonts w:ascii="Arial" w:cs="Arial" w:eastAsia="Arial" w:hAnsi="Arial"/>
                <w:sz w:val="14"/>
                <w:szCs w:val="14"/>
                <w:i w:val="1"/>
                <w:iCs w:val="1"/>
                <w:color w:val="auto"/>
                <w:w w:val="92"/>
              </w:rPr>
              <w:t>(millions)</w:t>
            </w:r>
          </w:p>
        </w:tc>
      </w:tr>
      <w:tr>
        <w:trPr>
          <w:trHeight w:val="149"/>
        </w:trPr>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 of June 30, 2007</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1,921.1</w:t>
            </w:r>
          </w:p>
        </w:tc>
        <w:tc>
          <w:tcPr>
            <w:tcW w:w="10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w:t>
            </w:r>
          </w:p>
        </w:tc>
      </w:tr>
      <w:tr>
        <w:trPr>
          <w:trHeight w:val="149"/>
        </w:trPr>
        <w:tc>
          <w:tcPr>
            <w:tcW w:w="5200" w:type="dxa"/>
            <w:vAlign w:val="bottom"/>
          </w:tcPr>
          <w:p>
            <w:pPr>
              <w:ind w:left="220"/>
              <w:spacing w:after="0" w:line="149" w:lineRule="exact"/>
              <w:rPr>
                <w:sz w:val="20"/>
                <w:szCs w:val="20"/>
                <w:color w:val="auto"/>
              </w:rPr>
            </w:pPr>
            <w:r>
              <w:rPr>
                <w:rFonts w:ascii="Arial" w:cs="Arial" w:eastAsia="Arial" w:hAnsi="Arial"/>
                <w:sz w:val="14"/>
                <w:szCs w:val="14"/>
                <w:color w:val="auto"/>
              </w:rPr>
              <w:t>Month ended July 31, 2007:</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5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Open market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4,825.9</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3,717.3</w:t>
            </w:r>
          </w:p>
        </w:tc>
      </w:tr>
      <w:tr>
        <w:trPr>
          <w:trHeight w:val="149"/>
        </w:trPr>
        <w:tc>
          <w:tcPr>
            <w:tcW w:w="5200" w:type="dxa"/>
            <w:vAlign w:val="bottom"/>
          </w:tcPr>
          <w:p>
            <w:pPr>
              <w:ind w:left="440"/>
              <w:spacing w:after="0" w:line="149" w:lineRule="exact"/>
              <w:rPr>
                <w:sz w:val="20"/>
                <w:szCs w:val="20"/>
                <w:color w:val="auto"/>
              </w:rPr>
            </w:pPr>
            <w:r>
              <w:rPr>
                <w:rFonts w:ascii="Arial" w:cs="Arial" w:eastAsia="Arial" w:hAnsi="Arial"/>
                <w:sz w:val="14"/>
                <w:szCs w:val="14"/>
                <w:color w:val="auto"/>
              </w:rPr>
              <w:t>Shares purchased from 401(k) plans sponsored by CBS Corporation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2,823.1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42.50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3,597.3</w:t>
            </w:r>
          </w:p>
        </w:tc>
      </w:tr>
      <w:tr>
        <w:trPr>
          <w:trHeight w:val="149"/>
        </w:trPr>
        <w:tc>
          <w:tcPr>
            <w:tcW w:w="5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NAIRI</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984.8</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41.90</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3,556.4</w:t>
            </w:r>
          </w:p>
        </w:tc>
      </w:tr>
      <w:tr>
        <w:trPr>
          <w:trHeight w:val="149"/>
        </w:trPr>
        <w:tc>
          <w:tcPr>
            <w:tcW w:w="5200" w:type="dxa"/>
            <w:vAlign w:val="bottom"/>
          </w:tcPr>
          <w:p>
            <w:pPr>
              <w:spacing w:after="0" w:line="149" w:lineRule="exact"/>
              <w:rPr>
                <w:sz w:val="20"/>
                <w:szCs w:val="20"/>
                <w:color w:val="auto"/>
              </w:rPr>
            </w:pPr>
            <w:r>
              <w:rPr>
                <w:rFonts w:ascii="Arial" w:cs="Arial" w:eastAsia="Arial" w:hAnsi="Arial"/>
                <w:sz w:val="14"/>
                <w:szCs w:val="14"/>
                <w:color w:val="auto"/>
              </w:rPr>
              <w:t>Month ended August 31, 2007:</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5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Open market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6,720.2</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3,299.5</w:t>
            </w:r>
          </w:p>
        </w:tc>
      </w:tr>
      <w:tr>
        <w:trPr>
          <w:trHeight w:val="149"/>
        </w:trPr>
        <w:tc>
          <w:tcPr>
            <w:tcW w:w="5200" w:type="dxa"/>
            <w:vAlign w:val="bottom"/>
          </w:tcPr>
          <w:p>
            <w:pPr>
              <w:ind w:left="440"/>
              <w:spacing w:after="0" w:line="149" w:lineRule="exact"/>
              <w:rPr>
                <w:sz w:val="20"/>
                <w:szCs w:val="20"/>
                <w:color w:val="auto"/>
              </w:rPr>
            </w:pPr>
            <w:r>
              <w:rPr>
                <w:rFonts w:ascii="Arial" w:cs="Arial" w:eastAsia="Arial" w:hAnsi="Arial"/>
                <w:sz w:val="14"/>
                <w:szCs w:val="14"/>
                <w:color w:val="auto"/>
              </w:rPr>
              <w:t>NAIRI</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868.2</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38.10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3,266.4</w:t>
            </w:r>
          </w:p>
        </w:tc>
      </w:tr>
      <w:tr>
        <w:trPr>
          <w:trHeight w:val="149"/>
        </w:trPr>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Month ended September 30, 2007:</w:t>
            </w: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5200" w:type="dxa"/>
            <w:vAlign w:val="bottom"/>
          </w:tcPr>
          <w:p>
            <w:pPr>
              <w:ind w:left="440"/>
              <w:spacing w:after="0" w:line="149" w:lineRule="exact"/>
              <w:rPr>
                <w:sz w:val="20"/>
                <w:szCs w:val="20"/>
                <w:color w:val="auto"/>
              </w:rPr>
            </w:pPr>
            <w:r>
              <w:rPr>
                <w:rFonts w:ascii="Arial" w:cs="Arial" w:eastAsia="Arial" w:hAnsi="Arial"/>
                <w:sz w:val="14"/>
                <w:szCs w:val="14"/>
                <w:color w:val="auto"/>
              </w:rPr>
              <w:t>Open market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4,100.0</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38.40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3,108.7</w:t>
            </w:r>
          </w:p>
        </w:tc>
      </w:tr>
      <w:tr>
        <w:trPr>
          <w:trHeight w:val="149"/>
        </w:trPr>
        <w:tc>
          <w:tcPr>
            <w:tcW w:w="5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NAIRI</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529.6</w:t>
            </w:r>
          </w:p>
        </w:tc>
        <w:tc>
          <w:tcPr>
            <w:tcW w:w="9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38.40</w:t>
            </w:r>
          </w:p>
        </w:tc>
        <w:tc>
          <w:tcPr>
            <w:tcW w:w="9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3,088.3</w:t>
            </w:r>
          </w:p>
        </w:tc>
      </w:tr>
      <w:tr>
        <w:trPr>
          <w:trHeight w:val="156"/>
        </w:trPr>
        <w:tc>
          <w:tcPr>
            <w:tcW w:w="5200" w:type="dxa"/>
            <w:vAlign w:val="bottom"/>
          </w:tcPr>
          <w:p>
            <w:pPr>
              <w:spacing w:after="0" w:line="155" w:lineRule="exact"/>
              <w:rPr>
                <w:sz w:val="20"/>
                <w:szCs w:val="20"/>
                <w:color w:val="auto"/>
              </w:rPr>
            </w:pPr>
            <w:r>
              <w:rPr>
                <w:rFonts w:ascii="Arial" w:cs="Arial" w:eastAsia="Arial" w:hAnsi="Arial"/>
                <w:sz w:val="14"/>
                <w:szCs w:val="14"/>
                <w:color w:val="auto"/>
              </w:rPr>
              <w:t>Total as of September 30, 2007</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22,772.9</w:t>
            </w:r>
          </w:p>
        </w:tc>
        <w:tc>
          <w:tcPr>
            <w:tcW w:w="106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3,088.3</w:t>
            </w:r>
          </w:p>
        </w:tc>
      </w:tr>
      <w:tr>
        <w:trPr>
          <w:trHeight w:val="20"/>
        </w:trPr>
        <w:tc>
          <w:tcPr>
            <w:tcW w:w="5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15"/>
                <w:szCs w:val="15"/>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780" w:type="dxa"/>
            <w:vAlign w:val="bottom"/>
          </w:tcPr>
          <w:p>
            <w:pPr>
              <w:spacing w:after="0"/>
              <w:rPr>
                <w:sz w:val="16"/>
                <w:szCs w:val="16"/>
                <w:color w:val="auto"/>
              </w:rPr>
            </w:pPr>
          </w:p>
        </w:tc>
        <w:tc>
          <w:tcPr>
            <w:tcW w:w="9980" w:type="dxa"/>
            <w:vAlign w:val="bottom"/>
          </w:tcPr>
          <w:p>
            <w:pPr>
              <w:spacing w:after="0" w:line="195" w:lineRule="exact"/>
              <w:rPr>
                <w:sz w:val="20"/>
                <w:szCs w:val="20"/>
                <w:color w:val="auto"/>
              </w:rPr>
            </w:pPr>
            <w:r>
              <w:rPr>
                <w:rFonts w:ascii="Arial" w:cs="Arial" w:eastAsia="Arial" w:hAnsi="Arial"/>
                <w:sz w:val="18"/>
                <w:szCs w:val="18"/>
                <w:color w:val="auto"/>
                <w:w w:val="91"/>
              </w:rPr>
              <w:t>Certification of the Chief Executive Officer of Viacom Inc. pursuant to Rule 13a-14(a) or 15d-14(a), as adopted pursuant to Section 302 of</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the Chief Financial Officer of Viacom Inc. pursuant to Rule 13a-14(a) or 15d-14(a), as adopted pursuant to Section 302 of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the Chief Executive Officer of Viacom Inc. furnished pursuant to 18 U.S.C. Section 1350, as adopted pursuant to Section 906</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the Chief Financial Officer of Viacom Inc. furnished pursuant to 18 U.S.C. Section 1350, as adopted pursuant to Section 906</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46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spacing w:after="0"/>
        <w:tabs>
          <w:tab w:leader="none" w:pos="5480" w:val="left"/>
          <w:tab w:leader="none" w:pos="7600" w:val="left"/>
          <w:tab w:leader="none" w:pos="7940" w:val="left"/>
        </w:tabs>
        <w:rPr>
          <w:sz w:val="20"/>
          <w:szCs w:val="20"/>
          <w:color w:val="auto"/>
        </w:rPr>
      </w:pPr>
      <w:r>
        <w:rPr>
          <w:rFonts w:ascii="Arial" w:cs="Arial" w:eastAsia="Arial" w:hAnsi="Arial"/>
          <w:sz w:val="18"/>
          <w:szCs w:val="18"/>
          <w:color w:val="auto"/>
        </w:rPr>
        <w:t>Date: November 2,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E. D</w:t>
      </w:r>
      <w:r>
        <w:rPr>
          <w:rFonts w:ascii="Arial" w:cs="Arial" w:eastAsia="Arial" w:hAnsi="Arial"/>
          <w:sz w:val="13"/>
          <w:szCs w:val="13"/>
          <w:color w:val="auto"/>
        </w:rPr>
        <w:t>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Thomas E. Dooley</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Senior Executive Vice President, Chief</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Administrative Officer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48" w:lineRule="exact"/>
        <w:rPr>
          <w:sz w:val="20"/>
          <w:szCs w:val="20"/>
          <w:color w:val="auto"/>
        </w:rPr>
      </w:pPr>
    </w:p>
    <w:p>
      <w:pPr>
        <w:spacing w:after="0"/>
        <w:tabs>
          <w:tab w:leader="none" w:pos="5480" w:val="left"/>
          <w:tab w:leader="none" w:pos="7580" w:val="left"/>
          <w:tab w:leader="none" w:pos="7920" w:val="left"/>
        </w:tabs>
        <w:rPr>
          <w:sz w:val="20"/>
          <w:szCs w:val="20"/>
          <w:color w:val="auto"/>
        </w:rPr>
      </w:pPr>
      <w:r>
        <w:rPr>
          <w:rFonts w:ascii="Arial" w:cs="Arial" w:eastAsia="Arial" w:hAnsi="Arial"/>
          <w:sz w:val="18"/>
          <w:szCs w:val="18"/>
          <w:color w:val="auto"/>
        </w:rPr>
        <w:t>Date: November 2,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ACQUES</w:t>
      </w:r>
      <w:r>
        <w:rPr>
          <w:rFonts w:ascii="Arial" w:cs="Arial" w:eastAsia="Arial" w:hAnsi="Arial"/>
          <w:sz w:val="16"/>
          <w:szCs w:val="16"/>
          <w:color w:val="auto"/>
        </w:rPr>
        <w:t xml:space="preserve"> T</w:t>
      </w:r>
      <w:r>
        <w:rPr>
          <w:rFonts w:ascii="Arial" w:cs="Arial" w:eastAsia="Arial" w:hAnsi="Arial"/>
          <w:sz w:val="13"/>
          <w:szCs w:val="13"/>
          <w:color w:val="auto"/>
        </w:rPr>
        <w:t>ORTOROLI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Jacques Tortoroli</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Controller and Chief Accounting 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240" w:top="459" w:right="6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780" w:type="dxa"/>
            <w:vAlign w:val="bottom"/>
          </w:tcPr>
          <w:p>
            <w:pPr>
              <w:spacing w:after="0"/>
              <w:rPr>
                <w:sz w:val="16"/>
                <w:szCs w:val="16"/>
                <w:color w:val="auto"/>
              </w:rPr>
            </w:pPr>
          </w:p>
        </w:tc>
        <w:tc>
          <w:tcPr>
            <w:tcW w:w="9980" w:type="dxa"/>
            <w:vAlign w:val="bottom"/>
          </w:tcPr>
          <w:p>
            <w:pPr>
              <w:spacing w:after="0" w:line="195" w:lineRule="exact"/>
              <w:rPr>
                <w:sz w:val="20"/>
                <w:szCs w:val="20"/>
                <w:color w:val="auto"/>
              </w:rPr>
            </w:pPr>
            <w:r>
              <w:rPr>
                <w:rFonts w:ascii="Arial" w:cs="Arial" w:eastAsia="Arial" w:hAnsi="Arial"/>
                <w:sz w:val="18"/>
                <w:szCs w:val="18"/>
                <w:color w:val="auto"/>
                <w:w w:val="91"/>
              </w:rPr>
              <w:t>Certification of the Chief Executive Officer of Viacom Inc. pursuant to Rule 13a-14(a) or 15d-14(a), as adopted pursuant to Section 302 of</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the Chief Financial Officer of Viacom Inc. pursuant to Rule 13a-14(a) or 15d-14(a), as adopted pursuant to Section 302 of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the Chief Executive Officer of Viacom Inc. furnished pursuant to 18 U.S.C. Section 1350, as adopted pursuant to Section 906</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the Chief Financial Officer of Viacom Inc. furnished pursuant to 18 U.S.C. Section 1350, as adopted pursuant to Section 906</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46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Philippe P. Dauman, certify that:</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Viacom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2007</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P. D</w:t>
      </w:r>
      <w:r>
        <w:rPr>
          <w:rFonts w:ascii="Arial" w:cs="Arial" w:eastAsia="Arial" w:hAnsi="Arial"/>
          <w:sz w:val="13"/>
          <w:szCs w:val="13"/>
          <w:color w:val="auto"/>
        </w:rPr>
        <w:t>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E. Dooley, certify that:</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Viacom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2007</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E. D</w:t>
      </w:r>
      <w:r>
        <w:rPr>
          <w:rFonts w:ascii="Arial" w:cs="Arial" w:eastAsia="Arial" w:hAnsi="Arial"/>
          <w:sz w:val="13"/>
          <w:szCs w:val="13"/>
          <w:color w:val="auto"/>
        </w:rPr>
        <w:t>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Executive Vice President, Chief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Officer and Chief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of Viacom Inc. (the “Company”) on Form 10-Q for the period ended September 30, 2007 as filed with the Securities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(the “Report”), I, Philippe P. Dauman, President and Chief Executive Officer of the Company, certify that to my knowledge:</w:t>
      </w:r>
    </w:p>
    <w:p>
      <w:pPr>
        <w:spacing w:after="0" w:line="22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P. D</w:t>
      </w:r>
      <w:r>
        <w:rPr>
          <w:rFonts w:ascii="Arial" w:cs="Arial" w:eastAsia="Arial" w:hAnsi="Arial"/>
          <w:sz w:val="13"/>
          <w:szCs w:val="13"/>
          <w:color w:val="auto"/>
        </w:rPr>
        <w:t>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Philippe P. Dauman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 2007</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Viacom Inc. (the “Company”) on Form 10-Q for the period ended September 30, 2007 as filed with the Securities and Exchange Commission (the “Report”), I, Thomas E. Dooley, Senior Executive Vice President, Chief Administrative Officer and Chief Financial Officer of the Company, certify that to my knowledge:</w:t>
      </w:r>
    </w:p>
    <w:p>
      <w:pPr>
        <w:spacing w:after="0" w:line="18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E. D</w:t>
      </w:r>
      <w:r>
        <w:rPr>
          <w:rFonts w:ascii="Arial" w:cs="Arial" w:eastAsia="Arial" w:hAnsi="Arial"/>
          <w:sz w:val="13"/>
          <w:szCs w:val="13"/>
          <w:color w:val="auto"/>
        </w:rPr>
        <w:t>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E. Dooley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 2007</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à"/>
      <w:numFmt w:val="bullet"/>
      <w:start w:val="1"/>
    </w:lvl>
  </w:abstractNum>
  <w:abstractNum w:abstractNumId="3">
    <w:nsid w:val="507ED7AB"/>
    <w:multiLevelType w:val="hybridMultilevel"/>
    <w:lvl w:ilvl="0">
      <w:lvlJc w:val="left"/>
      <w:lvlText w:val="%1."/>
      <w:numFmt w:val="decimal"/>
      <w:start w:val="13"/>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2019-12-15T13:33:12Z</dcterms:created>
  <dcterms:modified xsi:type="dcterms:W3CDTF">2019-12-15T13:33:12Z</dcterms:modified>
</cp:coreProperties>
</file>