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5080</wp:posOffset>
                </wp:positionH>
                <wp:positionV relativeFrom="page">
                  <wp:posOffset>-19050</wp:posOffset>
                </wp:positionV>
                <wp:extent cx="7560310" cy="1005840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0058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0058400"/>
                                  <wp:effectExtent l="0" t="0" r="0" b="0"/>
                                  <wp:docPr id="2" name="Image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0058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92pt;mso-wrap-distance-left:0pt;mso-wrap-distance-right:0pt;mso-wrap-distance-top:0pt;mso-wrap-distance-bottom:0pt;margin-top:-1.5pt;mso-position-vertical-relative:page;margin-left:0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0058400"/>
                            <wp:effectExtent l="0" t="0" r="0" b="0"/>
                            <wp:docPr id="3" name="Image1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Image1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0058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bidi w:val="0"/>
        <w:spacing w:lineRule="atLeast" w:line="36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Washington, D.C. 20549</w:t>
      </w:r>
    </w:p>
    <w:p>
      <w:pPr>
        <w:pStyle w:val="TextBody"/>
        <w:bidi w:val="0"/>
        <w:spacing w:lineRule="atLeast" w:line="360" w:before="0" w:after="0"/>
        <w:jc w:val="left"/>
        <w:rPr>
          <w:sz w:val="36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</w:rPr>
        <w:t xml:space="preserve">FORM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8-K</w:t>
      </w:r>
      <w:r>
        <w:rPr>
          <w:caps w:val="false"/>
          <w:smallCaps w:val="false"/>
          <w:sz w:val="36"/>
        </w:rPr>
        <w:t xml:space="preserve"> </w:t>
      </w:r>
    </w:p>
    <w:p>
      <w:pPr>
        <w:pStyle w:val="TextBody"/>
        <w:bidi w:val="0"/>
        <w:spacing w:lineRule="atLeast" w:line="2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8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8"/>
        </w:rPr>
        <w:t>CURRENT REPORT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Pursuant to Section 13 or 15(d) of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</w:rPr>
        <w:t>the Securities Exchange Act of 1934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4"/>
        </w:rPr>
        <w:t xml:space="preserve">Date of Report (Date of earliest event reported):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  <w:t>August 4, 2026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48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093C"/>
          <w:sz w:val="48"/>
          <w:u w:val="none"/>
          <w:effect w:val="none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00093C"/>
          <w:sz w:val="48"/>
          <w:u w:val="none"/>
          <w:effect w:val="none"/>
        </w:rPr>
        <w:t>Paramount Skydance Corporation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  <w:t>(Exact name of registrant as specified in its charter)</w:t>
      </w:r>
    </w:p>
    <w:tbl>
      <w:tblPr>
        <w:tblW w:w="726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61"/>
        <w:gridCol w:w="2296"/>
        <w:gridCol w:w="2506"/>
      </w:tblGrid>
      <w:tr>
        <w:trPr/>
        <w:tc>
          <w:tcPr>
            <w:tcW w:w="2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Delaware</w:t>
            </w:r>
          </w:p>
        </w:tc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001-42791</w:t>
            </w:r>
          </w:p>
        </w:tc>
        <w:tc>
          <w:tcPr>
            <w:tcW w:w="25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99-3917985</w:t>
            </w:r>
          </w:p>
        </w:tc>
      </w:tr>
      <w:tr>
        <w:trPr/>
        <w:tc>
          <w:tcPr>
            <w:tcW w:w="24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(State or other jurisdiction of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incorporation)</w:t>
            </w:r>
          </w:p>
        </w:tc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(Commission File Number)</w:t>
            </w:r>
          </w:p>
        </w:tc>
        <w:tc>
          <w:tcPr>
            <w:tcW w:w="250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(IRS Employer Identification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Number)</w:t>
            </w:r>
          </w:p>
        </w:tc>
      </w:tr>
    </w:tbl>
    <w:tbl>
      <w:tblPr>
        <w:tblW w:w="38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92"/>
        <w:gridCol w:w="1308"/>
        <w:gridCol w:w="109"/>
        <w:gridCol w:w="1036"/>
      </w:tblGrid>
      <w:tr>
        <w:trPr/>
        <w:tc>
          <w:tcPr>
            <w:tcW w:w="13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1515 Broadway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9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New York,</w:t>
            </w:r>
          </w:p>
        </w:tc>
        <w:tc>
          <w:tcPr>
            <w:tcW w:w="130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New York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10036</w:t>
            </w:r>
          </w:p>
        </w:tc>
      </w:tr>
      <w:tr>
        <w:trPr/>
        <w:tc>
          <w:tcPr>
            <w:tcW w:w="27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(Address of principal executive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offices)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(Zip Code)</w:t>
            </w:r>
          </w:p>
        </w:tc>
      </w:tr>
    </w:tbl>
    <w:p>
      <w:pPr>
        <w:pStyle w:val="TextBody"/>
        <w:bidi w:val="0"/>
        <w:spacing w:lineRule="atLeast" w:line="22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  <w:t xml:space="preserve">Registrant’s telephone number, including area code: </w:t>
      </w:r>
      <w:r>
        <w:rPr>
          <w:rFonts w:ascii="Times New Roman;serif" w:hAnsi="Times New Roman;serif"/>
          <w:b/>
          <w:i w:val="false"/>
          <w:caps w:val="false"/>
          <w:smallCaps w:val="false"/>
          <w:sz w:val="22"/>
        </w:rPr>
        <w:t>(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  <w:t>212</w:t>
      </w:r>
      <w:r>
        <w:rPr>
          <w:rFonts w:ascii="Times New Roman;serif" w:hAnsi="Times New Roman;serif"/>
          <w:b/>
          <w:i w:val="false"/>
          <w:caps w:val="false"/>
          <w:smallCaps w:val="false"/>
          <w:sz w:val="22"/>
        </w:rPr>
        <w:t>) 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</w:rPr>
        <w:t>258-6000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2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2"/>
        </w:rPr>
        <w:t>Not Applicable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  <w:t>(Former name or former address, if changed since last report)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  <w:t xml:space="preserve">Check the appropriate box below if the Form 8-K filing is intended to simultaneously satisfy the filing obligation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  <w:t>of the registrant under any of the following provisions:</w:t>
      </w:r>
    </w:p>
    <w:tbl>
      <w:tblPr>
        <w:tblW w:w="95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9181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1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Written communications pursuant to Rule 425 under the Securities Act (17 CFR 230.425)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1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Soliciting material pursuant to Rule 14a-12 under the Exchange Act (17 CFR 240.14a-12)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1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Pre-commencement communications pursuant to Rule 14d-2(b) under the Exchange Act (17 CFR 240.14d-2(b))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1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Pre-commencement communications pursuant to Rule 13e-4(c) under the Exchange Act (17 CFR 240.13e-4(c))</w:t>
            </w:r>
          </w:p>
        </w:tc>
      </w:tr>
    </w:tbl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2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2"/>
        </w:rPr>
        <w:t>Securities registered pursuant to Section 12(b) of the Act:</w:t>
      </w:r>
    </w:p>
    <w:tbl>
      <w:tblPr>
        <w:tblW w:w="83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109"/>
        <w:gridCol w:w="1561"/>
        <w:gridCol w:w="109"/>
        <w:gridCol w:w="3481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Title of each class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Trading Symbol(s)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Name of each exchange on which registered</w:t>
            </w:r>
          </w:p>
        </w:tc>
      </w:tr>
      <w:tr>
        <w:trPr/>
        <w:tc>
          <w:tcPr>
            <w:tcW w:w="3106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Class B Common Stock, $0.001 par value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PSKY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The Nasdaq Stock Market LLC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Indicate by check mark whether the registrant is an emerging growth company as defined in Rule 405 of the Securities Act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1933 (§230.405 of this chapter) or Rule 12b-2 of the Securities Exchange Act of 1934 (§240.12b-2 of this chapter).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Emerging growth company   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☐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If an emerging growth company, indicate by check mark if the registrant has elected not to use the extended transition period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 xml:space="preserve">for complying with any new or revised financial accounting standards provided pursuant to Section 13(a) of the Exchange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</w:rPr>
        <w:t>Act.   </w:t>
      </w:r>
      <w:r>
        <w:rPr>
          <w:caps w:val="false"/>
          <w:smallCaps w:val="false"/>
        </w:rPr>
        <w:t>☐</w:t>
      </w:r>
    </w:p>
    <w:tbl>
      <w:tblPr>
        <w:tblW w:w="6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1"/>
        <w:gridCol w:w="4726"/>
      </w:tblGrid>
      <w:tr>
        <w:trPr/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Item 2.02</w:t>
            </w:r>
          </w:p>
        </w:tc>
        <w:tc>
          <w:tcPr>
            <w:tcW w:w="47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2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2"/>
              </w:rPr>
              <w:t>Results of Operations and Financial Condition.</w:t>
            </w:r>
          </w:p>
        </w:tc>
      </w:tr>
    </w:tbl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2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2"/>
          <w:u w:val="none"/>
          <w:effect w:val="none"/>
        </w:rPr>
        <w:t xml:space="preserve">On August 4, 2026, Paramount Skydance Corporation issued a Shareholder Letter announcing its financial results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2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2"/>
          <w:u w:val="none"/>
          <w:effect w:val="none"/>
        </w:rPr>
        <w:t xml:space="preserve">for the second quarter ended June 30, 2026. A copy of the Shareholder Letter is furnished herewith as Exhibit 99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2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2"/>
          <w:u w:val="none"/>
          <w:effect w:val="none"/>
        </w:rPr>
        <w:t>and is incorporated by reference herein in its entirety.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2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2"/>
          <w:u w:val="none"/>
          <w:effect w:val="none"/>
        </w:rPr>
        <w:t xml:space="preserve">The information furnished pursuant to this Item 2.02, including Exhibit 99, shall not be deemed “filed” for purposes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2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2"/>
          <w:u w:val="none"/>
          <w:effect w:val="none"/>
        </w:rPr>
        <w:t xml:space="preserve">of Section 18 of the Securities Exchange Act of 1934, as amended (the “Exchange Act”), or otherwise subject to the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2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2"/>
          <w:u w:val="none"/>
          <w:effect w:val="none"/>
        </w:rPr>
        <w:t xml:space="preserve">liabilities under that Section and shall not be deemed to be incorporated by reference into any filings under the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2"/>
          <w:u w:val="none"/>
          <w:effect w:val="none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2"/>
          <w:u w:val="none"/>
          <w:effect w:val="none"/>
        </w:rPr>
        <w:t>Securities Act of 1933, as amended, or the Exchange Act.</w:t>
      </w:r>
    </w:p>
    <w:tbl>
      <w:tblPr>
        <w:tblW w:w="45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1"/>
        <w:gridCol w:w="3511"/>
      </w:tblGrid>
      <w:tr>
        <w:trPr/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Item 9.01</w:t>
            </w:r>
          </w:p>
        </w:tc>
        <w:tc>
          <w:tcPr>
            <w:tcW w:w="35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2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sz w:val="22"/>
              </w:rPr>
              <w:t>Financial Statements and Exhibits.</w:t>
            </w:r>
          </w:p>
        </w:tc>
      </w:tr>
    </w:tbl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  <w:t>(d)Exhibits.</w:t>
      </w:r>
    </w:p>
    <w:tbl>
      <w:tblPr>
        <w:tblW w:w="85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16"/>
        <w:gridCol w:w="7666"/>
      </w:tblGrid>
      <w:tr>
        <w:trPr/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2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2"/>
                <w:u w:val="single"/>
              </w:rPr>
              <w:t xml:space="preserve">Exhibit </w:t>
            </w:r>
          </w:p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2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2"/>
                <w:u w:val="single"/>
              </w:rPr>
              <w:t>Number</w:t>
            </w:r>
          </w:p>
        </w:tc>
        <w:tc>
          <w:tcPr>
            <w:tcW w:w="7666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2"/>
                <w:u w:val="single"/>
              </w:rPr>
            </w:pPr>
            <w:r>
              <w:rPr>
                <w:rFonts w:ascii="Times New Roman;serif" w:hAnsi="Times New Roman;serif"/>
                <w:b/>
                <w:i w:val="false"/>
                <w:caps w:val="false"/>
                <w:smallCaps w:val="false"/>
                <w:color w:val="000000"/>
                <w:sz w:val="22"/>
                <w:u w:val="single"/>
              </w:rPr>
              <w:t>Description of Exhibit</w:t>
            </w:r>
          </w:p>
        </w:tc>
      </w:tr>
      <w:tr>
        <w:trPr/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99</w:t>
            </w:r>
          </w:p>
        </w:tc>
        <w:tc>
          <w:tcPr>
            <w:tcW w:w="7666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hyperlink w:anchor="ex99_q226.htm">
              <w:r>
                <w:rPr>
                  <w:rStyle w:val="InternetLink"/>
                  <w:rFonts w:ascii="Times New Roman;serif" w:hAnsi="Times New Roman;serif"/>
                  <w:b w:val="false"/>
                  <w:i w:val="false"/>
                  <w:caps w:val="false"/>
                  <w:smallCaps w:val="false"/>
                  <w:color w:val="0000FF"/>
                  <w:sz w:val="22"/>
                  <w:u w:val="single"/>
                </w:rPr>
                <w:t>Shareholder Letter, dated August 4, 2026.</w:t>
              </w:r>
            </w:hyperlink>
          </w:p>
        </w:tc>
      </w:tr>
      <w:tr>
        <w:trPr/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104</w:t>
            </w:r>
          </w:p>
        </w:tc>
        <w:tc>
          <w:tcPr>
            <w:tcW w:w="7666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2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z w:val="22"/>
              </w:rPr>
              <w:t>Cover Page Interactive Data File (embedded within the Inline XBRL document).</w:t>
            </w:r>
          </w:p>
        </w:tc>
      </w:tr>
    </w:tbl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2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2"/>
        </w:rPr>
        <w:t>SIGNATURE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  <w:t xml:space="preserve">Pursuant to the requirements of the Securities Exchange Act of 1934, as amended, the registrant has duly caused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  <w:t>this report to be signed on its behalf by the undersigned hereunto duly authorized.</w:t>
      </w:r>
    </w:p>
    <w:tbl>
      <w:tblPr>
        <w:tblW w:w="45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53"/>
        <w:gridCol w:w="1044"/>
        <w:gridCol w:w="2848"/>
      </w:tblGrid>
      <w:tr>
        <w:trPr/>
        <w:tc>
          <w:tcPr>
            <w:tcW w:w="6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4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PARAMOUNT SKYDANCE CORPORATION</w:t>
            </w:r>
          </w:p>
        </w:tc>
      </w:tr>
      <w:tr>
        <w:trPr/>
        <w:tc>
          <w:tcPr>
            <w:tcW w:w="6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53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By:</w:t>
            </w:r>
          </w:p>
        </w:tc>
        <w:tc>
          <w:tcPr>
            <w:tcW w:w="3892" w:type="dxa"/>
            <w:gridSpan w:val="2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/s/ Makan Delrahim</w:t>
            </w:r>
          </w:p>
        </w:tc>
      </w:tr>
      <w:tr>
        <w:trPr/>
        <w:tc>
          <w:tcPr>
            <w:tcW w:w="6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4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Name:</w:t>
            </w:r>
          </w:p>
        </w:tc>
        <w:tc>
          <w:tcPr>
            <w:tcW w:w="2848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Makan Delrahim</w:t>
            </w:r>
          </w:p>
        </w:tc>
      </w:tr>
      <w:tr>
        <w:trPr/>
        <w:tc>
          <w:tcPr>
            <w:tcW w:w="6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4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Title:</w:t>
            </w:r>
          </w:p>
        </w:tc>
        <w:tc>
          <w:tcPr>
            <w:tcW w:w="2848" w:type="dxa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</w:pPr>
            <w:r>
              <w:rPr>
                <w:rFonts w:ascii="Times New Roman;serif" w:hAnsi="Times New Roman;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u w:val="none"/>
                <w:effect w:val="none"/>
              </w:rPr>
              <w:t>Chief Legal Officer</w:t>
            </w:r>
          </w:p>
        </w:tc>
      </w:tr>
    </w:tbl>
    <w:p>
      <w:pPr>
        <w:pStyle w:val="TextBody"/>
        <w:bidi w:val="0"/>
        <w:spacing w:lineRule="atLeast" w:line="22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</w:rPr>
        <w:t>Date: August 4, 2026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bookmarkStart w:id="0" w:name="ex99_q226.htm"/>
      <w:bookmarkStart w:id="1" w:name="ksex99_q226"/>
      <w:bookmarkEnd w:id="0"/>
      <w:bookmarkEnd w:id="1"/>
      <w:r>
        <w:rPr>
          <w:rFonts w:ascii="Calibri;sans-serif" w:hAnsi="Calibri;sans-serif"/>
          <w:b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Exhibit 99</w:t>
      </w:r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2</w: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997204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972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5.2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50" w:before="0" w:after="283"/>
                              <w:jc w:val="left"/>
                              <w:rPr/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1</w:t>
                            </w: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Non-GAAP measures are detailed in the Supplemental Disclosures at the end of this letter.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50" w:before="0" w:after="283"/>
                        <w:jc w:val="left"/>
                        <w:rPr/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  <w:t>1</w:t>
                      </w:r>
                      <w:r>
                        <w:rPr>
                          <w:caps w:val="false"/>
                          <w:smallCaps w:val="false"/>
                        </w:rPr>
                        <w:t xml:space="preserve"> </w:t>
                      </w:r>
                      <w:r>
                        <w:rPr>
                          <w:rFonts w:ascii="Calibri;sans-serif" w:hAnsi="Calibri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Non-GAAP measures are detailed in the Supplemental Disclosures at the end of this letter.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0064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0064FF"/>
          <w:sz w:val="24"/>
          <w:u w:val="none"/>
          <w:effect w:val="none"/>
          <w:shd w:fill="E4E4E4" w:val="clear"/>
        </w:rPr>
        <w:t>August 4, 2026</w: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2143125"/>
                <wp:effectExtent l="0" t="0" r="0" b="0"/>
                <wp:wrapNone/>
                <wp:docPr id="6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21431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2143125"/>
                                  <wp:effectExtent l="0" t="0" r="0" b="0"/>
                                  <wp:docPr id="7" name="Image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Image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2143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68.75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2143125"/>
                            <wp:effectExtent l="0" t="0" r="0" b="0"/>
                            <wp:docPr id="8" name="Image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Image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2143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5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trike w:val="false"/>
          <w:dstrike w:val="false"/>
          <w:color w:val="0064FF"/>
          <w:sz w:val="34"/>
          <w:u w:val="none"/>
          <w:effect w:val="none"/>
          <w:shd w:fill="E4E4E4" w:val="clear"/>
        </w:rPr>
        <w:t>Summary Points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0064FF"/>
          <w:sz w:val="34"/>
          <w:u w:val="none"/>
          <w:effect w:val="none"/>
          <w:shd w:fill="E4E4E4" w:val="clear"/>
        </w:rPr>
        <w:t xml:space="preserve">: 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One year in, we’re proud of the great progress: including nearly doubling our theatrical slate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from 8 to 15 films in 2026 and on track to release 15+ in 2027; 40 new or returning DTC series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greenlit; and over 90 series and 800+ episodes expected from our TV studios in 2026.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Q2 was our best quarter for retention in Paramount+'s history, powered by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Dutton Ranch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UFC,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and the FIFA World Cup non-exclusively across six countries in Latin America, gaining ~2 million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new Paramount+ subscribers in the quarter to reach 81.6 million worldwide. 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Q2 film slate, led by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Scary Movie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performed well, and we’re building our pipeline across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Television Studios, Paramount Animation, and Skydance Sports for both first- and third-party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distribution.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Our focus on creative execution and efficiency at TV Media is working: CBS held seven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top 10 broadcast series in the most recent broadcast season, with an increase in profitability.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We're raising our full-year 2026 outlook to a range of $3.8-$3.9 billion in adj. EBITDA (12.8%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margin) and now expect free cash flow conversion of at least 10%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16"/>
          <w:shd w:fill="E4E4E4" w:val="clear"/>
        </w:rPr>
        <w:t>1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.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Our Upfront delivered double-digit growth in commitments across the company and was our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strongest since the CBS-Viacom merger, reflecting the strength of our cross-platform offering.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We continue to prepare for our proposed combination with Warner Bros. Discovery, while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staying focused on executing our standalone strategy and delivering strong results.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9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55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trike w:val="false"/>
          <w:dstrike w:val="false"/>
          <w:color w:val="0064FF"/>
          <w:sz w:val="34"/>
          <w:u w:val="none"/>
          <w:effect w:val="none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trike w:val="false"/>
          <w:dstrike w:val="false"/>
          <w:color w:val="0064FF"/>
          <w:sz w:val="34"/>
          <w:u w:val="none"/>
          <w:effect w:val="none"/>
          <w:shd w:fill="E4E4E4" w:val="clear"/>
        </w:rPr>
        <w:t>Fellow shareholders,</w: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190"/>
                <wp:effectExtent l="0" t="0" r="0" b="0"/>
                <wp:wrapNone/>
                <wp:docPr id="10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1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190"/>
                                  <wp:effectExtent l="0" t="0" r="0" b="0"/>
                                  <wp:docPr id="11" name="Image4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Image4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190"/>
                            <wp:effectExtent l="0" t="0" r="0" b="0"/>
                            <wp:docPr id="12" name="Image4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Image4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A year ago, we laid out our three north star priorities that would guide the new Paramount: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Investing in our growth businesses anchored by our creative engines and superior storytelling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Scaling our direct-to-consumer business globally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Driving efficiency enterprise-wide with a focus on long-term free cash flow generation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Looking back on the past twelve months, I’m incredibly proud of how our team has turned those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priorities into measurable progress, reflecting their talent, hard work, and dedication.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We’ve focused on transforming the business and investing in areas where we see the biggest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opportunity for growth. Our primary focus is high-quality storytelling, and we’ve nearly doubled our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theatrical output from eight releases in 2025 to 15 in 2026, while also delivering over 90 series and a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combined 800+ episodes. Beyond 2026, we are on track to release more than 15 films in 2027,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including new and franchise titles, such as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Children of Blood and Bone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featuring an all-star cast,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fourth installment of the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Sonic the Hedgehog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franchise,</w:t>
      </w:r>
      <w:r>
        <w:rPr>
          <w:rFonts w:ascii="Arial;sans-serif" w:hAnsi="Arial;sans-serif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and Teyana Taylor’s directorial debut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Get Lite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At the same time, we’ve assembled one of the strongest creative rosters in the industry, welcoming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new and returning world-class storytellers including the Duffer Brothers, Matt Stone and Trey Parker,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Jon M. Chu, Issa Rae, Liz Tigelaar, and James Mangold, with many more to come.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Of course, great storytelling comes in many forms. We’ve also expanded our leadership in live sports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through new partnerships with the UFC, Zuffa Boxing, and UEFA, complementing an already strong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portfolio that includes the NFL, WNBA, the PGA TOUR, March Madness, and more. Notably, our seven-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year UFC media rights agreement brought every UFC event to Paramount+ beginning this year and,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within just a few months, has delivered some of the platform’s biggest audiences ever. It’s a powerful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validation of what we’ve long believed: premium live sports improve engagement, strengthen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retention, and increase the value of our service for subscribers.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All of this – greater investment in storytelling, new talent and expanded sports rights – is fueling a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deeper, broader slate on Paramount+. We’ve greenlit 40 new or returning series since August 2025,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including 10+ produced externally as we broaden our offering and expand our business with third-party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studios. While we’ll continue to grow our slate, these early investments have helped grow Paramount+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from approximately 77 million subscribers before the Skydance transaction to nearly 82 million today,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while deliberately improving the quality and economics of our subscriber base through selective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strategic exits (including 3 million exits in 1H’26). At the same time, we’re making meaningful progress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on the product side, with the first phase of convergence now underway, the introduction of Clips,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continued improvements to the experience across our streaming services.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Together, these platform and content investments are translating into stronger customer engagement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with double-digit growth in view hours in Q2. Paramount+ also delivered the best quarter of retention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the service’s history, underscoring the strength of our strategy and the value we’re creating for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subscribers. And we’ve achieved this while expanding margins through the first half of 2026. We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continue to expect digital advertising growth to accelerate in the back half of the year, supported by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our recently concluded Upfront, which delivered a double-digit percentage increase in commitments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year-over-year and marked the company’s strongest Upfront since the CBS-Viacom merger.</w:t>
      </w:r>
      <w:r>
        <w:rPr>
          <w:rFonts w:ascii="Arial;sans-serif" w:hAnsi="Arial;sans-serif"/>
          <w:strike w:val="false"/>
          <w:dstrike w:val="false"/>
          <w:color w:val="FF0000"/>
          <w:u w:val="none"/>
          <w:effect w:val="none"/>
          <w:shd w:fill="E4E4E4" w:val="clear"/>
        </w:rPr>
        <w:t xml:space="preserve"> 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13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4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As we’ve expanded our slate and strengthened the streaming foundation that underpins our business, </w: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190"/>
                <wp:effectExtent l="0" t="0" r="0" b="0"/>
                <wp:wrapNone/>
                <wp:docPr id="14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1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190"/>
                                  <wp:effectExtent l="0" t="0" r="0" b="0"/>
                                  <wp:docPr id="15" name="Image6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Image6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190"/>
                            <wp:effectExtent l="0" t="0" r="0" b="0"/>
                            <wp:docPr id="16" name="Image6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Image6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we’ve made meaningful progress over the past year towards becoming a more efficient, agile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company. This impact is most evident in our TV Media business, where revenue is down 7% year-to-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date, yet profitability has increased 14% compared with the first half of 2025. We’re also seeing early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benefits from our platform unification efforts, bringing Paramount+ and Pluto TV onto a single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technology stack to improve efficiency, accelerate innovation, and deliver a better experience for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consumers.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One year in, we are proud of the progress we’ve made, and we’re energized by the path ahead. While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there is still significant work to be done, our confidence in the opportunity continues to grow,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we’re excited for the future of this company powered by storytelling and accelerated by technology. 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That confidence extends to our proposed combination with Warner Bros. Discovery. As we’ve executed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against our strategy over the past year, we’ve also prepared to close the transaction, and we remain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confident it will be completed, creating a stronger, more competitive, creative-first media company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that builds on the foundation we’ve established – one that benefits consumers, theater exhibitors,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creatives.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We have publicly committed to releasing at least 30 high-quality films annually, each with a minimum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45-day theatrical window, while continuing to license content to, and acquire content from, third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parties. The rationale is straightforward: as technology-funded competitors like Netflix, Amazon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Apple reshape the industry, combining Paramount and WBD creates a company with the breadth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resources to compete on equal footing – making this transaction pro-competitive, pro-consumer,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pro-creative community. 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While we work to complete the transaction, our focus is on executing our standalone strategy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delivering strong results. That’s what will ultimately define our success as a combined company, and it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remains the best measure of our progress.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With that broader context in mind, here’s a closer look at how each of our segments is performing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today and where we’re focused as we head into year two.</w:t>
      </w:r>
    </w:p>
    <w:p>
      <w:pPr>
        <w:pStyle w:val="TextBody"/>
        <w:bidi w:val="0"/>
        <w:spacing w:lineRule="atLeast" w:line="255" w:before="0" w:after="0"/>
        <w:jc w:val="left"/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</w:pPr>
      <w:r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  <w:t>Direct-to-Consumer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Paramount+ delivered a standout quarter, with programming driving subscriber additions to a new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global high and double-digit growth in total engagement. Q2 also marked another milestone: our best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quarter for retention in the service’s history.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Dutton Ranch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UFC, and the FIFA World Cup were key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factors, reinforcing how live sports and marquee content – including our Originals, CBS lineup,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deep library – attract and retain subscribers. Together, these results drove 16% year-over-year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Paramount+ revenue growth in Q2 while accelerating our path to higher profitability for the year.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>Dutton Ranch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1D1C1D"/>
          <w:sz w:val="24"/>
          <w:u w:val="none"/>
          <w:effect w:val="none"/>
          <w:shd w:fill="E4E4E4" w:val="clear"/>
        </w:rPr>
        <w:t xml:space="preserve">launched on May 15 as the biggest original series debut in Paramount+ history,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1D1C1D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1D1C1D"/>
          <w:sz w:val="24"/>
          <w:u w:val="none"/>
          <w:effect w:val="none"/>
          <w:shd w:fill="E4E4E4" w:val="clear"/>
        </w:rPr>
        <w:t xml:space="preserve">attracting 12.9 million viewers in its first week and finishing the season with a record-setting 13.4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1D1C1D"/>
          <w:sz w:val="24"/>
          <w:u w:val="none"/>
          <w:effect w:val="none"/>
          <w:shd w:fill="E4E4E4" w:val="clear"/>
        </w:rPr>
        <w:t>million average views per episode.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June, we streamed UFC Freedom 250 live from the White House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South Lawn – a first-of-its-kind global production that drew a record 17 million viewers across the U.S.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and Latin America, the largest-ever audience for an exclusive live event on Paramount+. In Q2, we also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delivered the FIFA World Cup live across six Latin American countries, driving our best quarter of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engagement in LATAM and reaching millions of households. That momentum carried into July, as UFC 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1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5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329 delivered the highest peak concurrent streams in the platform’s history for an exclusive live event, </w: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190"/>
                <wp:effectExtent l="0" t="0" r="0" b="0"/>
                <wp:wrapNone/>
                <wp:docPr id="1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1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190"/>
                                  <wp:effectExtent l="0" t="0" r="0" b="0"/>
                                  <wp:docPr id="19" name="Image8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Image8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190"/>
                            <wp:effectExtent l="0" t="0" r="0" b="0"/>
                            <wp:docPr id="20" name="Image8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Image8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trailing only Super Bowl LVIII. Since the start of the year, 20 million subscriber households have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watched more than 200 million hours of UFC programming on Paramount+, generating viewership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more than 23 times the average pay-per-view event over the past two years.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We also expanded our content footprint in Q2 by fully integrating BET+ into Paramount+, bringing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more than 1,000 hours of BET originals, movies, and specials to a larger audience and increasing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visibility for BET’s stories and creators. Following the migration, engagement among migrated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subscribers increased meaningfully versus the BET+ year-to-date average, driven by new seasons of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Tyler Perry’s</w:t>
      </w:r>
      <w:r>
        <w:rPr>
          <w:rFonts w:ascii="Arial;sans-serif" w:hAnsi="Arial;sans-serif"/>
          <w:shd w:fill="E4E4E4" w:val="clear"/>
        </w:rPr>
        <w:t xml:space="preserve">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Divorced Sistas, Zatima, All The Queen’s Men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and more.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Our third quarter slate is off to a strong start with the launches of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Avatar Aang: The Last Airbender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the third season of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Lioness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and the return of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MobLand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coming next month. September also brings a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compelling live sports lineup, including UEFA, NFL simulcasts, UFC 331, and our first premium live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boxing event on Paramount+ on September 12. We greenlit new seasons of the hit series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The Madison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and</w:t>
      </w:r>
      <w:r>
        <w:rPr>
          <w:rFonts w:ascii="Arial;sans-serif" w:hAnsi="Arial;sans-serif"/>
          <w:shd w:fill="E4E4E4" w:val="clear"/>
        </w:rPr>
        <w:t xml:space="preserve">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Dutton Ranch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along with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Clueless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a limited series based on Paramount’s cult classic film and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starring Alicia Silverstone, and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Ascent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a new thriller starring and executive produced by EGOT winner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Viola Davis. Both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Clueless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and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Ascent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will be filmed in Los Angeles.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Meanwhile, our product focus is on building on our programming momentum and planned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investments by strengthening our platform offering. This includes efforts to enhance our services,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which are already resulting in improved viewing experiences. Our in-house streaming player, validated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through more than 800 controlled experiments, has significantly improved video quality while virtually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eliminating high-rebuffering in low-bandwidth conditions, and Smart TV app startup times are now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66% faster.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Coming into the business, we understood we had a lot of work ahead to bring our streaming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experiences up to best-in-class standards and we are making progress against that as quickly as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possible – with ambitions to lead in innovation and experimentation over time.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We’re also working on introducing a variety of features, including our short-form video experience,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Clips, designed to deepen engagement. We also made progress in Q2 on efforts to evolve the product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experience on Pluto TV including expanding registration and first-party identity and growing the on-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demand offering as part of our broader platform update.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Together, these investments reflect a balanced strategy: executing against a roadmap already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underway while continuing to innovate so that Paramount+ and Pluto TV remain at the center of how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audiences discover and engage with our programming as we build an entertainment platform for the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future.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21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6</w:t>
      </w:r>
    </w:p>
    <w:p>
      <w:pPr>
        <w:pStyle w:val="TextBody"/>
        <w:bidi w:val="0"/>
        <w:spacing w:lineRule="atLeast" w:line="255" w:before="0" w:after="0"/>
        <w:jc w:val="left"/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</w:pPr>
      <w:r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  <w:t xml:space="preserve">Studios </w: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190"/>
                <wp:effectExtent l="0" t="0" r="0" b="0"/>
                <wp:wrapNone/>
                <wp:docPr id="22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1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190"/>
                                  <wp:effectExtent l="0" t="0" r="0" b="0"/>
                                  <wp:docPr id="23" name="Image10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Image10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190"/>
                            <wp:effectExtent l="0" t="0" r="0" b="0"/>
                            <wp:docPr id="24" name="Image10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Image10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The segment is continuing to see strong, profitable growth year-over-year in the second quarter, a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meaningful improvement from a loss in the prior-year period. On the film side, our Studios turnaround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is showing real, measurable progress as our Q2 releases outperformed expectations, reflecting not only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the strength of our slate, but also a more disciplined, data-driven approach to greenlighting, marketing,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and distribution. By applying audience insights and analytics throughout the process, we’re making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smarter decisions and generating 11% more box office per dollar of marketing spend in 2026 compared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to 2025. With eight films still to come in the second half of this year, including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PAW Patrol: The Dino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Movie, Street Fighter,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and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Mr. Irrelevant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with the NFL – the league’s first theatrical release – we’re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continuing to build the broader, more diverse slate we set out to create. That momentum carries into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2027, with another strong lineup that spans iconic franchises, original storytelling, and bold new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creative voices, positioning the Studios for sustained, profitable growth.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Our Television Studios continue to build a strong pipeline of premium content across platforms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markets. CBS Studios is producing or co-producing 15 new and returning series for the network’s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upcoming season, while expanding its reach with leading third-party streamers and international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broadcasters, including with the newest installment of the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NCIS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universe,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NCIS: New York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as well as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high-profile series such as Netflix’s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Little House on the Prairie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Apple TV’s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Murderbot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Amazon’s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Odd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>Jobs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, and</w:t>
      </w:r>
      <w:r>
        <w:rPr>
          <w:rFonts w:ascii="Arial;sans-serif" w:hAnsi="Arial;sans-serif"/>
          <w:shd w:fill="E4E4E4" w:val="clear"/>
        </w:rPr>
        <w:t xml:space="preserve">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F-Ward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Australia, among others.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Paramount Television Studios is producing a stellar slate of shows for our networks and third parties,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with 20 active titles for Paramount+, including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Dexter: Resurrection, Tulsa King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and its spinoff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Frisco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King.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Other recent wins include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Ride or Die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on Amazon Prime, 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12161C"/>
          <w:sz w:val="24"/>
          <w:u w:val="none"/>
          <w:effect w:val="none"/>
          <w:shd w:fill="E4E4E4" w:val="clear"/>
        </w:rPr>
        <w:t xml:space="preserve">which quickly became the top show 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12161C"/>
          <w:sz w:val="24"/>
          <w:u w:val="none"/>
          <w:effect w:val="none"/>
          <w:shd w:fill="E4E4E4" w:val="clear"/>
        </w:rPr>
        <w:t>the U.S. with an estimated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12161C"/>
          <w:u w:val="none"/>
          <w:effect w:val="non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12161C"/>
          <w:sz w:val="23"/>
          <w:u w:val="none"/>
          <w:effect w:val="none"/>
          <w:shd w:fill="E4E4E4" w:val="clear"/>
        </w:rPr>
        <w:t xml:space="preserve">1.6 billion minutes watched, and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XO, Kitty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which spent three weeks on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Netflix’s Global Top 10 Shows list and reached #1 in 54 countries, including the U.S. This quarter will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also see the launch of the newest season of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Reacher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on Amazon, and its anticipated spinoff,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Neagley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Paramount Animation is expanding its pipeline with a diverse slate of original and franchise-driven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projects, including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The Naughty List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an original animated feature from filmmaker Robert Rodriguez; an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animated feature based on CBS’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Survivor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franchise with Jeff Probst executive producing; and an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adaptation of the comic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Freddy the 13th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with Dan Trachtenberg directing. And Skydance Sports, our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premium studio under Paramount Sports Entertainment, is growing its portfolio as well, as highlighted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the quarter by Netflix’s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RAFA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the first primarily non-English docuseries nominated for a primetime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Emmy®.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Content licensing continues to gain momentum, with recent wins including key international deals for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CBS series and kids and family content; strong ongoing results from our domestic Pay 1 output deals;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and the continued success of studio-produced titles such as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Swapped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a film from Skydance Animation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that is on track to become Netflix’s second most viewed original animated film. Across our studios, we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are focused on maximizing the value of our content by serving both our own platforms and a broad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range of strategic partners, with recent licensing partnerships with the likes of Amazon, Netflix, Tubi,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and Tencent.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As we reinvigorate the business, we’re seeing the value of our library increase, with healthy double-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digit revenue growth in Q2 and expected for the full year – a meaningful turnaround from prior years’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trends.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25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7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June, we launched Paramount Games, our dedicated games division serving as both a publisher and </w: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190"/>
                <wp:effectExtent l="0" t="0" r="0" b="0"/>
                <wp:wrapNone/>
                <wp:docPr id="26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1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190"/>
                                  <wp:effectExtent l="0" t="0" r="0" b="0"/>
                                  <wp:docPr id="27" name="Image1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" name="Image1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190"/>
                            <wp:effectExtent l="0" t="0" r="0" b="0"/>
                            <wp:docPr id="28" name="Image1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Image1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incubator for interactive entertainment built around our world-class IP. That same week, we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announced two major titles in development –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TMNT: The Last Ronin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and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Star Trek: Shadow Frontier.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Our latest release,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Avatar Legends: The Fighting Game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is performing very well with an 80 Metacritic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score. </w:t>
      </w:r>
    </w:p>
    <w:p>
      <w:pPr>
        <w:pStyle w:val="TextBody"/>
        <w:bidi w:val="0"/>
        <w:spacing w:lineRule="atLeast" w:line="25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  <w:t>TV Media</w:t>
      </w:r>
      <w:r>
        <w:rPr>
          <w:rFonts w:ascii="Arial;sans-serif" w:hAnsi="Arial;sans-serif"/>
          <w:strike w:val="false"/>
          <w:dstrike w:val="false"/>
          <w:color w:val="0064FF"/>
          <w:u w:val="none"/>
          <w:effect w:val="none"/>
          <w:shd w:fill="FFFFFF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Our TV Media segment continues to deliver on the transformation we set out to achieve, growing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profit and margin even as the industry navigates secular pressure on linear and the ongoing shift to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streaming. CBS remains the anchor of that strategy, driven by strong live sports performance alongside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seven of the top 10 broadcast series in the most recent broadcast season. Flagship franchises like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>Survivor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's milestone 50th season delivered some of the network's biggest performances, further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reinforcing the crossover strength across our platform as CBS and Paramount+ had 10 of the top 20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series across all linear and streaming programming in Q2. Meanwhile, our cable portfolio brands,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including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The Daily Show, RuPaul's Drag Race, PAW Patrol,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and</w:t>
      </w:r>
      <w:r>
        <w:rPr>
          <w:rFonts w:ascii="Arial;sans-serif" w:hAnsi="Arial;sans-serif"/>
          <w:shd w:fill="E4E4E4" w:val="clear"/>
        </w:rPr>
        <w:t xml:space="preserve">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SpongeBob SquarePants,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each set new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performance benchmarks, including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The Daily Show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achieving its highest ratings in nine years, while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the BET Awards drew its highest ratings and largest audience in years.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That momentum carries into next season – the 2026-2027 primetime schedule features 15 CBS Studios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series, including new additions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Cupertino, Einstein,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and</w:t>
      </w:r>
      <w:r>
        <w:rPr>
          <w:rFonts w:ascii="Arial;sans-serif" w:hAnsi="Arial;sans-serif"/>
          <w:shd w:fill="E4E4E4" w:val="clear"/>
        </w:rPr>
        <w:t xml:space="preserve">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Eternally Yours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alongside returning hit series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>Sheriff’s Country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and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Matlock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. 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CBS, CBS Studios, and CBS Media Ventures led all networks with a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>combined 48 nominations for the 53rd Annual Daytime Emmy® Awards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further recognition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caliber of storytelling driving the network's performance.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Sports is another strong pillar of that strategy. In Q2, CBS Sports set ratings records across the board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with the most-watched Masters in over a decade, the most-watched UEFA Champions League Final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ever on U.S. English-language television, and our most-watched WNBA game ever following our new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long-term partnership with the league. Looking ahead, the NFL remains a strong partnership, and this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fall's expanded schedule – featuring an additional primetime game – underscores the value of live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sports in growing audience reach, advertiser demand, and engagement across both linear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streaming. Together, these results reflect a TV Media business that is executing on its transformation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while continuing to serve our audiences where they are, including on broadcast or Paramount+,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positions our most valuable brands and franchises for the future.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29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8</w:t>
      </w:r>
    </w:p>
    <w:p>
      <w:pPr>
        <w:pStyle w:val="TextBody"/>
        <w:bidi w:val="0"/>
        <w:spacing w:lineRule="atLeast" w:line="255" w:before="0" w:after="0"/>
        <w:jc w:val="left"/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</w:pPr>
      <w:r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  <w:t>Driving Efficiency and Optimizing Investment Enterprise-wide</w: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190"/>
                <wp:effectExtent l="0" t="0" r="0" b="0"/>
                <wp:wrapNone/>
                <wp:docPr id="30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1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190"/>
                                  <wp:effectExtent l="0" t="0" r="0" b="0"/>
                                  <wp:docPr id="31" name="Image14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1" name="Image14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190"/>
                            <wp:effectExtent l="0" t="0" r="0" b="0"/>
                            <wp:docPr id="32" name="Image14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" name="Image14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We continue to make progress on our transformation at Paramount, and we now expect to deliver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over $2.7 billion of run-rate efficiencies by the end of 2026 versus $2.5 billion previously, and continue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to expect $3 billion-plus in efficiencies from the Skydance-Paramount combination.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Our progress is evident in our external financials in TV Media, where profitability grew year-over-year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while revenue declined, reflecting steps to rightsize the cost structure relative to overall declines in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linear revenues. For example, even as we made more efficient programming decisions across TV Media </w:t>
      </w:r>
    </w:p>
    <w:p>
      <w:pPr>
        <w:pStyle w:val="TextBody"/>
        <w:bidi w:val="0"/>
        <w:spacing w:lineRule="atLeast" w:line="180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 xml:space="preserve">–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with average production costs per episode down nearly 10% year-over-year for the 2025-2026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broadcast season – we saw an increase in our share of the top 20 series. This shows we can manage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the segment for profitability while still delivering great entertainment value to audiences.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Across other areas of the business, we’re continuing to make progress on making technology a core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competency of the company and operating more efficiently as an enterprise. As one example, we are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building enterprise apps in-house across procurement, recruiting, finance, and HR using AI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development tools with rapid build times and savings versus third-party solutions. We also have the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majority of the workforce using AI tools across an accelerating number of workflows. In particular, we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are seeing velocity and volume of features shipped increasing across our streaming engineering team.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Our work to unify company systems is on track as additional divisions went live on Oracle Fusion in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July, and we are on our way to bringing the entire company onto a unified ERP system by early next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year.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These efficiencies are also enabling the company to make disciplined reinvestments into growth areas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of our business, such as spending over $1.5 billion in new content in 2026 for current and future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programming – including UFC, our expanding film slate, and a broader Originals lineup – and strategic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scaling of our product and technology capabilities such as investing in AI across our engineering teams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and building our ad tech teams and offerings. 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33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5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0"/>
          <w:shd w:fill="E4E4E4" w:val="clear"/>
        </w:rPr>
        <w:t xml:space="preserve">Statement Presentation). Because our current GAAP segment structure was not in effect during the predecessor period, the </w: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9972040"/>
                <wp:effectExtent l="0" t="0" r="0" b="0"/>
                <wp:wrapNone/>
                <wp:docPr id="34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972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5.2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 inset="0in,0in,0in,0in"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75260"/>
                <wp:effectExtent l="0" t="0" r="0" b="0"/>
                <wp:wrapNone/>
                <wp:docPr id="35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50" w:before="0" w:after="283"/>
                              <w:jc w:val="left"/>
                              <w:rPr/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2</w:t>
                            </w: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We present periods before ("predecessor") and after ("successor") the close of the Skydance Transaction (see Financial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13.8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50" w:before="0" w:after="283"/>
                        <w:jc w:val="left"/>
                        <w:rPr/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13"/>
                        </w:rPr>
                        <w:t>2</w:t>
                      </w:r>
                      <w:r>
                        <w:rPr>
                          <w:caps w:val="false"/>
                          <w:smallCaps w:val="false"/>
                        </w:rPr>
                        <w:t xml:space="preserve"> </w:t>
                      </w:r>
                      <w:r>
                        <w:rPr>
                          <w:rFonts w:ascii="Calibri;sans-serif" w:hAnsi="Calibri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 xml:space="preserve">We present periods before ("predecessor") and after ("successor") the close of the Skydance Transaction (see Financial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5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0"/>
          <w:shd w:fill="E4E4E4" w:val="clear"/>
        </w:rPr>
        <w:t xml:space="preserve">2025 predecessor revenues by segment shown in this letter constitute a non-GAAP presentation. See Supplemental </w:t>
      </w:r>
    </w:p>
    <w:p>
      <w:pPr>
        <w:pStyle w:val="TextBody"/>
        <w:bidi w:val="0"/>
        <w:spacing w:lineRule="atLeast" w:line="15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0"/>
          <w:shd w:fill="E4E4E4" w:val="clear"/>
        </w:rPr>
        <w:t>Disclosures Regarding Non-GAAP Financial Measures for reconciliations to the historical GAAP segment presentation.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9</w:t>
      </w:r>
    </w:p>
    <w:p>
      <w:pPr>
        <w:pStyle w:val="TextBody"/>
        <w:bidi w:val="0"/>
        <w:spacing w:lineRule="atLeast" w:line="255" w:before="0" w:after="0"/>
        <w:jc w:val="left"/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</w:pPr>
      <w:r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  <w:t>Q2 Results and Q3 and 2026 Outlook</w: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190"/>
                <wp:effectExtent l="0" t="0" r="0" b="0"/>
                <wp:wrapNone/>
                <wp:docPr id="36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1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190"/>
                                  <wp:effectExtent l="0" t="0" r="0" b="0"/>
                                  <wp:docPr id="37" name="Image16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7" name="Image16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190"/>
                            <wp:effectExtent l="0" t="0" r="0" b="0"/>
                            <wp:docPr id="38" name="Image16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8" name="Image16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A summary and discussion of Q2 results and our Q3 and 2026 outlook are below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16"/>
          <w:shd w:fill="E4E4E4" w:val="clear"/>
        </w:rPr>
        <w:t>2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/>
          <w:sz w:val="22"/>
          <w:shd w:fill="E4E4E4" w:val="clear"/>
        </w:rPr>
        <w:t>Note:</w:t>
      </w:r>
      <w:r>
        <w:rPr>
          <w:rFonts w:ascii="Arial;sans-serif" w:hAnsi="Arial;sans-serif"/>
          <w:shd w:fill="E4E4E4" w:val="clear"/>
        </w:rPr>
        <w:t xml:space="preserve">  </w:t>
      </w:r>
      <w:r>
        <w:rPr>
          <w:rFonts w:ascii="Calibri;sans-serif" w:hAnsi="Calibri;sans-serif"/>
          <w:b w:val="false"/>
          <w:i/>
          <w:sz w:val="22"/>
          <w:shd w:fill="E4E4E4" w:val="clear"/>
        </w:rPr>
        <w:t xml:space="preserve">(1) Diluted EPS from continuing operations attributable to predecessor or successor; (2) See Supplemental </w: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6372225" cy="8027670"/>
                <wp:effectExtent l="0" t="0" r="0" b="0"/>
                <wp:wrapNone/>
                <wp:docPr id="39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2225" cy="80276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69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486"/>
                              <w:gridCol w:w="1676"/>
                              <w:gridCol w:w="109"/>
                              <w:gridCol w:w="109"/>
                              <w:gridCol w:w="109"/>
                              <w:gridCol w:w="816"/>
                              <w:gridCol w:w="816"/>
                              <w:gridCol w:w="816"/>
                              <w:gridCol w:w="818"/>
                              <w:gridCol w:w="109"/>
                              <w:gridCol w:w="441"/>
                              <w:gridCol w:w="441"/>
                              <w:gridCol w:w="441"/>
                              <w:gridCol w:w="441"/>
                              <w:gridCol w:w="441"/>
                              <w:gridCol w:w="626"/>
                            </w:tblGrid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vMerge w:val="restart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" w:type="dxa"/>
                                  <w:gridSpan w:val="2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66" w:type="dxa"/>
                                  <w:gridSpan w:val="4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831" w:type="dxa"/>
                                  <w:gridSpan w:val="6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vMerge w:val="continue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23" w:type="dxa"/>
                                  <w:gridSpan w:val="3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gridSpan w:val="3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vMerge w:val="continue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23" w:type="dxa"/>
                                  <w:gridSpan w:val="3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gridSpan w:val="3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vMerge w:val="continue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jc w:val="left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002060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0064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Direct-to-Consumer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Y/Y Growth (%)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Studios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Y/Y Growth (%)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TV Media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Y/Y Growth (%)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Eliminations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Total Revenue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23" w:type="dxa"/>
                                  <w:gridSpan w:val="3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Y/Y Growth (%)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23" w:type="dxa"/>
                                  <w:gridSpan w:val="3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Operating Income (Loss)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Operating Margin (%)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Net Earnings (Loss)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17"/>
                                    </w:rPr>
                                    <w:t xml:space="preserve">Diluted EPS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11"/>
                                    </w:rPr>
                                    <w:t>(1)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17"/>
                                    </w:rPr>
                                    <w:t xml:space="preserve">Adjusted EBITDA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11"/>
                                    </w:rPr>
                                    <w:t>(2)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23" w:type="dxa"/>
                                  <w:gridSpan w:val="3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08" w:type="dxa"/>
                                  <w:gridSpan w:val="3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Y/Y Growth (%)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23" w:type="dxa"/>
                                  <w:gridSpan w:val="3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Adj. EBITDA Margin (%)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Net Cash Provided by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 xml:space="preserve">(Used For) Operating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Activities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17"/>
                                    </w:rPr>
                                    <w:t xml:space="preserve">Free Cash Flow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11"/>
                                    </w:rPr>
                                    <w:t>(2)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17"/>
                                    </w:rPr>
                                    <w:t xml:space="preserve">Shares Outstanding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z w:val="11"/>
                                    </w:rPr>
                                    <w:t>(3)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Paramount+ Revenue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Y/Y Growth (%)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Paramount+ Subscribers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8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/>
                                      <w:strike w:val="false"/>
                                      <w:dstrike w:val="false"/>
                                      <w:color w:val="000000"/>
                                      <w:sz w:val="17"/>
                                      <w:u w:val="none"/>
                                      <w:effect w:val="none"/>
                                    </w:rPr>
                                    <w:t>Y/Y Growth (%)</w:t>
                                  </w:r>
                                </w:p>
                              </w:tc>
                              <w:tc>
                                <w:tcPr>
                                  <w:tcW w:w="16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18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E5E6EB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41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26" w:type="dxa"/>
                                  <w:tcBorders/>
                                  <w:shd w:fill="CCCED8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1.75pt;height:632.1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tbl>
                      <w:tblPr>
                        <w:tblW w:w="1069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486"/>
                        <w:gridCol w:w="1676"/>
                        <w:gridCol w:w="109"/>
                        <w:gridCol w:w="109"/>
                        <w:gridCol w:w="109"/>
                        <w:gridCol w:w="816"/>
                        <w:gridCol w:w="816"/>
                        <w:gridCol w:w="816"/>
                        <w:gridCol w:w="818"/>
                        <w:gridCol w:w="109"/>
                        <w:gridCol w:w="441"/>
                        <w:gridCol w:w="441"/>
                        <w:gridCol w:w="441"/>
                        <w:gridCol w:w="441"/>
                        <w:gridCol w:w="441"/>
                        <w:gridCol w:w="626"/>
                      </w:tblGrid>
                      <w:tr>
                        <w:trPr/>
                        <w:tc>
                          <w:tcPr>
                            <w:tcW w:w="248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vMerge w:val="restart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" w:type="dxa"/>
                            <w:gridSpan w:val="2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66" w:type="dxa"/>
                            <w:gridSpan w:val="4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831" w:type="dxa"/>
                            <w:gridSpan w:val="6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vMerge w:val="continue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23" w:type="dxa"/>
                            <w:gridSpan w:val="3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08" w:type="dxa"/>
                            <w:gridSpan w:val="3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vMerge w:val="continue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23" w:type="dxa"/>
                            <w:gridSpan w:val="3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08" w:type="dxa"/>
                            <w:gridSpan w:val="3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vMerge w:val="continue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Normal"/>
                              <w:bidi w:val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002060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0064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Direct-to-Consumer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Y/Y Growth (%)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Studios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Y/Y Growth (%)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TV Media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Y/Y Growth (%)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Eliminations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Total Revenue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23" w:type="dxa"/>
                            <w:gridSpan w:val="3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Y/Y Growth (%)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23" w:type="dxa"/>
                            <w:gridSpan w:val="3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Operating Income (Loss)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Operating Margin (%)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Net Earnings (Loss)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z w:val="17"/>
                              </w:rPr>
                              <w:t xml:space="preserve">Diluted EPS </w:t>
                            </w: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z w:val="11"/>
                              </w:rPr>
                              <w:t>(1)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z w:val="17"/>
                              </w:rPr>
                              <w:t xml:space="preserve">Adjusted EBITDA </w:t>
                            </w: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z w:val="11"/>
                              </w:rPr>
                              <w:t>(2)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23" w:type="dxa"/>
                            <w:gridSpan w:val="3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08" w:type="dxa"/>
                            <w:gridSpan w:val="3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Y/Y Growth (%)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23" w:type="dxa"/>
                            <w:gridSpan w:val="3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Adj. EBITDA Margin (%)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Net Cash Provided by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  </w:t>
                            </w: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 xml:space="preserve">(Used For) Operating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  </w:t>
                            </w: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Activities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z w:val="17"/>
                              </w:rPr>
                              <w:t xml:space="preserve">Free Cash Flow </w:t>
                            </w: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z w:val="11"/>
                              </w:rPr>
                              <w:t>(2)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z w:val="17"/>
                              </w:rPr>
                              <w:t xml:space="preserve">Shares Outstanding </w:t>
                            </w: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z w:val="11"/>
                              </w:rPr>
                              <w:t>(3)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Paramount+ Revenue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Y/Y Growth (%)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Paramount+ Subscribers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8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000000"/>
                                <w:sz w:val="17"/>
                                <w:u w:val="none"/>
                                <w:effect w:val="none"/>
                              </w:rPr>
                              <w:t>Y/Y Growth (%)</w:t>
                            </w:r>
                          </w:p>
                        </w:tc>
                        <w:tc>
                          <w:tcPr>
                            <w:tcW w:w="16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6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18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E5E6EB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41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26" w:type="dxa"/>
                            <w:tcBorders/>
                            <w:shd w:fill="CCCED8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1514475" cy="264160"/>
                <wp:effectExtent l="0" t="0" r="0" b="0"/>
                <wp:wrapNone/>
                <wp:docPr id="40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2641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FFFFFF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FFFFFF"/>
                                <w:sz w:val="17"/>
                                <w:u w:val="none"/>
                                <w:effect w:val="none"/>
                              </w:rPr>
                              <w:t>In millions, except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FFFFFF"/>
                                <w:sz w:val="17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/>
                                <w:strike w:val="false"/>
                                <w:dstrike w:val="false"/>
                                <w:color w:val="FFFFFF"/>
                                <w:sz w:val="17"/>
                                <w:u w:val="none"/>
                                <w:effect w:val="none"/>
                              </w:rPr>
                              <w:t>per share amounts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9.25pt;height:20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Calibri;sans-serif" w:hAnsi="Calibri;sans-serif"/>
                          <w:b w:val="false"/>
                          <w:i/>
                          <w:strike w:val="false"/>
                          <w:dstrike w:val="false"/>
                          <w:color w:val="FFFFFF"/>
                          <w:sz w:val="17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 w:val="false"/>
                          <w:i/>
                          <w:strike w:val="false"/>
                          <w:dstrike w:val="false"/>
                          <w:color w:val="FFFFFF"/>
                          <w:sz w:val="17"/>
                          <w:u w:val="none"/>
                          <w:effect w:val="none"/>
                        </w:rPr>
                        <w:t>In millions, except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Calibri;sans-serif" w:hAnsi="Calibri;sans-serif"/>
                          <w:b w:val="false"/>
                          <w:i/>
                          <w:strike w:val="false"/>
                          <w:dstrike w:val="false"/>
                          <w:color w:val="FFFFFF"/>
                          <w:sz w:val="17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 w:val="false"/>
                          <w:i/>
                          <w:strike w:val="false"/>
                          <w:dstrike w:val="false"/>
                          <w:color w:val="FFFFFF"/>
                          <w:sz w:val="17"/>
                          <w:u w:val="none"/>
                          <w:effect w:val="none"/>
                        </w:rPr>
                        <w:t>per share amounts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1552575</wp:posOffset>
                </wp:positionH>
                <wp:positionV relativeFrom="line">
                  <wp:posOffset>635</wp:posOffset>
                </wp:positionV>
                <wp:extent cx="1009650" cy="186055"/>
                <wp:effectExtent l="0" t="0" r="0" b="0"/>
                <wp:wrapNone/>
                <wp:docPr id="41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1860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80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color w:val="FFFFFF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color w:val="FFFFFF"/>
                                <w:sz w:val="24"/>
                                <w:u w:val="single"/>
                              </w:rPr>
                              <w:t>Predecessor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5pt;height:14.65pt;mso-wrap-distance-left:0pt;mso-wrap-distance-right:0pt;mso-wrap-distance-top:0pt;mso-wrap-distance-bottom:0pt;margin-top:0pt;mso-position-vertical:top;mso-position-vertical-relative:text;margin-left:1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80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color w:val="FFFFFF"/>
                          <w:sz w:val="24"/>
                          <w:u w:val="singl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color w:val="FFFFFF"/>
                          <w:sz w:val="24"/>
                          <w:u w:val="single"/>
                        </w:rPr>
                        <w:t>Predecessor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2600325</wp:posOffset>
                </wp:positionH>
                <wp:positionV relativeFrom="line">
                  <wp:posOffset>635</wp:posOffset>
                </wp:positionV>
                <wp:extent cx="2019300" cy="186055"/>
                <wp:effectExtent l="0" t="0" r="0" b="0"/>
                <wp:wrapNone/>
                <wp:docPr id="42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1860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80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color w:val="FFFFFF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color w:val="FFFFFF"/>
                                <w:sz w:val="24"/>
                                <w:u w:val="single"/>
                              </w:rPr>
                              <w:t>Successor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9pt;height:14.65pt;mso-wrap-distance-left:0pt;mso-wrap-distance-right:0pt;mso-wrap-distance-top:0pt;mso-wrap-distance-bottom:0pt;margin-top:0pt;mso-position-vertical:top;mso-position-vertical-relative:text;margin-left:2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80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color w:val="FFFFFF"/>
                          <w:sz w:val="24"/>
                          <w:u w:val="singl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color w:val="FFFFFF"/>
                          <w:sz w:val="24"/>
                          <w:u w:val="single"/>
                        </w:rPr>
                        <w:t>Successor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4657725</wp:posOffset>
                </wp:positionH>
                <wp:positionV relativeFrom="line">
                  <wp:posOffset>635</wp:posOffset>
                </wp:positionV>
                <wp:extent cx="1714500" cy="186055"/>
                <wp:effectExtent l="0" t="0" r="0" b="0"/>
                <wp:wrapNone/>
                <wp:docPr id="43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860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80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color w:val="FFFFFF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color w:val="FFFFFF"/>
                                <w:sz w:val="24"/>
                                <w:u w:val="single"/>
                              </w:rPr>
                              <w:t>Outlook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5pt;height:14.65pt;mso-wrap-distance-left:0pt;mso-wrap-distance-right:0pt;mso-wrap-distance-top:0pt;mso-wrap-distance-bottom:0pt;margin-top:0pt;mso-position-vertical:top;mso-position-vertical-relative:text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80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color w:val="FFFFFF"/>
                          <w:sz w:val="24"/>
                          <w:u w:val="singl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color w:val="FFFFFF"/>
                          <w:sz w:val="24"/>
                          <w:u w:val="single"/>
                        </w:rPr>
                        <w:t>Outlook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65" w:before="0" w:after="0"/>
        <w:jc w:val="left"/>
        <w:rPr>
          <w:rFonts w:ascii="Calibri;sans-serif" w:hAnsi="Calibri;sans-serif"/>
          <w:b w:val="false"/>
          <w:i/>
          <w:sz w:val="22"/>
          <w:shd w:fill="E4E4E4" w:val="clear"/>
        </w:rPr>
      </w:pPr>
      <w:r>
        <w:rPr>
          <w:rFonts w:ascii="Calibri;sans-serif" w:hAnsi="Calibri;sans-serif"/>
          <w:b w:val="false"/>
          <w:i/>
          <w:sz w:val="22"/>
          <w:shd w:fill="E4E4E4" w:val="clear"/>
        </w:rPr>
        <w:t xml:space="preserve">Disclosures Regarding Non-GAAP Financial Measures (3) Weighted average number of diluted shares </w:t>
      </w:r>
    </w:p>
    <w:p>
      <w:pPr>
        <w:pStyle w:val="TextBody"/>
        <w:bidi w:val="0"/>
        <w:spacing w:lineRule="atLeast" w:line="165" w:before="0" w:after="0"/>
        <w:jc w:val="left"/>
        <w:rPr>
          <w:rFonts w:ascii="Calibri;sans-serif" w:hAnsi="Calibri;sans-serif"/>
          <w:b w:val="false"/>
          <w:i/>
          <w:sz w:val="22"/>
          <w:shd w:fill="E4E4E4" w:val="clear"/>
        </w:rPr>
      </w:pPr>
      <w:r>
        <w:rPr>
          <w:rFonts w:ascii="Calibri;sans-serif" w:hAnsi="Calibri;sans-serif"/>
          <w:b w:val="false"/>
          <w:i/>
          <w:sz w:val="22"/>
          <w:shd w:fill="E4E4E4" w:val="clear"/>
        </w:rPr>
        <w:t xml:space="preserve">outstanding 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44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10</w:t>
      </w:r>
    </w:p>
    <w:p>
      <w:pPr>
        <w:pStyle w:val="TextBody"/>
        <w:bidi w:val="0"/>
        <w:spacing w:lineRule="atLeast" w:line="255" w:before="0" w:after="0"/>
        <w:jc w:val="left"/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</w:pPr>
      <w:r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  <w:t>Q2’26</w: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190"/>
                <wp:effectExtent l="0" t="0" r="0" b="0"/>
                <wp:wrapNone/>
                <wp:docPr id="45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1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190"/>
                                  <wp:effectExtent l="0" t="0" r="0" b="0"/>
                                  <wp:docPr id="46" name="Image18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6" name="Image18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190"/>
                            <wp:effectExtent l="0" t="0" r="0" b="0"/>
                            <wp:docPr id="47" name="Image18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7" name="Image18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Q2, total revenue of $6.9 billion increased 1% versus revenue of $6.8 billion in Q2'25 for the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predecessor company, led by growth in DTC and Studios revenues, largely offset by a continued decline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in TV Media. Operating income was $475 million (6.9% margin) including $153 million of transaction-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related costs. Adj. EBITDA was $1.1 billion, a 15.9% margin, and increased 27% year-over-year, with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profitability up across all segments.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color w:val="0064FF"/>
          <w:sz w:val="24"/>
          <w:u w:val="single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color w:val="0064FF"/>
          <w:sz w:val="24"/>
          <w:u w:val="single"/>
          <w:shd w:fill="E4E4E4" w:val="clear"/>
        </w:rPr>
        <w:t>Direct-to-Consumer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DTC revenue increased 9% year-over-year to $2.5 billion, led by Paramount+ revenue growth of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16% year-over-year, reflecting subscriber growth of approximately 6% and ARPU growth of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approximately 12%. We added approximately 2 million subscribers in Q2, ahead of our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expectations as subscriber growth accelerated (including nearly 2 million international hard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bundle exits in the quarter). Outperformance was driven by our programming slate, including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FIFA World Cup in certain Latin American countries, UFC, and our Originals, all of which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contributed to Q2 being our lowest churn quarter in Paramount+’s history. DTC advertising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revenue grew 8% year-over-year, with Paramount+ ad revenue growing over 30% in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quarter. As previously noted, we completed our integration of BET+ into Paramount+ in the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quarter, which along with Showtime declines, amounted to a modest headwind to total DTC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growth. 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DTC adj. EBITDA was $366 million (14.8% margin), up 44% versus $254 million in Q2'25, as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revenue growth and cost efficiencies, including a benefit related to the change in accounting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basis resulting from the Skydance transaction, more than offset planned investment in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programming.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color w:val="0064FF"/>
          <w:sz w:val="24"/>
          <w:u w:val="single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color w:val="0064FF"/>
          <w:sz w:val="24"/>
          <w:u w:val="single"/>
          <w:shd w:fill="E4E4E4" w:val="clear"/>
        </w:rPr>
        <w:t>Studios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Studios revenue increased 16% year-over-year to $1.3 billion, reflecting a strong quarter of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third-party deliveries at Paramount Television Studios and the consolidation of Skydance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licensing revenues, partially offset by lower theatrical revenue from lapping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Mission: Impossible 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shd w:fill="E4E4E4" w:val="clear"/>
        </w:rPr>
        <w:t xml:space="preserve">–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The Final Reckoning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the prior year. The Q2 film slate, led by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Scary Movie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performed well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and came ahead of our expectations.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Studios adj. EBITDA was $36 million (2.7% margin), compared to -$31 million in Q2'25, driven by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improved film slate profitability and TV licensing contribution.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color w:val="0064FF"/>
          <w:sz w:val="24"/>
          <w:u w:val="single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color w:val="0064FF"/>
          <w:sz w:val="24"/>
          <w:u w:val="single"/>
          <w:shd w:fill="E4E4E4" w:val="clear"/>
        </w:rPr>
        <w:t>TV Media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TV Media revenue declined 9% year-over-year to $3.1 billion. Advertising revenue declined 14%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year-over-year, including an approximately eight percentage point headwind from lapping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NCAA Final Four and Championship game advertising in the prior-year quarter, as noted last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quarter, as well as an approximate three percentage point headwind from our sales of Telefe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and Chilevision. This was partially offset by an approximately two percentage point benefit from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political advertising. Affiliate revenue declined 6% year-over-year, consistent with continued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pay TV subscriber erosion while rates remain resilient. 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TV Media adj. EBITDA was $1.1 billion, a 34.0% margin versus a 26.4% margin for Q2’25,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benefiting from  disciplined expense management to more than offset revenue declines.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48" name="Image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9" descr="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11</w:t>
      </w:r>
    </w:p>
    <w:p>
      <w:pPr>
        <w:pStyle w:val="TextBody"/>
        <w:bidi w:val="0"/>
        <w:spacing w:lineRule="atLeast" w:line="255" w:before="0" w:after="0"/>
        <w:jc w:val="left"/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</w:pPr>
      <w:r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  <w:t>Q3’26</w: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190"/>
                <wp:effectExtent l="0" t="0" r="0" b="0"/>
                <wp:wrapNone/>
                <wp:docPr id="49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1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190"/>
                                  <wp:effectExtent l="0" t="0" r="0" b="0"/>
                                  <wp:docPr id="50" name="Image20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Image20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190"/>
                            <wp:effectExtent l="0" t="0" r="0" b="0"/>
                            <wp:docPr id="51" name="Image20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1" name="Image20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Q3’26, we expect total revenue of $6.95 billion to $7.15 billion, or 4% to 7% growth year-over-year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versus Q3’25 for the predecessor company, with accelerating growth in DTC and Studios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moderating declines in TV Media. In Q3, we expect Paramount+ quarter-over-quarter subscribers will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be flattish.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We expect adj. EBITDA of $875 million to $975 million, or a 13.1% margin at the midpoint, with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approximately $70 million of stock-based compensation in the quarter. We expect profitability will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improve year-over-year in Studios and TV Media. In Direct-to-Consumer, we expect a mid- to high-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single-digit margin in Q3 due primarily to the seasonal timing of content amortization expense, while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still expecting full-year growth in our streaming profit. We anticipate transformation costs of roughly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$200 million in Q3, which will impact our reported free cash flow. </w:t>
      </w:r>
    </w:p>
    <w:p>
      <w:pPr>
        <w:pStyle w:val="TextBody"/>
        <w:bidi w:val="0"/>
        <w:spacing w:lineRule="atLeast" w:line="255" w:before="0" w:after="0"/>
        <w:jc w:val="left"/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</w:pPr>
      <w:r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  <w:t>2026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For 2026, we continue to expect total revenue of $30 billion, or 4% growth year-over-year, inclusive of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predecessor and successor periods. Our expectations by segment are largely consistent with those we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outlined in our Q4’25 letter. We are increasing our adj. EBITDA forecast from our previous $3.8 billion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to $3.8 to $3.9 billion, or a 12.8% margin at the midpoint. Our profit growth reflects progress against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our $3 billion-plus efficiencies and cost management balanced with disciplined reinvestment. We now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expect free cash flow conversion of at least 10% before roughly $800 million of transformation costs.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2026 remains an important year of investment – in business transformation, and in content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technology, which we expect will contribute to our growth in 2027 and beyond. Across segments: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For DTC, we continue to expect accelerating revenue growth across subscription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advertising revenue. Underlying subscriber growth will be healthy and accelerating year-over-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year, with total paid subscribers modestly higher compared to 2025, including approximately 4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million strategic international hard bundle exits.  We continue to expect to grow our DTC profit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2026 relative to 2025, with profitability weighted more meaningfully to the first half of the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year due to the timing of programming investments in Q3 and Q4 as noted above. 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We expect growth in our new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Studios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segment driven by accelerating licensing and other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revenues, including a full-year impact of legacy Skydance revenue, as well as higher licensing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from first run, current, and library titles across our studios. Our theatrical slate continues to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outperform expectations, though we still expect lower theatrical revenue year-over-year due to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lower average box office revenue per film across more releases in 2026 as we build into our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2027+ slates. We expect Studios segment profitability will increase in 2026 versus 2025.  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TV Media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we expect continued headwinds to affiliate revenue due to pay TV subscriber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declines with some moderation in linear advertising declines versus 2025, including expected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political spending in 2026 in the back half of the year. We expect to have improving margins in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>TV Media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as well as growth in total adj. EBITDA in 2026.    </w:t>
      </w:r>
    </w:p>
    <w:p>
      <w:pPr>
        <w:pStyle w:val="TextBody"/>
        <w:bidi w:val="0"/>
        <w:spacing w:lineRule="atLeast" w:line="180" w:before="0" w:after="0"/>
        <w:jc w:val="left"/>
        <w:rPr>
          <w:shd w:fill="E4E4E4" w:val="clear"/>
        </w:rPr>
      </w:pPr>
      <w:r>
        <w:rPr>
          <w:caps w:val="false"/>
          <w:smallCaps w:val="false"/>
          <w:shd w:fill="E4E4E4" w:val="clear"/>
        </w:rPr>
        <w:t>•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We forecast corporate expenses of approximately $1.5 billion for the year. 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52" name="Image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1" descr="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12</w:t>
      </w:r>
    </w:p>
    <w:p>
      <w:pPr>
        <w:pStyle w:val="TextBody"/>
        <w:bidi w:val="0"/>
        <w:spacing w:lineRule="atLeast" w:line="25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  <w:t>Capital Structure &amp; Capital Allocation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0064FF"/>
          <w:u w:val="none"/>
          <w:effect w:val="none"/>
          <w:shd w:fill="E4E4E4" w:val="clear"/>
        </w:rPr>
        <w:t xml:space="preserve"> </w: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190"/>
                <wp:effectExtent l="0" t="0" r="0" b="0"/>
                <wp:wrapNone/>
                <wp:docPr id="53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1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190"/>
                                  <wp:effectExtent l="0" t="0" r="0" b="0"/>
                                  <wp:docPr id="54" name="Image2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" name="Image2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190"/>
                            <wp:effectExtent l="0" t="0" r="0" b="0"/>
                            <wp:docPr id="55" name="Image2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5" name="Image2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We ended the quarter with $1.6 billion in cash and cash equivalents and $15.2 billion in gross debt. In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Q2, we repaid $350 million of our outstanding revolver borrowings to end the quarter at $1.8 billion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drawn. As a reminder, we drew $2.15 billion on our revolving credit facility in Q1 to pay the $2.8 billion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termination fee WBD owed to Netflix upon entering into our merger agreement. This total amount will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be repaid by us from proceeds we will receive from the private placement we entered into in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connection with the WBD transaction. We have $86 million in debt maturing for the remainder of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2026.  </w:t>
      </w:r>
    </w:p>
    <w:p>
      <w:pPr>
        <w:pStyle w:val="TextBody"/>
        <w:bidi w:val="0"/>
        <w:spacing w:lineRule="atLeast" w:line="255" w:before="0" w:after="0"/>
        <w:jc w:val="left"/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</w:pPr>
      <w:r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  <w:t>Warner Bros. Discovery Transaction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As it relates to the planned acquisition of Warner Bros. Discovery, we fully expect the transaction to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close and remain focused on preparing for a successful combination once it is complete. Over the past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several months, our leadership team and legal partners have worked closely with antitrust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competition authorities around the world. As a result, regulatory bodies and governments representing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65 jurisdictions — including the European Commission, Australia, Brazil, China, the U.S., Germany,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France, Spain, Canada, South Africa, Saudi Arabia, and South Korea — have either cleared the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transaction or elected not to challenge it on competition and/or foreign direct investment grounds.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As these clearances demonstrate, the transaction is fully consistent with antitrust laws. The claims in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the pending antitrust litigation do not reflect the realities of today's highly competitive entertainment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marketplace. Even combined, Paramount and Warner Bros. Discovery would account for just 13% of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total U.S. television and streaming viewing time, 18% of the domestic box office over the past 12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months, and 22% on average over the last two years. Those figures reflect a company competing in an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intensely competitive marketplace against tech giants such as Netflix, Amazon, Apple, and others —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not one with the market power to dictate outcomes for audiences, creators, or distributors. We remain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confident the transaction will be completed, creating a stronger, more competitive media company.</w:t>
      </w:r>
    </w:p>
    <w:p>
      <w:pPr>
        <w:pStyle w:val="TextBody"/>
        <w:bidi w:val="0"/>
        <w:spacing w:lineRule="atLeast" w:line="25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/>
          <w:i/>
          <w:strike w:val="false"/>
          <w:dstrike w:val="false"/>
          <w:color w:val="0064FF"/>
          <w:sz w:val="34"/>
          <w:u w:val="none"/>
          <w:effect w:val="none"/>
          <w:shd w:fill="E4E4E4" w:val="clear"/>
        </w:rPr>
        <w:t>Closing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One year in, we are proud of the progress we’ve made and confident in our strategy. These results are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 testament to our people, whose hard work and dedication have made them possible. Looking ahead,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we will build on this momentum and grow our business by investing in great storytelling, better serving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audiences, and operating more efficiently to create long-term value for shareholders.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Sincerely,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David Ellison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Chairman &amp; CEO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Paramount, a Skydance Corporation 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56" name="Image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3" descr="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1"/>
          <w:shd w:fill="E4E4E4" w:val="clear"/>
        </w:rPr>
        <w:t xml:space="preserve">Cautionary Note Concerning Forward-Looking Statements </w: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190"/>
                <wp:effectExtent l="0" t="0" r="0" b="0"/>
                <wp:wrapNone/>
                <wp:docPr id="57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1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190"/>
                                  <wp:effectExtent l="0" t="0" r="0" b="0"/>
                                  <wp:docPr id="58" name="Image24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8" name="Image24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190"/>
                            <wp:effectExtent l="0" t="0" r="0" b="0"/>
                            <wp:docPr id="59" name="Image24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9" name="Image24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This letter contains both historical and forward-looking statements, including statements related to our future financial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results and performance, potential achievements and transactions (including in connection with our pending merger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with Warner Bros. Discovery, Inc.) and their expected benefits, and industry trends and developments. All statements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that are not statements of historical fact are, or may be deemed to be, forward-looking statements within the meaning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of the Private Securities Litigation Reform Act of 1995. Similarly, statements that describe our objectives, plans or goals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are or may be forward-looking statements. These forward-looking statements reflect our current expectations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concerning future results and events; can generally be identified by the use of statements that include phrases such as </w:t>
      </w:r>
    </w:p>
    <w:p>
      <w:pPr>
        <w:pStyle w:val="TextBody"/>
        <w:bidi w:val="0"/>
        <w:spacing w:lineRule="atLeast" w:line="154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“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believe,” “expect,” “anticipate,” “intend,” “plan,” “foresee,” “likely,” “will,” “may,” “could,” “estimate” or other similar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words or phrases; and involve known and unknown risks, uncertainties and other factors that are difficult to predict and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which may cause our actual results, performance or achievements to be different from any future results, performance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or achievements expressed or implied by these statements. These risks, uncertainties and other factors include, among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others: risks related to our streaming business; the adverse impact on our advertising revenues as a result of changes in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consumer behavior, advertising market conditions and deficiencies in audience measurement; risks related to operating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in highly competitive and dynamic industries; the unpredictable nature of consumer behavior, as well as evolving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technologies and distribution models; risks related to our decisions to invest in new businesses, products, services and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technologies, and the evolution of our business strategy; the potential for loss of carriage or other reduction in or the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impact of negotiations for the distribution of our content; damage to our reputation or brands; losses due to asset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impairment charges for goodwill, content and long-lived assets, including finite-lived intangible assets; liabilities related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to discontinued operations and former businesses; increasing scrutiny of, and evolving expectations for, sustainability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initiatives; evolving business continuity, cybersecurity, privacy and data protection and similar risks; challenges in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protecting and maintaining our intellectual property rights; domestic and global political, economic and regulatory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factors affecting our businesses generally; the inability to hire or retain key employees or secure creative talent;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disruptions to our operations as a result of labor disputes; risks and costs associated with the integration of, and our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ability to integrate, the businesses of Paramount Global and Skydance Media, LLC successfully and to achieve anticipated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synergies; litigation relating to the Skydance Transactions potentially resulting in substantial costs; volatility in the price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of our Class B common stock; the effect our dual-class capital structure and the concentrated ownership may have on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the price of our Class B common stock or business; risks related to a private sale of a controlling interest in our Company,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including that our stockholders may not realize any change of control premium on shares of our Class B common stock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and that we may become subject to the control of a presently unknown third party; risks associated with our status as a </w:t>
      </w:r>
    </w:p>
    <w:p>
      <w:pPr>
        <w:pStyle w:val="TextBody"/>
        <w:bidi w:val="0"/>
        <w:spacing w:lineRule="atLeast" w:line="154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“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controlled company” under Nasdaq rules, including our exemption from certain corporate governance requirements;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risks associated with the lack of voting rights of our Class B common stock; risks that anti-takeover provisions in our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amended and restated certificate of incorporation (“Charter”) and amended and restated bylaws, and under Delaware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law could deter, delay, or prevent a change of control; risks that exclusive forum provisions in our Charter could limit a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stockholder’s choice of forum for certain claims and discourage lawsuits against our directors and officers; risks that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corporate opportunity provisions in our Charter could permit certain persons to pursue competitive opportunities that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might otherwise be available to us; risks associated with our holding company structure, including our dependence on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distributions from our subsidiaries to meet our tax obligations and other cash requirements; disruptions the WBD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Merger may cause to our and WBD’s business and commercial relationships; the negative impact that a failure to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consummate the WBD Merger could have on our business, financial condition, results of operations and stock price; the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risk that the WBD Merger may be prevented or delayed or the anticipated benefits reduced if we do not obtain certain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regulatory approvals; the risk that the WBD Merger Agreement may be terminated in accordance with its terms,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including if any conditions to the closing of the WBD Merger are not satisfied; the risk that litigation relating to the WBD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Merger could prevent or further delay the closing of the WBD Merger or result in the payment of damages after closing;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challenges realizing synergies and other anticipated benefits expected from the WBD Merger, including integrating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WBD’s business successfully; risks to our business, financial condition or results of operations as a result of the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incurrence of substantial costs and indebtedness in connection with the WBD Merger; risks of reduced ownership and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economic interest by our existing stockholders as a result of the WBD Merger; and other factors described in our news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releases and filings with the Securities and Exchange Commission, including but not limited to our most recent Annual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Report on Form 10-K and our reports on Form 10-Q and Form 8-K. There may be additional risks, uncertainties and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factors that we do not currently view as material or that are not necessarily known. The forward-looking statements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 xml:space="preserve">included in this letter are made only as of the date hereof, and we do not undertake any obligation to publicly update </w:t>
      </w:r>
    </w:p>
    <w:p>
      <w:pPr>
        <w:pStyle w:val="TextBody"/>
        <w:bidi w:val="0"/>
        <w:spacing w:lineRule="atLeast" w:line="154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1"/>
          <w:shd w:fill="E4E4E4" w:val="clear"/>
        </w:rPr>
        <w:t>any forward-looking statements to reflect subsequent events or circumstances.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60" name="Image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5" descr="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Financial Statement Presentation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190"/>
                <wp:effectExtent l="0" t="0" r="0" b="0"/>
                <wp:wrapNone/>
                <wp:docPr id="61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1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190"/>
                                  <wp:effectExtent l="0" t="0" r="0" b="0"/>
                                  <wp:docPr id="62" name="Image26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2" name="Image26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190"/>
                            <wp:effectExtent l="0" t="0" r="0" b="0"/>
                            <wp:docPr id="63" name="Image26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3" name="Image26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On August 7, 2025, Paramount Global and Skydance Media, LLC (“Skydance”) became subsidiaries of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Paramount Skydance Corporation, pursuant to a transaction agreement entered into on July 7, 2024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(the transactions contemplated by the Transaction Agreement, the “Skydance Transactions”).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As a result of the new accounting basis established for Paramount Global’s net assets upon the closing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of the Skydance Transactions, the results of operations and cash flows are not comparable between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the Successor and Predecessor periods. Accordingly, our consolidated financial statements within our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Form 10-Q for the second quarter of 2026 are presented in two distinct periods. The periods prior to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August 7, 2025 include only Paramount Global and are identified as “Predecessor”, and the periods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beginning on August 7, 2025 reflect Paramount Skydance Corporation and are identified as </w:t>
      </w:r>
    </w:p>
    <w:p>
      <w:pPr>
        <w:pStyle w:val="TextBody"/>
        <w:bidi w:val="0"/>
        <w:spacing w:lineRule="atLeast" w:line="180" w:before="0" w:after="0"/>
        <w:jc w:val="left"/>
        <w:rPr>
          <w:caps w:val="false"/>
          <w:smallCaps w:val="false"/>
          <w:shd w:fill="E4E4E4" w:val="clear"/>
        </w:rPr>
      </w:pPr>
      <w:r>
        <w:rPr>
          <w:caps w:val="false"/>
          <w:smallCaps w:val="false"/>
          <w:shd w:fill="E4E4E4" w:val="clear"/>
        </w:rPr>
        <w:t>“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Successor”.  The presentation in this letter, the accompanying financial statements, and supplemental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disclosures of non-GAAP financial measures also reflect the distinction between the Successor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Predecessor periods.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Refer to Note 1 of our Form 10-Q for the second quarter of 2026 for additional information regarding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the new accounting basis established in connection with the Skydance Transactions.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64" name="Image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27" descr="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PARAMOUNT SKYDANCE CORPORATION AND SUBSIDIARIES</w: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190"/>
                <wp:effectExtent l="0" t="0" r="0" b="0"/>
                <wp:wrapNone/>
                <wp:docPr id="65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1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190"/>
                                  <wp:effectExtent l="0" t="0" r="0" b="0"/>
                                  <wp:docPr id="66" name="Image28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6" name="Image28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190"/>
                            <wp:effectExtent l="0" t="0" r="0" b="0"/>
                            <wp:docPr id="67" name="Image28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7" name="Image28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CONSOLIDATED STATEMENTS OF OPERATIONS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(Unaudited; in millions, except per share amounts)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68" name="Image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29" descr="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6400800" cy="9972040"/>
                <wp:effectExtent l="0" t="0" r="0" b="0"/>
                <wp:wrapNone/>
                <wp:docPr id="69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9972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20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3016"/>
                              <w:gridCol w:w="543"/>
                              <w:gridCol w:w="543"/>
                              <w:gridCol w:w="545"/>
                              <w:gridCol w:w="109"/>
                              <w:gridCol w:w="109"/>
                              <w:gridCol w:w="543"/>
                              <w:gridCol w:w="543"/>
                              <w:gridCol w:w="545"/>
                              <w:gridCol w:w="109"/>
                              <w:gridCol w:w="553"/>
                              <w:gridCol w:w="553"/>
                              <w:gridCol w:w="555"/>
                              <w:gridCol w:w="109"/>
                              <w:gridCol w:w="109"/>
                              <w:gridCol w:w="504"/>
                              <w:gridCol w:w="504"/>
                              <w:gridCol w:w="713"/>
                            </w:tblGrid>
                            <w:tr>
                              <w:trPr/>
                              <w:tc>
                                <w:tcPr>
                                  <w:tcW w:w="3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31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31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21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3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3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6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2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Revenues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Costs and expenses: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Operating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Selling, general and administrative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Depreciation and amortization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Impairment charges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Restructuring and transaction-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related items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Total costs and expenses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Gain on dispositions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Operating income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Interest expense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Interest income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Other items, net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Earnings before income taxes and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equity in loss of investee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companies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Provision for income taxes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Equity in loss of investee companies,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net of tax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Net earnings (Parent and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noncontrolling interests)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Net earnings attributable to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noncontrolling interests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Net earnings attributable to Parent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  <w:bottom w:val="single" w:sz="16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6" w:space="0" w:color="000000"/>
                                    <w:bottom w:val="single" w:sz="16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left w:val="single" w:sz="16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right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left w:val="single" w:sz="16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Basic net earnings per common share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attributable to Parent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Diluted net earnings per common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share attributable to Parent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Weighted average number of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common shares outstanding: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Basic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Diluted</w:t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  <w:right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6" w:space="0" w:color="000000"/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016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3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5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3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785.2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tbl>
                      <w:tblPr>
                        <w:tblW w:w="1020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3016"/>
                        <w:gridCol w:w="543"/>
                        <w:gridCol w:w="543"/>
                        <w:gridCol w:w="545"/>
                        <w:gridCol w:w="109"/>
                        <w:gridCol w:w="109"/>
                        <w:gridCol w:w="543"/>
                        <w:gridCol w:w="543"/>
                        <w:gridCol w:w="545"/>
                        <w:gridCol w:w="109"/>
                        <w:gridCol w:w="553"/>
                        <w:gridCol w:w="553"/>
                        <w:gridCol w:w="555"/>
                        <w:gridCol w:w="109"/>
                        <w:gridCol w:w="109"/>
                        <w:gridCol w:w="504"/>
                        <w:gridCol w:w="504"/>
                        <w:gridCol w:w="713"/>
                      </w:tblGrid>
                      <w:tr>
                        <w:trPr/>
                        <w:tc>
                          <w:tcPr>
                            <w:tcW w:w="3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31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31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61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21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3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3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6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2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Revenues</w:t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Costs and expenses:</w:t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Operating</w:t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Selling, general and administrative</w:t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Depreciation and amortization</w:t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Impairment charges</w:t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Restructuring and transaction-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related items</w:t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Total costs and expenses</w:t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Gain on dispositions</w:t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Operating income</w:t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Interest expense</w:t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Interest income</w:t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Other items, net</w:t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Earnings before income taxes and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equity in loss of investee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companies</w:t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Provision for income taxes</w:t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Equity in loss of investee companies,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net of tax</w:t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Net earnings (Parent and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noncontrolling interests)</w:t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Net earnings attributable to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noncontrolling interests</w:t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Net earnings attributable to Parent</w:t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  <w:bottom w:val="single" w:sz="16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6" w:space="0" w:color="000000"/>
                              <w:bottom w:val="single" w:sz="16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left w:val="single" w:sz="16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right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left w:val="single" w:sz="16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Basic net earnings per common share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attributable to Parent</w:t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Diluted net earnings per common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share attributable to Parent</w:t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Weighted average number of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common shares outstanding:</w:t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Basic</w:t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Diluted</w:t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  <w:bottom w:val="single" w:sz="16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  <w:right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6" w:space="0" w:color="000000"/>
                              <w:bottom w:val="single" w:sz="16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016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3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5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3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2200275</wp:posOffset>
                </wp:positionH>
                <wp:positionV relativeFrom="line">
                  <wp:posOffset>635</wp:posOffset>
                </wp:positionV>
                <wp:extent cx="981075" cy="170815"/>
                <wp:effectExtent l="0" t="0" r="0" b="0"/>
                <wp:wrapNone/>
                <wp:docPr id="70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Successor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7.25pt;height:13.45pt;mso-wrap-distance-left:0pt;mso-wrap-distance-right:0pt;mso-wrap-distance-top:0pt;mso-wrap-distance-bottom:0pt;margin-top:0pt;mso-position-vertical:top;mso-position-vertical-relative:text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Successor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3267075</wp:posOffset>
                </wp:positionH>
                <wp:positionV relativeFrom="line">
                  <wp:posOffset>635</wp:posOffset>
                </wp:positionV>
                <wp:extent cx="981075" cy="170815"/>
                <wp:effectExtent l="0" t="0" r="0" b="0"/>
                <wp:wrapNone/>
                <wp:docPr id="71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Predecessor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7.25pt;height:13.45pt;mso-wrap-distance-left:0pt;mso-wrap-distance-right:0pt;mso-wrap-distance-top:0pt;mso-wrap-distance-bottom:0pt;margin-top:0pt;mso-position-vertical:top;mso-position-vertical-relative:text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Predecessor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4295775</wp:posOffset>
                </wp:positionH>
                <wp:positionV relativeFrom="line">
                  <wp:posOffset>635</wp:posOffset>
                </wp:positionV>
                <wp:extent cx="1000125" cy="170815"/>
                <wp:effectExtent l="0" t="0" r="0" b="0"/>
                <wp:wrapNone/>
                <wp:docPr id="72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Successor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75pt;height:13.45pt;mso-wrap-distance-left:0pt;mso-wrap-distance-right:0pt;mso-wrap-distance-top:0pt;mso-wrap-distance-bottom:0pt;margin-top:0pt;mso-position-vertical:top;mso-position-vertical-relative:text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Successor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5391150</wp:posOffset>
                </wp:positionH>
                <wp:positionV relativeFrom="line">
                  <wp:posOffset>635</wp:posOffset>
                </wp:positionV>
                <wp:extent cx="1009650" cy="170815"/>
                <wp:effectExtent l="0" t="0" r="0" b="0"/>
                <wp:wrapNone/>
                <wp:docPr id="73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Predecessor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5pt;height:13.45pt;mso-wrap-distance-left:0pt;mso-wrap-distance-right:0pt;mso-wrap-distance-top:0pt;mso-wrap-distance-bottom:0pt;margin-top:0pt;mso-position-vertical:top;mso-position-vertical-relative:text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Predecessor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PARAMOUNT SKYDANCE CORPORATION AND SUBSIDIARIES</w: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190"/>
                <wp:effectExtent l="0" t="0" r="0" b="0"/>
                <wp:wrapNone/>
                <wp:docPr id="74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1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190"/>
                                  <wp:effectExtent l="0" t="0" r="0" b="0"/>
                                  <wp:docPr id="75" name="Image30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5" name="Image30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1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190"/>
                            <wp:effectExtent l="0" t="0" r="0" b="0"/>
                            <wp:docPr id="76" name="Image30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6" name="Image30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1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CONSOLIDATED BALANCE SHEETS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(Unaudited; in millions, except per share amounts)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77" name="Image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31" descr="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6400800" cy="9972040"/>
                <wp:effectExtent l="0" t="0" r="0" b="0"/>
                <wp:wrapNone/>
                <wp:docPr id="78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9972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15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5971"/>
                              <w:gridCol w:w="109"/>
                              <w:gridCol w:w="1361"/>
                              <w:gridCol w:w="109"/>
                              <w:gridCol w:w="109"/>
                              <w:gridCol w:w="109"/>
                              <w:gridCol w:w="109"/>
                              <w:gridCol w:w="1121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left w:val="single" w:sz="12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79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84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ASSETS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Current Assets: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Cash and cash equivalents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Receivables, net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Programming and other inventory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Prepaid expenses and other current assets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Total current assets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Property and equipment, net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Programming and other inventory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Goodwill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Intangible assets, net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Operating lease assets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Deferred income tax assets, net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Advance consideration for WBD acquisition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Other assets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Total Assets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16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LIABILITIES AND STOCKHOLDERS’ EQUITY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left w:val="single" w:sz="12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Current Liabilities: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Accounts payable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Accrued expenses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Participants’ share and royalties payable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Accrued programming and production costs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Deferred revenues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Debt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Other current liabilities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Total current liabilities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Long-term debt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Participants’ share and royalties payable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Pension and postretirement benefit obligations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Deferred income tax liabilities, net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Operating lease liabilities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Programming obligations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Other liabilities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Commitments and contingencies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Parent stockholders’ equity: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Class A Common Stock, par value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$.001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per share;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55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shares authorized;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</w:rPr>
                                    <w:t xml:space="preserve">    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32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2026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and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2025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) shares issued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Class B Common Stock, par value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$.001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per share;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7,000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2026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) and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</w:rPr>
                                    <w:t xml:space="preserve">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5,500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2025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) shares authorized;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1,089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2026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) and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1,076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sz w:val="20"/>
                                      <w:u w:val="none"/>
                                      <w:effect w:val="none"/>
                                    </w:rPr>
                                    <w:t>2025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) shares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</w:rPr>
                                    <w:t xml:space="preserve">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issued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Additional paid-in capital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Accumulated deficit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Accumulated other comprehensive income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Total Parent stockholders’ equity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Noncontrolling interests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Total Equity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971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Total Liabilities and Equity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61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16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785.2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tbl>
                      <w:tblPr>
                        <w:tblW w:w="915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5971"/>
                        <w:gridCol w:w="109"/>
                        <w:gridCol w:w="1361"/>
                        <w:gridCol w:w="109"/>
                        <w:gridCol w:w="109"/>
                        <w:gridCol w:w="109"/>
                        <w:gridCol w:w="109"/>
                        <w:gridCol w:w="1121"/>
                        <w:gridCol w:w="154"/>
                      </w:tblGrid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left w:val="single" w:sz="12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79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84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ASSETS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Current Assets: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Cash and cash equivalents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Receivables, net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Programming and other inventory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Prepaid expenses and other current assets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Total current assets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Property and equipment, net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Programming and other inventory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Goodwill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Intangible assets, net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Operating lease assets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Deferred income tax assets, net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Advance consideration for WBD acquisition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Other assets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Total Assets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16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LIABILITIES AND STOCKHOLDERS’ EQUITY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left w:val="single" w:sz="12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Current Liabilities: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Accounts payable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Accrued expenses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Participants’ share and royalties payable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Accrued programming and production costs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Deferred revenues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Debt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Other current liabilities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Total current liabilities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Long-term debt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Participants’ share and royalties payable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Pension and postretirement benefit obligations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Deferred income tax liabilities, net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Operating lease liabilities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Programming obligations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Other liabilities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Commitments and contingencies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Parent stockholders’ equity: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Class A Common Stock, par value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$.001</w:t>
                            </w:r>
                            <w:r>
                              <w:rPr>
                                <w:caps w:val="false"/>
                                <w:smallCaps w:val="false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per share;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55</w:t>
                            </w:r>
                            <w:r>
                              <w:rPr>
                                <w:caps w:val="false"/>
                                <w:smallCaps w:val="false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shares authorized;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    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32</w:t>
                            </w:r>
                            <w:r>
                              <w:rPr>
                                <w:caps w:val="false"/>
                                <w:smallCaps w:val="false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2026</w:t>
                            </w:r>
                            <w:r>
                              <w:rPr>
                                <w:caps w:val="false"/>
                                <w:smallCaps w:val="false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2025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) shares issued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Class B Common Stock, par value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$.001</w:t>
                            </w:r>
                            <w:r>
                              <w:rPr>
                                <w:caps w:val="false"/>
                                <w:smallCaps w:val="false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per share;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7,000</w:t>
                            </w:r>
                            <w:r>
                              <w:rPr>
                                <w:caps w:val="false"/>
                                <w:smallCaps w:val="false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2026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) and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5,500</w:t>
                            </w:r>
                            <w:r>
                              <w:rPr>
                                <w:caps w:val="false"/>
                                <w:smallCaps w:val="false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2025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) shares authorized;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1,089</w:t>
                            </w:r>
                            <w:r>
                              <w:rPr>
                                <w:caps w:val="false"/>
                                <w:smallCaps w:val="false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2026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) and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1,076</w:t>
                            </w:r>
                            <w:r>
                              <w:rPr>
                                <w:caps w:val="false"/>
                                <w:smallCaps w:val="false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2025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) shares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issued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Additional paid-in capital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Accumulated deficit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Accumulated other comprehensive income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Total Parent stockholders’ equity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Noncontrolling interests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Total Equity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971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Total Liabilities and Equity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61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16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4162425</wp:posOffset>
                </wp:positionH>
                <wp:positionV relativeFrom="line">
                  <wp:posOffset>635</wp:posOffset>
                </wp:positionV>
                <wp:extent cx="809625" cy="154940"/>
                <wp:effectExtent l="0" t="0" r="0" b="0"/>
                <wp:wrapNone/>
                <wp:docPr id="79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549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2.2pt;mso-wrap-distance-left:0pt;mso-wrap-distance-right:0pt;mso-wrap-distance-top:0pt;mso-wrap-distance-bottom:0pt;margin-top:0pt;mso-position-vertical:top;mso-position-vertical-relative:text;margin-left:32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50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5486400</wp:posOffset>
                </wp:positionH>
                <wp:positionV relativeFrom="line">
                  <wp:posOffset>635</wp:posOffset>
                </wp:positionV>
                <wp:extent cx="657225" cy="154940"/>
                <wp:effectExtent l="0" t="0" r="0" b="0"/>
                <wp:wrapNone/>
                <wp:docPr id="80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549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2.2pt;mso-wrap-distance-left:0pt;mso-wrap-distance-right:0pt;mso-wrap-distance-top:0pt;mso-wrap-distance-bottom:0pt;margin-top:0pt;mso-position-vertical:top;mso-position-vertical-relative:text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50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PARAMOUNT SKYDANCE CORPORATION AND SUBSIDIARIES</w: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825"/>
                <wp:effectExtent l="0" t="0" r="0" b="0"/>
                <wp:wrapNone/>
                <wp:docPr id="81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8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825"/>
                                  <wp:effectExtent l="0" t="0" r="0" b="0"/>
                                  <wp:docPr id="82" name="Image3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2" name="Image3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5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825"/>
                            <wp:effectExtent l="0" t="0" r="0" b="0"/>
                            <wp:docPr id="83" name="Image3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3" name="Image3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0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CONSOLIDATED STATEMENTS OF CASH FLOWS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(Unaudited; in millions)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84" name="Image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33" descr="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852170</wp:posOffset>
                </wp:positionH>
                <wp:positionV relativeFrom="line">
                  <wp:posOffset>635</wp:posOffset>
                </wp:positionV>
                <wp:extent cx="6067425" cy="9197340"/>
                <wp:effectExtent l="0" t="0" r="0" b="0"/>
                <wp:wrapNone/>
                <wp:docPr id="85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7425" cy="91973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92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5596"/>
                              <w:gridCol w:w="613"/>
                              <w:gridCol w:w="613"/>
                              <w:gridCol w:w="615"/>
                              <w:gridCol w:w="109"/>
                              <w:gridCol w:w="1901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top w:val="single" w:sz="16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1" w:type="dxa"/>
                                  <w:gridSpan w:val="4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2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2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Operating Activities: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Net earnings (Parent and noncontrolling interests)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Adjustments to reconcile net earnings to net cash flow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provided by operating activities: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Depreciation and amortization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Impairment charges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Deferred tax provision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Stock-based compensation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Gain on dispositions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Equity in loss of investee companies, net of tax and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distributions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Change in assets and liabilities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Net cash flow provided by operating activities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Investing Activities: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Investments 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Capital expenditures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Advance consideration for WBD acquisition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Proceeds from dispositions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Other investing activities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Net cash flow used for investing activities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Financing Activities: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Borrowings under credit facility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Repayment of credit facility borrowings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Repayment of notes and debentures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Dividends paid on common stock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Payment of payroll taxes in lieu of issuing shares for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stock-based compensation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Payments to noncontrolling interests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Other financing activities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Net cash flow provided by (used for) financing activities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Effect of exchange rate changes on cash and cash equivalents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Net (decrease) increase in cash and cash equivalents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Cash and cash equivalents at beginning of year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5596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Cash and cash equivalents at end of period 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901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16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.75pt;height:724.2pt;mso-wrap-distance-left:0pt;mso-wrap-distance-right:0pt;mso-wrap-distance-top:0pt;mso-wrap-distance-bottom:0pt;margin-top:0pt;mso-position-vertical:top;mso-position-vertical-relative:text;margin-left:67.1pt;mso-position-horizontal-relative:page">
                <v:textbox>
                  <w:txbxContent>
                    <w:tbl>
                      <w:tblPr>
                        <w:tblW w:w="992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5596"/>
                        <w:gridCol w:w="613"/>
                        <w:gridCol w:w="613"/>
                        <w:gridCol w:w="615"/>
                        <w:gridCol w:w="109"/>
                        <w:gridCol w:w="1901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top w:val="single" w:sz="16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1" w:type="dxa"/>
                            <w:gridSpan w:val="4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72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72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Operating Activities:</w:t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top w:val="single" w:sz="8" w:space="0" w:color="000000"/>
                              <w:left w:val="single" w:sz="12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Net earnings (Parent and noncontrolling interests)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Adjustments to reconcile net earnings to net cash flow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provided by operating activities: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Depreciation and amortization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Impairment charges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Deferred tax provision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Stock-based compensation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Gain on dispositions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Equity in loss of investee companies, net of tax and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distributions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Change in assets and liabilities</w:t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Net cash flow provided by operating activities</w:t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Investing Activities:</w:t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top w:val="single" w:sz="8" w:space="0" w:color="000000"/>
                              <w:left w:val="single" w:sz="12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Investments 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Capital expenditures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Advance consideration for WBD acquisition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Proceeds from dispositions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Other investing activities</w:t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Net cash flow used for investing activities</w:t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Financing Activities:</w:t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top w:val="single" w:sz="8" w:space="0" w:color="000000"/>
                              <w:left w:val="single" w:sz="12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Borrowings under credit facility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Repayment of credit facility borrowings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Repayment of notes and debentures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Dividends paid on common stock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Payment of payroll taxes in lieu of issuing shares for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stock-based compensation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Payments to noncontrolling interests</w:t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Other financing activities</w:t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Net cash flow provided by (used for) financing activities</w:t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Effect of exchange rate changes on cash and cash equivalents</w:t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Net (decrease) increase in cash and cash equivalents</w:t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top w:val="single" w:sz="8" w:space="0" w:color="000000"/>
                              <w:left w:val="single" w:sz="12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Cash and cash equivalents at beginning of year</w:t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5596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Cash and cash equivalents at end of period </w:t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901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16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page">
                  <wp:posOffset>3724275</wp:posOffset>
                </wp:positionH>
                <wp:positionV relativeFrom="line">
                  <wp:posOffset>635</wp:posOffset>
                </wp:positionV>
                <wp:extent cx="1114425" cy="170815"/>
                <wp:effectExtent l="0" t="0" r="0" b="0"/>
                <wp:wrapNone/>
                <wp:docPr id="86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Successor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45pt;mso-wrap-distance-left:0pt;mso-wrap-distance-right:0pt;mso-wrap-distance-top:0pt;mso-wrap-distance-bottom:0pt;margin-top:0pt;mso-position-vertical:top;mso-position-vertical-relative:text;margin-left:29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Successor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page">
                  <wp:posOffset>4914900</wp:posOffset>
                </wp:positionH>
                <wp:positionV relativeFrom="line">
                  <wp:posOffset>635</wp:posOffset>
                </wp:positionV>
                <wp:extent cx="1152525" cy="170815"/>
                <wp:effectExtent l="0" t="0" r="0" b="0"/>
                <wp:wrapNone/>
                <wp:docPr id="87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Predecessor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45pt;mso-wrap-distance-left:0pt;mso-wrap-distance-right:0pt;mso-wrap-distance-top:0pt;mso-wrap-distance-bottom:0pt;margin-top:0pt;mso-position-vertical:top;mso-position-vertical-relative:text;margin-left:38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Predecessor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SUPPLEMENTAL DISCLOSURES REGARDING NON-GAAP FINANCIAL MEASURES</w: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825"/>
                <wp:effectExtent l="0" t="0" r="0" b="0"/>
                <wp:wrapNone/>
                <wp:docPr id="88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8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825"/>
                                  <wp:effectExtent l="0" t="0" r="0" b="0"/>
                                  <wp:docPr id="89" name="Image34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9" name="Image34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5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825"/>
                            <wp:effectExtent l="0" t="0" r="0" b="0"/>
                            <wp:docPr id="90" name="Image34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0" name="Image34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 xml:space="preserve">(Unaudited; in millions, except per share amounts)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Adjusted EBITDA (defined below), Adjusted earnings before income taxes, adjusted provision for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income taxes, adjusted net earnings attributable to parent, and adjusted diluted EPS, which are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measures of performance not calculated in accordance with accounting principles generally accepted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the United States (“U.S. GAAP” or “GAAP”) (together, the “adjusted measures”) exclude certain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items identified as affecting comparability that are not part of our normal operations, including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programming charges, impairment charges, restructuring charges, transaction-related items, other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corporate matters, gain (loss) on dispositions,  gain (loss) from investments and discrete tax items,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each where applicable. We define Adjusted EBITDA as net earnings (loss) attributable to Parent before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interest expense and income; (provision for) benefit from income taxes; other items; equity in earnings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(loss) of investee companies, net of tax; and depreciation and amortization, adjusted to exclude stock-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based compensation expense (which is a noncash expense that management does not consider to be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part of our underlying operating performance) and certain items identified as affecting comparability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that are not part of our normal operations.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We use these adjusted measures to, among other things, evaluate our operating performance. These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measures are among the primary measures used by management for planning and forecasting of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future periods, and they are important indicators of our operational strength and business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performance. In addition, we use Adjusted EBITDA to, among other things, value prospective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acquisitions. We believe these measures are relevant and useful for investors because they allow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investors to view our performance in a manner consistent with the method used by our management;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and because they exclude items that are not representative of our normal operations, they provide a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clearer perspective on underlying performance, and make it easier for investors, analysts and peers to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compare our operating performance to other companies in the industry and to compare our results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across reporting periods.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Because the adjusted measures are measures of performance not calculated in accordance with U.S.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GAAP, they should not be considered in isolation of, or as a substitute for, our results as reported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under U.S. GAAP, including net earnings (loss), (provision for) benefit from income taxes, net earnings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(loss) attributable to Parent, and diluted EPS, as applicable, as indicators of operating performance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undue reliance should not be placed on these adjusted measures. Other companies may define these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measures, including Adjusted EBITDA, differently and, as a result, our adjusted measures may not be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directly comparable to similarly titled measures of other companies.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We are not able to reconcile forward-looking non-GAAP financial measures because we are unable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without unreasonable efforts to accurately estimate the individual adjustments for such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reconciliations, as applicable, or to quantify the probable significance of these items at this time.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91" name="Image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35" descr="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19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SUPPLEMENTAL DISCLOSURES REGARDING NON-GAAP FINANCIAL MEASURES (Continued)</w: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825"/>
                <wp:effectExtent l="0" t="0" r="0" b="0"/>
                <wp:wrapNone/>
                <wp:docPr id="92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8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825"/>
                                  <wp:effectExtent l="0" t="0" r="0" b="0"/>
                                  <wp:docPr id="93" name="Image36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3" name="Image36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5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825"/>
                            <wp:effectExtent l="0" t="0" r="0" b="0"/>
                            <wp:docPr id="94" name="Image36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4" name="Image36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6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 xml:space="preserve">(Unaudited; in millions, except per share amounts)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The following tables reconcile the adjusted measures to their most directly comparable financial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measures in accordance with U.S. GAAP. The tax impacts on the items identified as affecting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comparability in the tables below have been calculated using the tax rate applicable to each item.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7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7"/>
          <w:shd w:fill="E4E4E4" w:val="clear"/>
        </w:rPr>
        <w:t>(a) See notes on the following tables for additional information on items affecting comparability.</w: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page">
                  <wp:posOffset>842645</wp:posOffset>
                </wp:positionH>
                <wp:positionV relativeFrom="line">
                  <wp:posOffset>635</wp:posOffset>
                </wp:positionV>
                <wp:extent cx="6086475" cy="4639945"/>
                <wp:effectExtent l="0" t="0" r="0" b="0"/>
                <wp:wrapNone/>
                <wp:docPr id="95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6475" cy="46399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16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3496"/>
                              <w:gridCol w:w="503"/>
                              <w:gridCol w:w="503"/>
                              <w:gridCol w:w="505"/>
                              <w:gridCol w:w="109"/>
                              <w:gridCol w:w="109"/>
                              <w:gridCol w:w="483"/>
                              <w:gridCol w:w="483"/>
                              <w:gridCol w:w="485"/>
                              <w:gridCol w:w="109"/>
                              <w:gridCol w:w="483"/>
                              <w:gridCol w:w="483"/>
                              <w:gridCol w:w="485"/>
                              <w:gridCol w:w="109"/>
                              <w:gridCol w:w="1451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34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96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11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top w:val="single" w:sz="16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2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1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2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1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2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9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Net earnings attributable to Parent (GAAP)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Net earnings attributable to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noncontrolling interests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Equity in loss of investee companies,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net of tax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Provision for income taxes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Other items, net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Interest expense, net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Gain on dispositions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(a)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Transaction-related items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(a)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Restructuring charges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(a) (b)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Impairment charges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(a)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Stock-based compensation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(b)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left w:val="single" w:sz="12" w:space="0" w:color="000000"/>
                                  </w:tcBorders>
                                  <w:tcMar>
                                    <w:top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Depreciation and amortization 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96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Adjusted EBITDA (Non-GAAP)</w:t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3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5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16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3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85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451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16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9.25pt;height:365.35pt;mso-wrap-distance-left:0pt;mso-wrap-distance-right:0pt;mso-wrap-distance-top:0pt;mso-wrap-distance-bottom:0pt;margin-top:0pt;mso-position-vertical:top;mso-position-vertical-relative:text;margin-left:66.35pt;mso-position-horizontal-relative:page">
                <v:textbox>
                  <w:txbxContent>
                    <w:tbl>
                      <w:tblPr>
                        <w:tblW w:w="1016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3496"/>
                        <w:gridCol w:w="503"/>
                        <w:gridCol w:w="503"/>
                        <w:gridCol w:w="505"/>
                        <w:gridCol w:w="109"/>
                        <w:gridCol w:w="109"/>
                        <w:gridCol w:w="483"/>
                        <w:gridCol w:w="483"/>
                        <w:gridCol w:w="485"/>
                        <w:gridCol w:w="109"/>
                        <w:gridCol w:w="483"/>
                        <w:gridCol w:w="483"/>
                        <w:gridCol w:w="485"/>
                        <w:gridCol w:w="109"/>
                        <w:gridCol w:w="1451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34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96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11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top w:val="single" w:sz="16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72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1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72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1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72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9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Net earnings attributable to Parent (GAAP)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top w:val="single" w:sz="8" w:space="0" w:color="000000"/>
                              <w:left w:val="single" w:sz="12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Net earnings attributable to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noncontrolling interests</w:t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Equity in loss of investee companies,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net of tax</w:t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Provision for income taxes</w:t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Other items, net</w:t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Interest expense, net</w:t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Gain on dispositions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(a)</w:t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Transaction-related items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(a)</w:t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Restructuring charges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(a) (b)</w:t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Impairment charges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(a)</w:t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Stock-based compensation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(b)</w:t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left w:val="single" w:sz="12" w:space="0" w:color="000000"/>
                            </w:tcBorders>
                            <w:tcMar>
                              <w:top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Depreciation and amortization 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96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Adjusted EBITDA (Non-GAAP)</w:t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3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5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16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3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85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451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16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page">
                  <wp:posOffset>2286000</wp:posOffset>
                </wp:positionH>
                <wp:positionV relativeFrom="line">
                  <wp:posOffset>635</wp:posOffset>
                </wp:positionV>
                <wp:extent cx="904875" cy="154940"/>
                <wp:effectExtent l="0" t="0" r="0" b="0"/>
                <wp:wrapNone/>
                <wp:docPr id="96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549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Successor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2.2pt;mso-wrap-distance-left:0pt;mso-wrap-distance-right:0pt;mso-wrap-distance-top:0pt;mso-wrap-distance-bottom:0pt;margin-top:0pt;mso-position-vertical:top;mso-position-vertical-relative:text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50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Successor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page">
                  <wp:posOffset>3267075</wp:posOffset>
                </wp:positionH>
                <wp:positionV relativeFrom="line">
                  <wp:posOffset>635</wp:posOffset>
                </wp:positionV>
                <wp:extent cx="866775" cy="154940"/>
                <wp:effectExtent l="0" t="0" r="0" b="0"/>
                <wp:wrapNone/>
                <wp:docPr id="97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1549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Predecessor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8.25pt;height:12.2pt;mso-wrap-distance-left:0pt;mso-wrap-distance-right:0pt;mso-wrap-distance-top:0pt;mso-wrap-distance-bottom:0pt;margin-top:0pt;mso-position-vertical:top;mso-position-vertical-relative:text;margin-left:25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50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Predecessor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page">
                  <wp:posOffset>4276725</wp:posOffset>
                </wp:positionH>
                <wp:positionV relativeFrom="line">
                  <wp:posOffset>635</wp:posOffset>
                </wp:positionV>
                <wp:extent cx="866775" cy="154940"/>
                <wp:effectExtent l="0" t="0" r="0" b="0"/>
                <wp:wrapNone/>
                <wp:docPr id="98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1549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Successor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8.25pt;height:12.2pt;mso-wrap-distance-left:0pt;mso-wrap-distance-right:0pt;mso-wrap-distance-top:0pt;mso-wrap-distance-bottom:0pt;margin-top:0pt;mso-position-vertical:top;mso-position-vertical-relative:text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50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Successor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page">
                  <wp:posOffset>5219700</wp:posOffset>
                </wp:positionH>
                <wp:positionV relativeFrom="line">
                  <wp:posOffset>635</wp:posOffset>
                </wp:positionV>
                <wp:extent cx="866775" cy="154940"/>
                <wp:effectExtent l="0" t="0" r="0" b="0"/>
                <wp:wrapNone/>
                <wp:docPr id="99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1549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Predecessor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8.25pt;height:12.2pt;mso-wrap-distance-left:0pt;mso-wrap-distance-right:0pt;mso-wrap-distance-top:0pt;mso-wrap-distance-bottom:0pt;margin-top:0pt;mso-position-vertical:top;mso-position-vertical-relative:text;margin-left:4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50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Predecessor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7"/>
          <w:shd w:fill="E4E4E4" w:val="clear"/>
        </w:rPr>
        <w:t xml:space="preserve">(b) Stock-based compensation expense of 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17"/>
          <w:u w:val="none"/>
          <w:effect w:val="none"/>
          <w:shd w:fill="E4E4E4" w:val="clear"/>
        </w:rPr>
        <w:t>$9 million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17"/>
          <w:shd w:fill="E4E4E4" w:val="clear"/>
        </w:rPr>
        <w:t xml:space="preserve">for both the 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17"/>
          <w:u w:val="none"/>
          <w:effect w:val="none"/>
          <w:shd w:fill="E4E4E4" w:val="clear"/>
        </w:rPr>
        <w:t>three and six months ended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17"/>
          <w:u w:val="none"/>
          <w:effect w:val="none"/>
          <w:shd w:fill="E4E4E4" w:val="clear"/>
        </w:rPr>
        <w:t>June 30, 2026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17"/>
          <w:shd w:fill="E4E4E4" w:val="clear"/>
        </w:rPr>
        <w:t xml:space="preserve">(Successor), and 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17"/>
          <w:u w:val="none"/>
          <w:effect w:val="none"/>
          <w:shd w:fill="E4E4E4" w:val="clear"/>
        </w:rPr>
        <w:t>$4 million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17"/>
          <w:shd w:fill="E4E4E4" w:val="clear"/>
        </w:rPr>
        <w:t xml:space="preserve">for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7"/>
          <w:shd w:fill="E4E4E4" w:val="clear"/>
        </w:rPr>
        <w:t xml:space="preserve">both the 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17"/>
          <w:u w:val="none"/>
          <w:effect w:val="none"/>
          <w:shd w:fill="E4E4E4" w:val="clear"/>
        </w:rPr>
        <w:t>three and six months ended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17"/>
          <w:u w:val="none"/>
          <w:effect w:val="none"/>
          <w:shd w:fill="E4E4E4" w:val="clear"/>
        </w:rPr>
        <w:t>June 30, 2025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17"/>
          <w:shd w:fill="E4E4E4" w:val="clear"/>
        </w:rPr>
        <w:t>(Predecessor) is included in “Restructuring and transaction-related items.”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100" name="Image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37" descr="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SUPPLEMENTAL DISCLOSURES REGARDING NON-GAAP FINANCIAL MEASURES (Continued)</w: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825"/>
                <wp:effectExtent l="0" t="0" r="0" b="0"/>
                <wp:wrapNone/>
                <wp:docPr id="101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8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825"/>
                                  <wp:effectExtent l="0" t="0" r="0" b="0"/>
                                  <wp:docPr id="102" name="Image38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" name="Image38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5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825"/>
                            <wp:effectExtent l="0" t="0" r="0" b="0"/>
                            <wp:docPr id="103" name="Image38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3" name="Image38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 xml:space="preserve">(Unaudited; in millions, except per share amounts)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Three Months Ended </w:t>
      </w:r>
      <w:r>
        <w:rPr>
          <w:rFonts w:ascii="Calibri;sans-serif" w:hAnsi="Calibri;sans-serif"/>
          <w:b w:val="false"/>
          <w:i/>
          <w:strike w:val="false"/>
          <w:dstrike w:val="false"/>
          <w:sz w:val="24"/>
          <w:u w:val="none"/>
          <w:effect w:val="none"/>
          <w:shd w:fill="E4E4E4" w:val="clear"/>
        </w:rPr>
        <w:t>June 30, 2026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(a) Reflects severance costs associated with changes in management and aligning the business around our strategic priorities </w: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page">
                  <wp:posOffset>885825</wp:posOffset>
                </wp:positionH>
                <wp:positionV relativeFrom="line">
                  <wp:posOffset>635</wp:posOffset>
                </wp:positionV>
                <wp:extent cx="6000750" cy="2787015"/>
                <wp:effectExtent l="0" t="0" r="0" b="0"/>
                <wp:wrapNone/>
                <wp:docPr id="104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0" cy="27870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860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431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576"/>
                            </w:tblGrid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76" w:type="dxa"/>
                                  <w:gridSpan w:val="15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76" w:type="dxa"/>
                                  <w:gridSpan w:val="15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Reported (GAAP)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Items affecting comparability: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Restructuring charges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(a)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Transaction-related items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(b)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Discrete tax items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Adjusted (Non-GAAP)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2.5pt;height:219.45pt;mso-wrap-distance-left:0pt;mso-wrap-distance-right:0pt;mso-wrap-distance-top:0pt;mso-wrap-distance-bottom:0pt;margin-top:0pt;mso-position-vertical:top;mso-position-vertical-relative:text;margin-left:69.75pt;mso-position-horizontal-relative:page">
                <v:textbox>
                  <w:txbxContent>
                    <w:tbl>
                      <w:tblPr>
                        <w:tblW w:w="860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431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576"/>
                      </w:tblGrid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76" w:type="dxa"/>
                            <w:gridSpan w:val="15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76" w:type="dxa"/>
                            <w:gridSpan w:val="15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00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00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00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Reported (GAAP)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Items affecting comparability:</w:t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Restructuring charges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(a)</w:t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Transaction-related items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(b)</w:t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Discrete tax items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Adjusted (Non-GAAP)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page">
                  <wp:posOffset>2162175</wp:posOffset>
                </wp:positionH>
                <wp:positionV relativeFrom="line">
                  <wp:posOffset>635</wp:posOffset>
                </wp:positionV>
                <wp:extent cx="3838575" cy="154940"/>
                <wp:effectExtent l="0" t="0" r="0" b="0"/>
                <wp:wrapNone/>
                <wp:docPr id="105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1549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Successor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2.25pt;height:12.2pt;mso-wrap-distance-left:0pt;mso-wrap-distance-right:0pt;mso-wrap-distance-top:0pt;mso-wrap-distance-bottom:0pt;margin-top:0pt;mso-position-vertical:top;mso-position-vertical-relative:text;margin-left:1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50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Successor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>following the Skydance Transactions.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(b) Principally reflects legal, advisory, and other professional fees associated with the planned WBD Merger and related 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>integration.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Three Months Ended </w:t>
      </w:r>
      <w:r>
        <w:rPr>
          <w:rFonts w:ascii="Calibri;sans-serif" w:hAnsi="Calibri;sans-serif"/>
          <w:b w:val="false"/>
          <w:i/>
          <w:strike w:val="false"/>
          <w:dstrike w:val="false"/>
          <w:sz w:val="24"/>
          <w:u w:val="none"/>
          <w:effect w:val="none"/>
          <w:shd w:fill="E4E4E4" w:val="clear"/>
        </w:rPr>
        <w:t>June 30, 2025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(a)  Reflects a charge to reduce the carrying values of FCC licenses in certain markets to their estimated fair values. </w: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page">
                  <wp:posOffset>885825</wp:posOffset>
                </wp:positionH>
                <wp:positionV relativeFrom="line">
                  <wp:posOffset>635</wp:posOffset>
                </wp:positionV>
                <wp:extent cx="6000750" cy="3031490"/>
                <wp:effectExtent l="0" t="0" r="0" b="0"/>
                <wp:wrapNone/>
                <wp:docPr id="106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0" cy="30314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860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431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576"/>
                            </w:tblGrid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76" w:type="dxa"/>
                                  <w:gridSpan w:val="15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76" w:type="dxa"/>
                                  <w:gridSpan w:val="15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Reported (GAAP)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Items affecting comparability: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Impairment charges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(a)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Restructuring charges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(b)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Transaction-related items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(c)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Discrete tax items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Adjusted (Non-GAAP)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2.5pt;height:238.7pt;mso-wrap-distance-left:0pt;mso-wrap-distance-right:0pt;mso-wrap-distance-top:0pt;mso-wrap-distance-bottom:0pt;margin-top:0pt;mso-position-vertical:top;mso-position-vertical-relative:text;margin-left:69.75pt;mso-position-horizontal-relative:page">
                <v:textbox>
                  <w:txbxContent>
                    <w:tbl>
                      <w:tblPr>
                        <w:tblW w:w="860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431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576"/>
                      </w:tblGrid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76" w:type="dxa"/>
                            <w:gridSpan w:val="15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76" w:type="dxa"/>
                            <w:gridSpan w:val="15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00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00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00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Reported (GAAP)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Items affecting comparability:</w:t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Impairment charges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(a)</w:t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Restructuring charges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(b)</w:t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Transaction-related items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(c)</w:t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Discrete tax items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Adjusted (Non-GAAP)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2162175</wp:posOffset>
                </wp:positionH>
                <wp:positionV relativeFrom="line">
                  <wp:posOffset>635</wp:posOffset>
                </wp:positionV>
                <wp:extent cx="3838575" cy="154940"/>
                <wp:effectExtent l="0" t="0" r="0" b="0"/>
                <wp:wrapNone/>
                <wp:docPr id="107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1549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Predecessor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2.25pt;height:12.2pt;mso-wrap-distance-left:0pt;mso-wrap-distance-right:0pt;mso-wrap-distance-top:0pt;mso-wrap-distance-bottom:0pt;margin-top:0pt;mso-position-vertical:top;mso-position-vertical-relative:text;margin-left:1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50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Predecessor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>(b) Reflects severance costs associated with strategic changes in our global workforce.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>(c) Reflects legal, advisory, and other professional fees relating to the Skydance Transactions.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108" name="Image3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39" descr="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SUPPLEMENTAL DISCLOSURES REGARDING NON-GAAP FINANCIAL MEASURES (Continued)</w: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825"/>
                <wp:effectExtent l="0" t="0" r="0" b="0"/>
                <wp:wrapNone/>
                <wp:docPr id="109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8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825"/>
                                  <wp:effectExtent l="0" t="0" r="0" b="0"/>
                                  <wp:docPr id="110" name="Image40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0" name="Image40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5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825"/>
                            <wp:effectExtent l="0" t="0" r="0" b="0"/>
                            <wp:docPr id="111" name="Image40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1" name="Image40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 xml:space="preserve">(Unaudited; in millions, except per share amounts)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Calibri;sans-serif" w:hAnsi="Calibri;sans-serif"/>
          <w:b w:val="false"/>
          <w:i/>
          <w:strike w:val="false"/>
          <w:dstrike w:val="false"/>
          <w:sz w:val="24"/>
          <w:u w:val="none"/>
          <w:effect w:val="none"/>
          <w:shd w:fill="E4E4E4" w:val="clear"/>
        </w:rPr>
        <w:t>Six Months Ended</w:t>
      </w:r>
      <w:r>
        <w:rPr>
          <w:rFonts w:ascii="Arial;sans-serif" w:hAnsi="Arial;sans-serif"/>
          <w:caps w:val="false"/>
          <w:smallCaps w:val="false"/>
          <w:sz w:val="24"/>
          <w:shd w:fill="E4E4E4" w:val="clear"/>
        </w:rPr>
        <w:t xml:space="preserve"> </w:t>
      </w:r>
      <w:r>
        <w:rPr>
          <w:rFonts w:ascii="Calibri;sans-serif" w:hAnsi="Calibri;sans-serif"/>
          <w:b w:val="false"/>
          <w:i/>
          <w:strike w:val="false"/>
          <w:dstrike w:val="false"/>
          <w:sz w:val="24"/>
          <w:u w:val="none"/>
          <w:effect w:val="none"/>
          <w:shd w:fill="E4E4E4" w:val="clear"/>
        </w:rPr>
        <w:t>June 30, 2026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(a) Reflects severance costs associated with changes in management and aligning the business around our strategic priorities </w: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885825</wp:posOffset>
                </wp:positionH>
                <wp:positionV relativeFrom="line">
                  <wp:posOffset>635</wp:posOffset>
                </wp:positionV>
                <wp:extent cx="6000750" cy="2787015"/>
                <wp:effectExtent l="0" t="0" r="0" b="0"/>
                <wp:wrapNone/>
                <wp:docPr id="112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0" cy="27870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860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431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576"/>
                            </w:tblGrid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76" w:type="dxa"/>
                                  <w:gridSpan w:val="15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76" w:type="dxa"/>
                                  <w:gridSpan w:val="15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Reported (GAAP)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Items affecting comparability: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Restructuring charges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(a)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Transaction-related items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(b)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Discrete tax items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Adjusted (Non-GAAP)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2.5pt;height:219.45pt;mso-wrap-distance-left:0pt;mso-wrap-distance-right:0pt;mso-wrap-distance-top:0pt;mso-wrap-distance-bottom:0pt;margin-top:0pt;mso-position-vertical:top;mso-position-vertical-relative:text;margin-left:69.75pt;mso-position-horizontal-relative:page">
                <v:textbox>
                  <w:txbxContent>
                    <w:tbl>
                      <w:tblPr>
                        <w:tblW w:w="860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431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576"/>
                      </w:tblGrid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76" w:type="dxa"/>
                            <w:gridSpan w:val="15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76" w:type="dxa"/>
                            <w:gridSpan w:val="15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00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00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00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Reported (GAAP)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Items affecting comparability:</w:t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Restructuring charges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(a)</w:t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Transaction-related items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(b)</w:t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Discrete tax items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Adjusted (Non-GAAP)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2162175</wp:posOffset>
                </wp:positionH>
                <wp:positionV relativeFrom="line">
                  <wp:posOffset>635</wp:posOffset>
                </wp:positionV>
                <wp:extent cx="3838575" cy="154940"/>
                <wp:effectExtent l="0" t="0" r="0" b="0"/>
                <wp:wrapNone/>
                <wp:docPr id="113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1549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Successor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2.25pt;height:12.2pt;mso-wrap-distance-left:0pt;mso-wrap-distance-right:0pt;mso-wrap-distance-top:0pt;mso-wrap-distance-bottom:0pt;margin-top:0pt;mso-position-vertical:top;mso-position-vertical-relative:text;margin-left:1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50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Successor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>following the Skydance Transactions.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(b) Principally reflects legal, advisory, and other professional fees associated with the planned WBD Merger and related 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>integration.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Calibri;sans-serif" w:hAnsi="Calibri;sans-serif"/>
          <w:b w:val="false"/>
          <w:i/>
          <w:strike w:val="false"/>
          <w:dstrike w:val="false"/>
          <w:sz w:val="24"/>
          <w:u w:val="none"/>
          <w:effect w:val="none"/>
          <w:shd w:fill="E4E4E4" w:val="clear"/>
        </w:rPr>
        <w:t>Six Months Ended</w:t>
      </w:r>
      <w:r>
        <w:rPr>
          <w:rFonts w:ascii="Arial;sans-serif" w:hAnsi="Arial;sans-serif"/>
          <w:sz w:val="24"/>
          <w:shd w:fill="E4E4E4" w:val="clear"/>
        </w:rPr>
        <w:t xml:space="preserve"> </w:t>
      </w:r>
      <w:r>
        <w:rPr>
          <w:rFonts w:ascii="Calibri;sans-serif" w:hAnsi="Calibri;sans-serif"/>
          <w:b w:val="false"/>
          <w:i/>
          <w:strike w:val="false"/>
          <w:dstrike w:val="false"/>
          <w:sz w:val="24"/>
          <w:u w:val="none"/>
          <w:effect w:val="none"/>
          <w:shd w:fill="E4E4E4" w:val="clear"/>
        </w:rPr>
        <w:t>June 30, 2025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(a) Reflects a charge to reduce the carrying values of FCC licenses in certain markets to their estimated fair values. </w: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885825</wp:posOffset>
                </wp:positionH>
                <wp:positionV relativeFrom="line">
                  <wp:posOffset>635</wp:posOffset>
                </wp:positionV>
                <wp:extent cx="6000750" cy="3275965"/>
                <wp:effectExtent l="0" t="0" r="0" b="0"/>
                <wp:wrapNone/>
                <wp:docPr id="114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0" cy="327596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860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431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400"/>
                              <w:gridCol w:w="576"/>
                            </w:tblGrid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76" w:type="dxa"/>
                                  <w:gridSpan w:val="15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176" w:type="dxa"/>
                                  <w:gridSpan w:val="15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37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Reported (GAAP)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Items affecting comparability: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Impairment charges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(a)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Restructuring charges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(b)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 xml:space="preserve">Transaction-related items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(c)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0"/>
                                    </w:rPr>
                                    <w:t>Gain on dispositions</w:t>
                                  </w:r>
                                  <w:r>
                                    <w:rPr>
                                      <w:caps w:val="false"/>
                                      <w:smallCaps w:val="fals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3"/>
                                    </w:rPr>
                                    <w:t>(d)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Discrete tax items 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431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0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>Adjusted (Non-GAAP)</w:t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0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76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2.5pt;height:257.95pt;mso-wrap-distance-left:0pt;mso-wrap-distance-right:0pt;mso-wrap-distance-top:0pt;mso-wrap-distance-bottom:0pt;margin-top:0pt;mso-position-vertical:top;mso-position-vertical-relative:text;margin-left:69.75pt;mso-position-horizontal-relative:page">
                <v:textbox>
                  <w:txbxContent>
                    <w:tbl>
                      <w:tblPr>
                        <w:tblW w:w="860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431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400"/>
                        <w:gridCol w:w="576"/>
                      </w:tblGrid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76" w:type="dxa"/>
                            <w:gridSpan w:val="15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176" w:type="dxa"/>
                            <w:gridSpan w:val="15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00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00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00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37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Reported (GAAP)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Items affecting comparability:</w:t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Impairment charges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(a)</w:t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Restructuring charges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(b)</w:t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Transaction-related items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(c)</w:t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Gain on dispositions</w:t>
                            </w: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3"/>
                              </w:rPr>
                              <w:t>(d)</w:t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Discrete tax items 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431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Adjusted (Non-GAAP)</w:t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0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76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2162175</wp:posOffset>
                </wp:positionH>
                <wp:positionV relativeFrom="line">
                  <wp:posOffset>635</wp:posOffset>
                </wp:positionV>
                <wp:extent cx="3838575" cy="154940"/>
                <wp:effectExtent l="0" t="0" r="0" b="0"/>
                <wp:wrapNone/>
                <wp:docPr id="115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1549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50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Predecessor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2.25pt;height:12.2pt;mso-wrap-distance-left:0pt;mso-wrap-distance-right:0pt;mso-wrap-distance-top:0pt;mso-wrap-distance-bottom:0pt;margin-top:0pt;mso-position-vertical:top;mso-position-vertical-relative:text;margin-left:1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50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Predecessor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>(b) Includes severance costs and charges for the impairment of lease assets.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>(c) Reflects legal, advisory, and other professional fees relating to the Skydance Transactions.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(d) Principally reflects a gain associated with the disposition of a noncore business. 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116" name="Image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41" descr="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SUPPLEMENTAL DISCLOSURES REGARDING NON-GAAP FINANCIAL MEASURES (Continued)</w: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825"/>
                <wp:effectExtent l="0" t="0" r="0" b="0"/>
                <wp:wrapNone/>
                <wp:docPr id="117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8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825"/>
                                  <wp:effectExtent l="0" t="0" r="0" b="0"/>
                                  <wp:docPr id="118" name="Image4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8" name="Image4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5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825"/>
                            <wp:effectExtent l="0" t="0" r="0" b="0"/>
                            <wp:docPr id="119" name="Image4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9" name="Image4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 xml:space="preserve">(Unaudited; in millions)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Beginning in 2026, we transitioned our reporting structure into three new segments: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Studios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,</w:t>
      </w:r>
      <w:r>
        <w:rPr>
          <w:rFonts w:ascii="Arial;sans-serif" w:hAnsi="Arial;sans-serif"/>
          <w:shd w:fill="E4E4E4" w:val="clear"/>
        </w:rPr>
        <w:t xml:space="preserve">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Direct-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>to-Consumer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and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TV Media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and updated our segment expense allocations to better reflect how we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operate and make cost decisions across the business. As a result of the new accounting basis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established for Paramount Global’s net assets upon the closing of the Skydance Transactions (see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>Financial Statement Presentation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), the GAAP basis for our segment information for the Predecessor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period is based on our previous segments,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Filmed Entertainment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Direct-to-Consumer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, and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TV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>Media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. To provide information consistent with how management reviews results, this letter includes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non-GAAP presentations in which the 2025 Predecessor amounts have been recast under the new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segment presentation and therefore constitute a non</w:t>
        <w:noBreakHyphen/>
        <w:t xml:space="preserve">GAAP presentation. Reconciliations from the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GAAP presentation to this recast non-GAAP presentation are provided on the following pages. 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u w:val="single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u w:val="single"/>
          <w:shd w:fill="E4E4E4" w:val="clear"/>
        </w:rPr>
        <w:t>Studios/Filmed Entertainment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Our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Studios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segment 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consists of our television and film studio operations, including CBS Studios,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Paramount Television Studios, Nickelodeon Animation, Paramount Pictures, Paramount Animation,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and Miramax, as well as Skydance Animation, Film, and Television, Paramount Sports Entertainment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and Paramount Games Studios. For the Predecessor period, our </w:t>
      </w:r>
      <w:r>
        <w:rPr>
          <w:rFonts w:ascii="Calibri;sans-serif" w:hAnsi="Calibri;sans-serif"/>
          <w:b w:val="false"/>
          <w:i/>
          <w:strike w:val="false"/>
          <w:dstrike w:val="false"/>
          <w:sz w:val="24"/>
          <w:u w:val="none"/>
          <w:effect w:val="none"/>
          <w:shd w:fill="FFFFFF" w:val="clear"/>
        </w:rPr>
        <w:t>Filmed Entertainment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segment was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most comparable to our new </w:t>
      </w:r>
      <w:r>
        <w:rPr>
          <w:rFonts w:ascii="Calibri;sans-serif" w:hAnsi="Calibri;sans-serif"/>
          <w:b w:val="false"/>
          <w:i/>
          <w:strike w:val="false"/>
          <w:dstrike w:val="false"/>
          <w:sz w:val="24"/>
          <w:u w:val="none"/>
          <w:effect w:val="none"/>
          <w:shd w:fill="FFFFFF" w:val="clear"/>
        </w:rPr>
        <w:t>Studios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segment and excluded studio operations related to our </w:t>
      </w:r>
      <w:r>
        <w:rPr>
          <w:rFonts w:ascii="Calibri;sans-serif" w:hAnsi="Calibri;sans-serif"/>
          <w:b w:val="false"/>
          <w:i/>
          <w:strike w:val="false"/>
          <w:dstrike w:val="false"/>
          <w:sz w:val="24"/>
          <w:u w:val="none"/>
          <w:effect w:val="none"/>
          <w:shd w:fill="FFFFFF" w:val="clear"/>
        </w:rPr>
        <w:t xml:space="preserve">TV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/>
          <w:strike w:val="false"/>
          <w:dstrike w:val="false"/>
          <w:sz w:val="24"/>
          <w:u w:val="none"/>
          <w:effect w:val="none"/>
          <w:shd w:fill="FFFFFF" w:val="clear"/>
        </w:rPr>
        <w:t>Media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>businesses, including CBS Studios and Paramount Television Studios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2"/>
          <w:shd w:fill="E4E4E4" w:val="clear"/>
        </w:rPr>
        <w:t>.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/>
          <w:sz w:val="24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>Three Months Ended June 30, 2025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120" name="Image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43" descr="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766445</wp:posOffset>
                </wp:positionH>
                <wp:positionV relativeFrom="line">
                  <wp:posOffset>635</wp:posOffset>
                </wp:positionV>
                <wp:extent cx="6238875" cy="4351655"/>
                <wp:effectExtent l="0" t="0" r="0" b="0"/>
                <wp:wrapNone/>
                <wp:docPr id="121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8875" cy="4351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659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3421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675"/>
                              <w:gridCol w:w="675"/>
                              <w:gridCol w:w="956"/>
                            </w:tblGrid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5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306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30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306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306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30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Theatrical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5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Licensing and other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5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Advertising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5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Revenues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5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5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Content costs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5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Advertising and marketing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5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Other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5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Expenses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5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5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2"/>
                                    </w:rPr>
                                    <w:t xml:space="preserve">Adjusted EBITDA/Adjusted OIBDA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4"/>
                                    </w:rPr>
                                    <w:t>(a)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75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56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1.25pt;height:342.65pt;mso-wrap-distance-left:0pt;mso-wrap-distance-right:0pt;mso-wrap-distance-top:0pt;mso-wrap-distance-bottom:0pt;margin-top:0pt;mso-position-vertical:top;mso-position-vertical-relative:text;margin-left:60.35pt;mso-position-horizontal-relative:page">
                <v:textbox>
                  <w:txbxContent>
                    <w:tbl>
                      <w:tblPr>
                        <w:tblW w:w="659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3421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675"/>
                        <w:gridCol w:w="675"/>
                        <w:gridCol w:w="956"/>
                      </w:tblGrid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5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306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30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306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306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30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Theatrical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5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Licensing and other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5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Advertising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5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Revenues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5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5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Content costs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5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Advertising and marketing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5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Other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5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Expenses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5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5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 xml:space="preserve">Adjusted EBITDA/Adjusted OIBDA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4"/>
                              </w:rPr>
                              <w:t>(a)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75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56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2409825</wp:posOffset>
                </wp:positionH>
                <wp:positionV relativeFrom="line">
                  <wp:posOffset>635</wp:posOffset>
                </wp:positionV>
                <wp:extent cx="1381125" cy="170815"/>
                <wp:effectExtent l="0" t="0" r="0" b="0"/>
                <wp:wrapNone/>
                <wp:docPr id="122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.75pt;height:13.45pt;mso-wrap-distance-left:0pt;mso-wrap-distance-right:0pt;mso-wrap-distance-top:0pt;mso-wrap-distance-bottom:0pt;margin-top:0pt;mso-position-vertical:top;mso-position-vertical-relative:text;margin-left:1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4857750</wp:posOffset>
                </wp:positionH>
                <wp:positionV relativeFrom="line">
                  <wp:posOffset>635</wp:posOffset>
                </wp:positionV>
                <wp:extent cx="1381125" cy="170815"/>
                <wp:effectExtent l="0" t="0" r="0" b="0"/>
                <wp:wrapNone/>
                <wp:docPr id="123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Non-GAAP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.75pt;height:13.45pt;mso-wrap-distance-left:0pt;mso-wrap-distance-right:0pt;mso-wrap-distance-top:0pt;mso-wrap-distance-bottom:0pt;margin-top:0pt;mso-position-vertical:top;mso-position-vertical-relative:text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Non-GAAP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23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SUPPLEMENTAL DISCLOSURES REGARDING NON-GAAP FINANCIAL MEASURES (Continued)</w: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825"/>
                <wp:effectExtent l="0" t="0" r="0" b="0"/>
                <wp:wrapNone/>
                <wp:docPr id="124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8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825"/>
                                  <wp:effectExtent l="0" t="0" r="0" b="0"/>
                                  <wp:docPr id="125" name="Image44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5" name="Image44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5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825"/>
                            <wp:effectExtent l="0" t="0" r="0" b="0"/>
                            <wp:docPr id="126" name="Image44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6" name="Image44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 xml:space="preserve">(Unaudited; in millions)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/>
          <w:sz w:val="24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>Period from July 1-August 6, 2025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(a)  In the first quarter of 2026, we renamed our primary measure of profit and loss for our operating segments from Adjusted </w: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771525</wp:posOffset>
                </wp:positionH>
                <wp:positionV relativeFrom="line">
                  <wp:posOffset>635</wp:posOffset>
                </wp:positionV>
                <wp:extent cx="6229350" cy="4351655"/>
                <wp:effectExtent l="0" t="0" r="0" b="0"/>
                <wp:wrapNone/>
                <wp:docPr id="127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4351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650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3421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649"/>
                              <w:gridCol w:w="649"/>
                              <w:gridCol w:w="918"/>
                            </w:tblGrid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16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1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16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16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1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Theatrical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Licensing and other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Advertising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Revenues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Content costs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Advertising and marketing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Other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Expenses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2"/>
                                    </w:rPr>
                                    <w:t xml:space="preserve">Adjusted EBITDA/Adjusted OIBDA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4"/>
                                    </w:rPr>
                                    <w:t>(a)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5pt;height:342.65pt;mso-wrap-distance-left:0pt;mso-wrap-distance-right:0pt;mso-wrap-distance-top:0pt;mso-wrap-distance-bottom:0pt;margin-top:0pt;mso-position-vertical:top;mso-position-vertical-relative:text;margin-left:60.75pt;mso-position-horizontal-relative:page">
                <v:textbox>
                  <w:txbxContent>
                    <w:tbl>
                      <w:tblPr>
                        <w:tblW w:w="650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3421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649"/>
                        <w:gridCol w:w="649"/>
                        <w:gridCol w:w="918"/>
                      </w:tblGrid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16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1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16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16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1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Theatrical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Licensing and other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Advertising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Revenues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Content costs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Advertising and marketing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Other 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Expenses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 xml:space="preserve">Adjusted EBITDA/Adjusted OIBDA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4"/>
                              </w:rPr>
                              <w:t>(a)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2447925</wp:posOffset>
                </wp:positionH>
                <wp:positionV relativeFrom="line">
                  <wp:posOffset>635</wp:posOffset>
                </wp:positionV>
                <wp:extent cx="1323975" cy="170815"/>
                <wp:effectExtent l="0" t="0" r="0" b="0"/>
                <wp:wrapNone/>
                <wp:docPr id="128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4.25pt;height:13.45pt;mso-wrap-distance-left:0pt;mso-wrap-distance-right:0pt;mso-wrap-distance-top:0pt;mso-wrap-distance-bottom:0pt;margin-top:0pt;mso-position-vertical:top;mso-position-vertical-relative:text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4905375</wp:posOffset>
                </wp:positionH>
                <wp:positionV relativeFrom="line">
                  <wp:posOffset>635</wp:posOffset>
                </wp:positionV>
                <wp:extent cx="1323975" cy="170815"/>
                <wp:effectExtent l="0" t="0" r="0" b="0"/>
                <wp:wrapNone/>
                <wp:docPr id="129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Non-GAAP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4.25pt;height:13.45pt;mso-wrap-distance-left:0pt;mso-wrap-distance-right:0pt;mso-wrap-distance-top:0pt;mso-wrap-distance-bottom:0pt;margin-top:0pt;mso-position-vertical:top;mso-position-vertical-relative:text;margin-left:38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Non-GAAP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>OIBDA to Adjusted EBITDA.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(b) Reflects the inclusion of the historical </w:t>
      </w:r>
      <w:r>
        <w:rPr>
          <w:rFonts w:ascii="Calibri;sans-serif" w:hAnsi="Calibri;sans-serif"/>
          <w:b w:val="false"/>
          <w:i/>
          <w:sz w:val="18"/>
          <w:shd w:fill="E4E4E4" w:val="clear"/>
        </w:rPr>
        <w:t>TV Media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studio operations and updates to our segment expense allocations to better 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>reflect how we operate and make cost decisions across the business.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130" name="Image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45" descr="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24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SUPPLEMENTAL DISCLOSURES REGARDING NON-GAAP FINANCIAL MEASURES (Continued)</w: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825"/>
                <wp:effectExtent l="0" t="0" r="0" b="0"/>
                <wp:wrapNone/>
                <wp:docPr id="131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8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825"/>
                                  <wp:effectExtent l="0" t="0" r="0" b="0"/>
                                  <wp:docPr id="132" name="Image46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2" name="Image46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5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825"/>
                            <wp:effectExtent l="0" t="0" r="0" b="0"/>
                            <wp:docPr id="133" name="Image46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3" name="Image46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 xml:space="preserve">(Unaudited; in millions)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u w:val="single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u w:val="single"/>
          <w:shd w:fill="E4E4E4" w:val="clear"/>
        </w:rPr>
        <w:t xml:space="preserve">Direct-to-Consumer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Our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Direct-to-Consumer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segment consists of our portfolio of domestic and international pay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free streaming services, including Paramount+ and Pluto TV, as well as our domestic premium cable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network, Paramount+ with Showtime. For the Predecessor period, the </w:t>
      </w:r>
      <w:r>
        <w:rPr>
          <w:rFonts w:ascii="Calibri;sans-serif" w:hAnsi="Calibri;sans-serif"/>
          <w:b w:val="false"/>
          <w:i/>
          <w:strike w:val="false"/>
          <w:dstrike w:val="false"/>
          <w:sz w:val="24"/>
          <w:u w:val="none"/>
          <w:effect w:val="none"/>
          <w:shd w:fill="FFFFFF" w:val="clear"/>
        </w:rPr>
        <w:t>Direct-to-Consumer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FFFFFF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segment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excluded Paramount+ with Showtime.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/>
          <w:sz w:val="24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>Three Months Ended June 30, 2025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134" name="Image4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47" descr="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775970</wp:posOffset>
                </wp:positionH>
                <wp:positionV relativeFrom="line">
                  <wp:posOffset>635</wp:posOffset>
                </wp:positionV>
                <wp:extent cx="6219825" cy="4351655"/>
                <wp:effectExtent l="0" t="0" r="0" b="0"/>
                <wp:wrapNone/>
                <wp:docPr id="135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9825" cy="4351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650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3421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649"/>
                              <w:gridCol w:w="649"/>
                              <w:gridCol w:w="918"/>
                            </w:tblGrid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16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1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16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16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1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Advertising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Affiliate and subscription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Licensing and other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Revenues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Content costs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Advertising and marketing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Other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Expenses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2"/>
                                    </w:rPr>
                                    <w:t xml:space="preserve">Adjusted EBITDA/Adjusted OIBDA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4"/>
                                    </w:rPr>
                                    <w:t>(a)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9.75pt;height:342.65pt;mso-wrap-distance-left:0pt;mso-wrap-distance-right:0pt;mso-wrap-distance-top:0pt;mso-wrap-distance-bottom:0pt;margin-top:0pt;mso-position-vertical:top;mso-position-vertical-relative:text;margin-left:61.1pt;mso-position-horizontal-relative:page">
                <v:textbox>
                  <w:txbxContent>
                    <w:tbl>
                      <w:tblPr>
                        <w:tblW w:w="650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3421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649"/>
                        <w:gridCol w:w="649"/>
                        <w:gridCol w:w="918"/>
                      </w:tblGrid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16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1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16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16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1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Advertising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Affiliate and subscription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Licensing and other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Revenues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Content costs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Advertising and marketing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Other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Expenses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 xml:space="preserve">Adjusted EBITDA/Adjusted OIBDA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4"/>
                              </w:rPr>
                              <w:t>(a)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2514600</wp:posOffset>
                </wp:positionH>
                <wp:positionV relativeFrom="line">
                  <wp:posOffset>635</wp:posOffset>
                </wp:positionV>
                <wp:extent cx="1323975" cy="170815"/>
                <wp:effectExtent l="0" t="0" r="0" b="0"/>
                <wp:wrapNone/>
                <wp:docPr id="136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4.25pt;height:13.45pt;mso-wrap-distance-left:0pt;mso-wrap-distance-right:0pt;mso-wrap-distance-top:0pt;mso-wrap-distance-bottom:0pt;margin-top:0pt;mso-position-vertical:top;mso-position-vertical-relative:text;margin-left:19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4895850</wp:posOffset>
                </wp:positionH>
                <wp:positionV relativeFrom="line">
                  <wp:posOffset>635</wp:posOffset>
                </wp:positionV>
                <wp:extent cx="1323975" cy="170815"/>
                <wp:effectExtent l="0" t="0" r="0" b="0"/>
                <wp:wrapNone/>
                <wp:docPr id="137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Non-GAAP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4.25pt;height:13.45pt;mso-wrap-distance-left:0pt;mso-wrap-distance-right:0pt;mso-wrap-distance-top:0pt;mso-wrap-distance-bottom:0pt;margin-top:0pt;mso-position-vertical:top;mso-position-vertical-relative:text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Non-GAAP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25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SUPPLEMENTAL DISCLOSURES REGARDING NON-GAAP FINANCIAL MEASURES (Continued)</w: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825"/>
                <wp:effectExtent l="0" t="0" r="0" b="0"/>
                <wp:wrapNone/>
                <wp:docPr id="138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8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825"/>
                                  <wp:effectExtent l="0" t="0" r="0" b="0"/>
                                  <wp:docPr id="139" name="Image48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9" name="Image48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5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825"/>
                            <wp:effectExtent l="0" t="0" r="0" b="0"/>
                            <wp:docPr id="140" name="Image48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0" name="Image48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 xml:space="preserve">(Unaudited; in millions)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/>
          <w:sz w:val="24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>Period from July 1-August 6, 2025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(a)  In the first quarter of 2026, we renamed our primary measure of profit and loss for our operating segments from Adjusted </w: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771525</wp:posOffset>
                </wp:positionH>
                <wp:positionV relativeFrom="line">
                  <wp:posOffset>635</wp:posOffset>
                </wp:positionV>
                <wp:extent cx="6229350" cy="4107180"/>
                <wp:effectExtent l="0" t="0" r="0" b="0"/>
                <wp:wrapNone/>
                <wp:docPr id="141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41071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650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3421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649"/>
                              <w:gridCol w:w="649"/>
                              <w:gridCol w:w="918"/>
                            </w:tblGrid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16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1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16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16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21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Advertising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Affiliate and subscription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Revenues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Content costs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Advertising and marketing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Other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Expenses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2"/>
                                    </w:rPr>
                                    <w:t xml:space="preserve">Adjusted EBITDA/Adjusted OIBDA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4"/>
                                    </w:rPr>
                                    <w:t>(a)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5pt;height:323.4pt;mso-wrap-distance-left:0pt;mso-wrap-distance-right:0pt;mso-wrap-distance-top:0pt;mso-wrap-distance-bottom:0pt;margin-top:0pt;mso-position-vertical:top;mso-position-vertical-relative:text;margin-left:60.75pt;mso-position-horizontal-relative:page">
                <v:textbox>
                  <w:txbxContent>
                    <w:tbl>
                      <w:tblPr>
                        <w:tblW w:w="650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3421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649"/>
                        <w:gridCol w:w="649"/>
                        <w:gridCol w:w="918"/>
                      </w:tblGrid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16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1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16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16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21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Advertising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Affiliate and subscription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Revenues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Content costs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Advertising and marketing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Other 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Expenses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 xml:space="preserve">Adjusted EBITDA/Adjusted OIBDA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4"/>
                              </w:rPr>
                              <w:t>(a)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18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2505075</wp:posOffset>
                </wp:positionH>
                <wp:positionV relativeFrom="line">
                  <wp:posOffset>635</wp:posOffset>
                </wp:positionV>
                <wp:extent cx="1323975" cy="170815"/>
                <wp:effectExtent l="0" t="0" r="0" b="0"/>
                <wp:wrapNone/>
                <wp:docPr id="142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4.25pt;height:13.45pt;mso-wrap-distance-left:0pt;mso-wrap-distance-right:0pt;mso-wrap-distance-top:0pt;mso-wrap-distance-bottom:0pt;margin-top:0pt;mso-position-vertical:top;mso-position-vertical-relative:text;margin-left:19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4905375</wp:posOffset>
                </wp:positionH>
                <wp:positionV relativeFrom="line">
                  <wp:posOffset>635</wp:posOffset>
                </wp:positionV>
                <wp:extent cx="1323975" cy="170815"/>
                <wp:effectExtent l="0" t="0" r="0" b="0"/>
                <wp:wrapNone/>
                <wp:docPr id="143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975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Non-GAAP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4.25pt;height:13.45pt;mso-wrap-distance-left:0pt;mso-wrap-distance-right:0pt;mso-wrap-distance-top:0pt;mso-wrap-distance-bottom:0pt;margin-top:0pt;mso-position-vertical:top;mso-position-vertical-relative:text;margin-left:38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Non-GAAP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>OIBDA to Adjusted EBITDA.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(b) Reflects the inclusion of our premium cable channel, Paramount+ with Showtime, which was included in the </w:t>
      </w:r>
      <w:r>
        <w:rPr>
          <w:rFonts w:ascii="Calibri;sans-serif" w:hAnsi="Calibri;sans-serif"/>
          <w:b w:val="false"/>
          <w:i/>
          <w:sz w:val="18"/>
          <w:shd w:fill="E4E4E4" w:val="clear"/>
        </w:rPr>
        <w:t>TV Media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segment in 2025, and updates to our segment expense allocations to better reflect how we operate and make cost 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decisions across the business. 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144" name="Image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49" descr="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26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SUPPLEMENTAL DISCLOSURES REGARDING NON-GAAP FINANCIAL MEASURES (Continued)</w: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825"/>
                <wp:effectExtent l="0" t="0" r="0" b="0"/>
                <wp:wrapNone/>
                <wp:docPr id="145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8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825"/>
                                  <wp:effectExtent l="0" t="0" r="0" b="0"/>
                                  <wp:docPr id="146" name="Image50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6" name="Image50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5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825"/>
                            <wp:effectExtent l="0" t="0" r="0" b="0"/>
                            <wp:docPr id="147" name="Image50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7" name="Image50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 xml:space="preserve">(Unaudited; in millions)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u w:val="single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u w:val="single"/>
          <w:shd w:fill="E4E4E4" w:val="clear"/>
        </w:rPr>
        <w:t>TV Media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Our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>TV Media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segment consists of our (1) broadcast operations—the CBS Television Network, our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domestic broadcast television network; CBS Stations, our owned television stations; and our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international free-to-air networks, including Network 10 and Channel 5; (2) domestic basic cable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networks, including MTV, Comedy Central, Paramount Network, The Smithsonian Channel,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Nickelodeon, BET Media Group, CBS Sports Network, and international extensions of certain of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these brands; and (3) CBS Media Ventures, which produces and distributes first-run syndicated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programming.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TV Media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also includes a number of digital properties such as CBS News 24/7 for 24-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hour news and CBS Sports HQ for sports news and analysis. For the Predecessor period, the </w:t>
      </w:r>
      <w:r>
        <w:rPr>
          <w:rFonts w:ascii="Calibri;sans-serif" w:hAnsi="Calibri;sans-serif"/>
          <w:b w:val="false"/>
          <w:i/>
          <w:sz w:val="24"/>
          <w:shd w:fill="E4E4E4" w:val="clear"/>
        </w:rPr>
        <w:t xml:space="preserve">TV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>Media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segment also included television studio operations and the premium cable network,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Paramount+ with Showtime.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/>
          <w:sz w:val="24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>Three Months Ended June 30, 2025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148" name="Image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51" descr="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771525</wp:posOffset>
                </wp:positionH>
                <wp:positionV relativeFrom="line">
                  <wp:posOffset>635</wp:posOffset>
                </wp:positionV>
                <wp:extent cx="6229350" cy="4351655"/>
                <wp:effectExtent l="0" t="0" r="0" b="0"/>
                <wp:wrapNone/>
                <wp:docPr id="149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4351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6464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3421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636"/>
                              <w:gridCol w:w="636"/>
                              <w:gridCol w:w="899"/>
                            </w:tblGrid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Advertising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Affiliate and subscription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Licensing and other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Revenues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Content costs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Advertising and marketing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Other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Expenses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2"/>
                                    </w:rPr>
                                    <w:t xml:space="preserve">Adjusted EBITDA/Adjusted OIBDA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4"/>
                                    </w:rPr>
                                    <w:t>(a)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5pt;height:342.65pt;mso-wrap-distance-left:0pt;mso-wrap-distance-right:0pt;mso-wrap-distance-top:0pt;mso-wrap-distance-bottom:0pt;margin-top:0pt;mso-position-vertical:top;mso-position-vertical-relative:text;margin-left:60.75pt;mso-position-horizontal-relative:page">
                <v:textbox>
                  <w:txbxContent>
                    <w:tbl>
                      <w:tblPr>
                        <w:tblW w:w="6464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3421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636"/>
                        <w:gridCol w:w="636"/>
                        <w:gridCol w:w="899"/>
                      </w:tblGrid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Advertising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Affiliate and subscription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Licensing and other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Revenues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Content costs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Advertising and marketing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Other 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Expenses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 xml:space="preserve">Adjusted EBITDA/Adjusted OIBDA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4"/>
                              </w:rPr>
                              <w:t>(a)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2466975</wp:posOffset>
                </wp:positionH>
                <wp:positionV relativeFrom="line">
                  <wp:posOffset>635</wp:posOffset>
                </wp:positionV>
                <wp:extent cx="1295400" cy="170815"/>
                <wp:effectExtent l="0" t="0" r="0" b="0"/>
                <wp:wrapNone/>
                <wp:docPr id="150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pt;height:13.45pt;mso-wrap-distance-left:0pt;mso-wrap-distance-right:0pt;mso-wrap-distance-top:0pt;mso-wrap-distance-bottom:0pt;margin-top:0pt;mso-position-vertical:top;mso-position-vertical-relative:text;margin-left:19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4933950</wp:posOffset>
                </wp:positionH>
                <wp:positionV relativeFrom="line">
                  <wp:posOffset>635</wp:posOffset>
                </wp:positionV>
                <wp:extent cx="1295400" cy="170815"/>
                <wp:effectExtent l="0" t="0" r="0" b="0"/>
                <wp:wrapNone/>
                <wp:docPr id="151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Non-GAAP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pt;height:13.45pt;mso-wrap-distance-left:0pt;mso-wrap-distance-right:0pt;mso-wrap-distance-top:0pt;mso-wrap-distance-bottom:0pt;margin-top:0pt;mso-position-vertical:top;mso-position-vertical-relative:text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Non-GAAP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27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SUPPLEMENTAL DISCLOSURES REGARDING NON-GAAP FINANCIAL MEASURES (Continued)</w: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825"/>
                <wp:effectExtent l="0" t="0" r="0" b="0"/>
                <wp:wrapNone/>
                <wp:docPr id="152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8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825"/>
                                  <wp:effectExtent l="0" t="0" r="0" b="0"/>
                                  <wp:docPr id="153" name="Image5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3" name="Image5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5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825"/>
                            <wp:effectExtent l="0" t="0" r="0" b="0"/>
                            <wp:docPr id="154" name="Image5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4" name="Image5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0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 xml:space="preserve">(Unaudited; in millions)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/>
          <w:sz w:val="24"/>
          <w:shd w:fill="E4E4E4" w:val="clear"/>
        </w:rPr>
      </w:pPr>
      <w:r>
        <w:rPr>
          <w:rFonts w:ascii="Calibri;sans-serif" w:hAnsi="Calibri;sans-serif"/>
          <w:b w:val="false"/>
          <w:i/>
          <w:sz w:val="24"/>
          <w:shd w:fill="E4E4E4" w:val="clear"/>
        </w:rPr>
        <w:t>Period from July 1-August 6, 2025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(a)  In the first quarter of 2026, we renamed our primary measure of profit and loss for our operating segments from Adjusted </w: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800100</wp:posOffset>
                </wp:positionH>
                <wp:positionV relativeFrom="line">
                  <wp:posOffset>635</wp:posOffset>
                </wp:positionV>
                <wp:extent cx="6229350" cy="4351655"/>
                <wp:effectExtent l="0" t="0" r="0" b="0"/>
                <wp:wrapNone/>
                <wp:docPr id="155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435165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6464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3421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636"/>
                              <w:gridCol w:w="636"/>
                              <w:gridCol w:w="899"/>
                            </w:tblGrid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gridSpan w:val="3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7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7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Advertising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Affiliate and subscription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Licensing and other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Revenues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Content costs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Advertising and marketing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Other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Expenses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421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/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22"/>
                                    </w:rPr>
                                    <w:t xml:space="preserve">Adjusted EBITDA/Adjusted OIBDA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z w:val="14"/>
                                    </w:rPr>
                                    <w:t>(a)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99" w:type="dxa"/>
                                  <w:tcBorders>
                                    <w:bottom w:val="single" w:sz="16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5pt;height:342.65pt;mso-wrap-distance-left:0pt;mso-wrap-distance-right:0pt;mso-wrap-distance-top:0pt;mso-wrap-distance-bottom:0pt;margin-top:0pt;mso-position-vertical:top;mso-position-vertical-relative:text;margin-left:63pt;mso-position-horizontal-relative:page">
                <v:textbox>
                  <w:txbxContent>
                    <w:tbl>
                      <w:tblPr>
                        <w:tblW w:w="6464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3421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636"/>
                        <w:gridCol w:w="636"/>
                        <w:gridCol w:w="899"/>
                      </w:tblGrid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gridSpan w:val="3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7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7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Advertising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Affiliate and subscription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Licensing and other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Revenues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Content costs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Advertising and marketing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Other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Expenses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421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/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2"/>
                              </w:rPr>
                              <w:t xml:space="preserve">Adjusted EBITDA/Adjusted OIBDA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14"/>
                              </w:rPr>
                              <w:t>(a)</w:t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636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99" w:type="dxa"/>
                            <w:tcBorders>
                              <w:bottom w:val="single" w:sz="16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2466975</wp:posOffset>
                </wp:positionH>
                <wp:positionV relativeFrom="line">
                  <wp:posOffset>635</wp:posOffset>
                </wp:positionV>
                <wp:extent cx="1295400" cy="170815"/>
                <wp:effectExtent l="0" t="0" r="0" b="0"/>
                <wp:wrapNone/>
                <wp:docPr id="156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pt;height:13.45pt;mso-wrap-distance-left:0pt;mso-wrap-distance-right:0pt;mso-wrap-distance-top:0pt;mso-wrap-distance-bottom:0pt;margin-top:0pt;mso-position-vertical:top;mso-position-vertical-relative:text;margin-left:19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9">
                <wp:simplePos x="0" y="0"/>
                <wp:positionH relativeFrom="page">
                  <wp:posOffset>4933950</wp:posOffset>
                </wp:positionH>
                <wp:positionV relativeFrom="line">
                  <wp:posOffset>635</wp:posOffset>
                </wp:positionV>
                <wp:extent cx="1295400" cy="170815"/>
                <wp:effectExtent l="0" t="0" r="0" b="0"/>
                <wp:wrapNone/>
                <wp:docPr id="157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Non-GAAP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2pt;height:13.45pt;mso-wrap-distance-left:0pt;mso-wrap-distance-right:0pt;mso-wrap-distance-top:0pt;mso-wrap-distance-bottom:0pt;margin-top:0pt;mso-position-vertical:top;mso-position-vertical-relative:text;margin-left:38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Non-GAAP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OIBDA to Adjusted EBITDA.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(b) Reflects the transfer of the historical </w:t>
      </w:r>
      <w:r>
        <w:rPr>
          <w:rFonts w:ascii="Calibri;sans-serif" w:hAnsi="Calibri;sans-serif"/>
          <w:b w:val="false"/>
          <w:i/>
          <w:sz w:val="18"/>
          <w:shd w:fill="E4E4E4" w:val="clear"/>
        </w:rPr>
        <w:t>TV Media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studio operations to the </w:t>
      </w:r>
      <w:r>
        <w:rPr>
          <w:rFonts w:ascii="Calibri;sans-serif" w:hAnsi="Calibri;sans-serif"/>
          <w:b w:val="false"/>
          <w:i/>
          <w:sz w:val="18"/>
          <w:shd w:fill="E4E4E4" w:val="clear"/>
        </w:rPr>
        <w:t>Studios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segment and our premium cable channel,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Paramount+ with Showtime, to the </w:t>
      </w:r>
      <w:r>
        <w:rPr>
          <w:rFonts w:ascii="Calibri;sans-serif" w:hAnsi="Calibri;sans-serif"/>
          <w:b w:val="false"/>
          <w:i/>
          <w:sz w:val="18"/>
          <w:shd w:fill="E4E4E4" w:val="clear"/>
        </w:rPr>
        <w:t xml:space="preserve">Direct-to-Consumer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segment, and updates to our segment expense allocations to </w:t>
      </w:r>
    </w:p>
    <w:p>
      <w:pPr>
        <w:pStyle w:val="TextBody"/>
        <w:bidi w:val="0"/>
        <w:spacing w:lineRule="atLeast" w:line="142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18"/>
          <w:shd w:fill="E4E4E4" w:val="clear"/>
        </w:rPr>
        <w:t xml:space="preserve">better reflect how we operate and make cost decisions across the business. </w: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158" name="Image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53" descr="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E4E4E4" w:val="clear"/>
        </w:rPr>
        <w:t>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>SUPPLEMENTAL DISCLOSURES REGARDING NON-GAAP FINANCIAL MEASURES (Continued)</w: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123825"/>
                <wp:effectExtent l="0" t="0" r="0" b="0"/>
                <wp:wrapNone/>
                <wp:docPr id="159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1238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23825"/>
                                  <wp:effectExtent l="0" t="0" r="0" b="0"/>
                                  <wp:docPr id="160" name="Image54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0" name="Image54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9.75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23825"/>
                            <wp:effectExtent l="0" t="0" r="0" b="0"/>
                            <wp:docPr id="161" name="Image54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1" name="Image54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23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/>
          <w:i w:val="false"/>
          <w:caps w:val="false"/>
          <w:smallCaps w:val="false"/>
          <w:sz w:val="24"/>
          <w:shd w:fill="E4E4E4" w:val="clear"/>
        </w:rPr>
        <w:t xml:space="preserve">(Unaudited; in millions)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Free cash flow is a non-GAAP financial measure. Free cash flow reflects our net cash flow provided by </w:t>
      </w:r>
      <w:r>
        <mc:AlternateContent>
          <mc:Choice Requires="wps">
            <w:drawing>
              <wp:anchor behindDoc="0" distT="0" distB="0" distL="0" distR="0" simplePos="0" locked="0" layoutInCell="1" allowOverlap="1" relativeHeight="890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923290" cy="372110"/>
                <wp:effectExtent l="0" t="0" r="0" b="0"/>
                <wp:wrapNone/>
                <wp:docPr id="162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290" cy="3721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/>
                                <w:sz w:val="24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/>
                                <w:sz w:val="24"/>
                              </w:rPr>
                              <w:t>Free Cash Flow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pt;height:29.3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Calibri;sans-serif" w:hAnsi="Calibri;sans-serif"/>
                          <w:b w:val="false"/>
                          <w:i/>
                          <w:sz w:val="24"/>
                        </w:rPr>
                      </w:pPr>
                      <w:r>
                        <w:rPr>
                          <w:rFonts w:ascii="Calibri;sans-serif" w:hAnsi="Calibri;sans-serif"/>
                          <w:b w:val="false"/>
                          <w:i/>
                          <w:sz w:val="24"/>
                        </w:rPr>
                        <w:t>Free Cash Flow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operating activities less capital expenditures. We deduct capital expenditures when we calculate free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cash flow because investment in capital expenditures is a use of cash that is directly related to our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operations. Our net cash flow provided by operating activities is the most directly comparable U.S.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GAAP financial measure.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Management believes free cash flow provides investors with an important perspective on the cash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available to us to service debt, pay dividends, make strategic acquisitions and investments, maintain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our capital assets, satisfy our tax obligations, and fund ongoing operations and working capital needs.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We believe the presentation of free cash flow is relevant and useful for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000A3C"/>
          <w:u w:val="none"/>
          <w:effect w:val="none"/>
          <w:shd w:fill="E4E4E4" w:val="clear"/>
        </w:rPr>
        <w:t xml:space="preserve"> </w:t>
      </w: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investors because it allows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investors to evaluate the cash generated from our underlying operations in a manner similar to the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method used by management. Free cash flow is one of the quantitative performance metrics used in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determining our annual incentive compensation awards. In addition, free cash flow is a primary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measure used externally by our investors, analysts and industry peers for purposes of valuation and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comparison of our operating performance to other companies in our industry.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As free cash flow is not a measure calculated in accordance with U.S. GAAP, free cash flow should not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be considered in isolation of, or as a substitute for, either net cash flow provided by operating activities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as a measure of liquidity or net earnings as a measure of operating performance. Free cash flow, as we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calculate it, may not be comparable to similarly titled measures employed by other companies.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 xml:space="preserve">The following table presents a reconciliation of our net cash flow provided by operating activities to </w:t>
      </w:r>
    </w:p>
    <w:p>
      <w:pPr>
        <w:pStyle w:val="TextBody"/>
        <w:bidi w:val="0"/>
        <w:spacing w:lineRule="atLeast" w:line="180" w:before="0" w:after="0"/>
        <w:jc w:val="left"/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Calibri;sans-serif" w:hAnsi="Calibri;sans-serif"/>
          <w:b w:val="false"/>
          <w:i w:val="false"/>
          <w:caps w:val="false"/>
          <w:smallCaps w:val="false"/>
          <w:sz w:val="24"/>
          <w:shd w:fill="E4E4E4" w:val="clear"/>
        </w:rPr>
        <w:t>free cash flow.</w:t>
      </w:r>
    </w:p>
    <w:p>
      <w:pPr>
        <w:pStyle w:val="TextBody"/>
        <w:bidi w:val="0"/>
        <w:spacing w:before="0" w:after="283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772400" cy="476250"/>
            <wp:effectExtent l="0" t="0" r="0" b="0"/>
            <wp:docPr id="163" name="Image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Image55" descr="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891">
                <wp:simplePos x="0" y="0"/>
                <wp:positionH relativeFrom="page">
                  <wp:posOffset>685800</wp:posOffset>
                </wp:positionH>
                <wp:positionV relativeFrom="line">
                  <wp:posOffset>635</wp:posOffset>
                </wp:positionV>
                <wp:extent cx="6400800" cy="2091690"/>
                <wp:effectExtent l="0" t="0" r="0" b="0"/>
                <wp:wrapNone/>
                <wp:docPr id="164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20916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80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596"/>
                              <w:gridCol w:w="548"/>
                              <w:gridCol w:w="548"/>
                              <w:gridCol w:w="550"/>
                              <w:gridCol w:w="109"/>
                              <w:gridCol w:w="109"/>
                              <w:gridCol w:w="548"/>
                              <w:gridCol w:w="548"/>
                              <w:gridCol w:w="550"/>
                              <w:gridCol w:w="109"/>
                              <w:gridCol w:w="548"/>
                              <w:gridCol w:w="548"/>
                              <w:gridCol w:w="550"/>
                              <w:gridCol w:w="109"/>
                              <w:gridCol w:w="109"/>
                              <w:gridCol w:w="504"/>
                              <w:gridCol w:w="504"/>
                              <w:gridCol w:w="713"/>
                            </w:tblGrid>
                            <w:tr>
                              <w:trPr/>
                              <w:tc>
                                <w:tcPr>
                                  <w:tcW w:w="2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96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46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46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46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16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21" w:type="dxa"/>
                                  <w:gridSpan w:val="3"/>
                                  <w:tcBorders>
                                    <w:top w:val="single" w:sz="16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9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4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4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646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21" w:type="dxa"/>
                                  <w:gridSpan w:val="3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96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 xml:space="preserve">Net cash flow provided by </w:t>
                                  </w:r>
                                </w:p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u w:val="none"/>
                                      <w:effect w:val="none"/>
                                    </w:rPr>
                                    <w:t xml:space="preserve">  </w:t>
                                  </w: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operating activities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</w:tcBorders>
                                  <w:tcMar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96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Capital expenditures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  <w:right w:val="single" w:sz="12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left w:val="single" w:sz="12" w:space="0" w:color="000000"/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596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65" w:before="0" w:after="0"/>
                                    <w:jc w:val="left"/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Calibri;sans-serif" w:hAnsi="Calibri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2"/>
                                      <w:u w:val="none"/>
                                      <w:effect w:val="none"/>
                                    </w:rPr>
                                    <w:t>Free cash flow (Non-GAAP)</w:t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16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8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0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  <w:right w:val="single" w:sz="12" w:space="0" w:color="000000"/>
                                  </w:tcBorders>
                                  <w:tcMar>
                                    <w:lef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left w:val="single" w:sz="12" w:space="0" w:color="000000"/>
                                    <w:bottom w:val="single" w:sz="16" w:space="0" w:color="000000"/>
                                  </w:tcBorders>
                                  <w:tcMar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04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713" w:type="dxa"/>
                                  <w:tcBorders>
                                    <w:top w:val="single" w:sz="8" w:space="0" w:color="000000"/>
                                    <w:bottom w:val="single" w:sz="16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64.7pt;mso-wrap-distance-left:0pt;mso-wrap-distance-right:0pt;mso-wrap-distance-top:0pt;mso-wrap-distance-bottom:0pt;margin-top:0pt;mso-position-vertical:top;mso-position-vertical-relative:text;margin-left:54pt;mso-position-horizontal-relative:page">
                <v:textbox>
                  <w:txbxContent>
                    <w:tbl>
                      <w:tblPr>
                        <w:tblW w:w="980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596"/>
                        <w:gridCol w:w="548"/>
                        <w:gridCol w:w="548"/>
                        <w:gridCol w:w="550"/>
                        <w:gridCol w:w="109"/>
                        <w:gridCol w:w="109"/>
                        <w:gridCol w:w="548"/>
                        <w:gridCol w:w="548"/>
                        <w:gridCol w:w="550"/>
                        <w:gridCol w:w="109"/>
                        <w:gridCol w:w="548"/>
                        <w:gridCol w:w="548"/>
                        <w:gridCol w:w="550"/>
                        <w:gridCol w:w="109"/>
                        <w:gridCol w:w="109"/>
                        <w:gridCol w:w="504"/>
                        <w:gridCol w:w="504"/>
                        <w:gridCol w:w="713"/>
                      </w:tblGrid>
                      <w:tr>
                        <w:trPr/>
                        <w:tc>
                          <w:tcPr>
                            <w:tcW w:w="2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0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96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46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46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46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16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21" w:type="dxa"/>
                            <w:gridSpan w:val="3"/>
                            <w:tcBorders>
                              <w:top w:val="single" w:sz="16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9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4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4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646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21" w:type="dxa"/>
                            <w:gridSpan w:val="3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0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96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 xml:space="preserve">Net cash flow provided by </w:t>
                            </w:r>
                          </w:p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operating activities</w:t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0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  <w:bottom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</w:tcBorders>
                            <w:tcMar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96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Capital expenditures</w:t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0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  <w:right w:val="single" w:sz="12" w:space="0" w:color="000000"/>
                            </w:tcBorders>
                            <w:tcMar>
                              <w:top w:w="0" w:type="dxa"/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left w:val="single" w:sz="12" w:space="0" w:color="000000"/>
                              <w:bottom w:val="single" w:sz="8" w:space="0" w:color="000000"/>
                            </w:tcBorders>
                            <w:tcMar>
                              <w:top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596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Free cash flow (Non-GAAP)</w:t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16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8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50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16" w:space="0" w:color="000000"/>
                              <w:right w:val="single" w:sz="12" w:space="0" w:color="000000"/>
                            </w:tcBorders>
                            <w:tcMar>
                              <w:lef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left w:val="single" w:sz="12" w:space="0" w:color="000000"/>
                              <w:bottom w:val="single" w:sz="16" w:space="0" w:color="000000"/>
                            </w:tcBorders>
                            <w:tcMar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04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713" w:type="dxa"/>
                            <w:tcBorders>
                              <w:top w:val="single" w:sz="8" w:space="0" w:color="000000"/>
                              <w:bottom w:val="single" w:sz="16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2">
                <wp:simplePos x="0" y="0"/>
                <wp:positionH relativeFrom="page">
                  <wp:posOffset>2066925</wp:posOffset>
                </wp:positionH>
                <wp:positionV relativeFrom="line">
                  <wp:posOffset>635</wp:posOffset>
                </wp:positionV>
                <wp:extent cx="990600" cy="170815"/>
                <wp:effectExtent l="0" t="0" r="0" b="0"/>
                <wp:wrapNone/>
                <wp:docPr id="165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Successor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45pt;mso-wrap-distance-left:0pt;mso-wrap-distance-right:0pt;mso-wrap-distance-top:0pt;mso-wrap-distance-bottom:0pt;margin-top:0pt;mso-position-vertical:top;mso-position-vertical-relative:text;margin-left:1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Successor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3">
                <wp:simplePos x="0" y="0"/>
                <wp:positionH relativeFrom="page">
                  <wp:posOffset>3171825</wp:posOffset>
                </wp:positionH>
                <wp:positionV relativeFrom="line">
                  <wp:posOffset>635</wp:posOffset>
                </wp:positionV>
                <wp:extent cx="990600" cy="170815"/>
                <wp:effectExtent l="0" t="0" r="0" b="0"/>
                <wp:wrapNone/>
                <wp:docPr id="166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Predecessor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45pt;mso-wrap-distance-left:0pt;mso-wrap-distance-right:0pt;mso-wrap-distance-top:0pt;mso-wrap-distance-bottom:0pt;margin-top:0pt;mso-position-vertical:top;mso-position-vertical-relative:text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Predecessor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4">
                <wp:simplePos x="0" y="0"/>
                <wp:positionH relativeFrom="page">
                  <wp:posOffset>4305300</wp:posOffset>
                </wp:positionH>
                <wp:positionV relativeFrom="line">
                  <wp:posOffset>635</wp:posOffset>
                </wp:positionV>
                <wp:extent cx="990600" cy="170815"/>
                <wp:effectExtent l="0" t="0" r="0" b="0"/>
                <wp:wrapNone/>
                <wp:docPr id="167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Successor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13.45pt;mso-wrap-distance-left:0pt;mso-wrap-distance-right:0pt;mso-wrap-distance-top:0pt;mso-wrap-distance-bottom:0pt;margin-top:0pt;mso-position-vertical:top;mso-position-vertical-relative:text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Successor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5">
                <wp:simplePos x="0" y="0"/>
                <wp:positionH relativeFrom="page">
                  <wp:posOffset>5391150</wp:posOffset>
                </wp:positionH>
                <wp:positionV relativeFrom="line">
                  <wp:posOffset>635</wp:posOffset>
                </wp:positionV>
                <wp:extent cx="1009650" cy="170815"/>
                <wp:effectExtent l="0" t="0" r="0" b="0"/>
                <wp:wrapNone/>
                <wp:docPr id="168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17081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65" w:before="0" w:after="0"/>
                              <w:jc w:val="left"/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Calibri;sans-serif" w:hAnsi="Calibri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2"/>
                                <w:u w:val="none"/>
                                <w:effect w:val="none"/>
                              </w:rPr>
                              <w:t>Predecessor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5pt;height:13.45pt;mso-wrap-distance-left:0pt;mso-wrap-distance-right:0pt;mso-wrap-distance-top:0pt;mso-wrap-distance-bottom:0pt;margin-top:0pt;mso-position-vertical:top;mso-position-vertical-relative:text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65" w:before="0" w:after="0"/>
                        <w:jc w:val="left"/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</w:pPr>
                      <w:r>
                        <w:rPr>
                          <w:rFonts w:ascii="Calibri;sans-serif" w:hAnsi="Calibri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2"/>
                          <w:u w:val="none"/>
                          <w:effect w:val="none"/>
                        </w:rPr>
                        <w:t>Predecessor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Calibri">
    <w:altName w:val="sans-serif"/>
    <w:charset w:val="01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4.jpeg"/><Relationship Id="rId9" Type="http://schemas.openxmlformats.org/officeDocument/2006/relationships/image" Target="media/image3.jpeg"/><Relationship Id="rId10" Type="http://schemas.openxmlformats.org/officeDocument/2006/relationships/image" Target="media/image4.jpeg"/><Relationship Id="rId11" Type="http://schemas.openxmlformats.org/officeDocument/2006/relationships/image" Target="media/image4.jpeg"/><Relationship Id="rId12" Type="http://schemas.openxmlformats.org/officeDocument/2006/relationships/image" Target="media/image3.jpeg"/><Relationship Id="rId13" Type="http://schemas.openxmlformats.org/officeDocument/2006/relationships/image" Target="media/image4.jpeg"/><Relationship Id="rId14" Type="http://schemas.openxmlformats.org/officeDocument/2006/relationships/image" Target="media/image4.jpeg"/><Relationship Id="rId15" Type="http://schemas.openxmlformats.org/officeDocument/2006/relationships/image" Target="media/image3.jpeg"/><Relationship Id="rId16" Type="http://schemas.openxmlformats.org/officeDocument/2006/relationships/image" Target="media/image4.jpeg"/><Relationship Id="rId17" Type="http://schemas.openxmlformats.org/officeDocument/2006/relationships/image" Target="media/image4.jpeg"/><Relationship Id="rId18" Type="http://schemas.openxmlformats.org/officeDocument/2006/relationships/image" Target="media/image3.jpeg"/><Relationship Id="rId19" Type="http://schemas.openxmlformats.org/officeDocument/2006/relationships/image" Target="media/image4.jpeg"/><Relationship Id="rId20" Type="http://schemas.openxmlformats.org/officeDocument/2006/relationships/image" Target="media/image4.jpeg"/><Relationship Id="rId21" Type="http://schemas.openxmlformats.org/officeDocument/2006/relationships/image" Target="media/image3.jpeg"/><Relationship Id="rId22" Type="http://schemas.openxmlformats.org/officeDocument/2006/relationships/image" Target="media/image4.jpeg"/><Relationship Id="rId23" Type="http://schemas.openxmlformats.org/officeDocument/2006/relationships/image" Target="media/image4.jpeg"/><Relationship Id="rId24" Type="http://schemas.openxmlformats.org/officeDocument/2006/relationships/image" Target="media/image3.jpeg"/><Relationship Id="rId25" Type="http://schemas.openxmlformats.org/officeDocument/2006/relationships/image" Target="media/image4.jpeg"/><Relationship Id="rId26" Type="http://schemas.openxmlformats.org/officeDocument/2006/relationships/image" Target="media/image4.jpeg"/><Relationship Id="rId27" Type="http://schemas.openxmlformats.org/officeDocument/2006/relationships/image" Target="media/image3.jpeg"/><Relationship Id="rId28" Type="http://schemas.openxmlformats.org/officeDocument/2006/relationships/image" Target="media/image4.jpeg"/><Relationship Id="rId29" Type="http://schemas.openxmlformats.org/officeDocument/2006/relationships/image" Target="media/image4.jpeg"/><Relationship Id="rId30" Type="http://schemas.openxmlformats.org/officeDocument/2006/relationships/image" Target="media/image3.jpeg"/><Relationship Id="rId31" Type="http://schemas.openxmlformats.org/officeDocument/2006/relationships/image" Target="media/image4.jpeg"/><Relationship Id="rId32" Type="http://schemas.openxmlformats.org/officeDocument/2006/relationships/image" Target="media/image4.jpeg"/><Relationship Id="rId33" Type="http://schemas.openxmlformats.org/officeDocument/2006/relationships/image" Target="media/image3.jpeg"/><Relationship Id="rId34" Type="http://schemas.openxmlformats.org/officeDocument/2006/relationships/image" Target="media/image4.jpeg"/><Relationship Id="rId35" Type="http://schemas.openxmlformats.org/officeDocument/2006/relationships/image" Target="media/image4.jpeg"/><Relationship Id="rId36" Type="http://schemas.openxmlformats.org/officeDocument/2006/relationships/image" Target="media/image3.jpeg"/><Relationship Id="rId37" Type="http://schemas.openxmlformats.org/officeDocument/2006/relationships/image" Target="media/image4.jpeg"/><Relationship Id="rId38" Type="http://schemas.openxmlformats.org/officeDocument/2006/relationships/image" Target="media/image4.jpeg"/><Relationship Id="rId39" Type="http://schemas.openxmlformats.org/officeDocument/2006/relationships/image" Target="media/image3.jpeg"/><Relationship Id="rId40" Type="http://schemas.openxmlformats.org/officeDocument/2006/relationships/image" Target="media/image4.jpeg"/><Relationship Id="rId41" Type="http://schemas.openxmlformats.org/officeDocument/2006/relationships/image" Target="media/image4.jpeg"/><Relationship Id="rId42" Type="http://schemas.openxmlformats.org/officeDocument/2006/relationships/image" Target="media/image3.jpeg"/><Relationship Id="rId43" Type="http://schemas.openxmlformats.org/officeDocument/2006/relationships/image" Target="media/image4.jpeg"/><Relationship Id="rId44" Type="http://schemas.openxmlformats.org/officeDocument/2006/relationships/image" Target="media/image4.jpeg"/><Relationship Id="rId45" Type="http://schemas.openxmlformats.org/officeDocument/2006/relationships/image" Target="media/image3.jpeg"/><Relationship Id="rId46" Type="http://schemas.openxmlformats.org/officeDocument/2006/relationships/image" Target="media/image4.jpeg"/><Relationship Id="rId47" Type="http://schemas.openxmlformats.org/officeDocument/2006/relationships/image" Target="media/image4.jpeg"/><Relationship Id="rId48" Type="http://schemas.openxmlformats.org/officeDocument/2006/relationships/image" Target="media/image3.jpeg"/><Relationship Id="rId49" Type="http://schemas.openxmlformats.org/officeDocument/2006/relationships/image" Target="media/image4.jpeg"/><Relationship Id="rId50" Type="http://schemas.openxmlformats.org/officeDocument/2006/relationships/image" Target="media/image4.jpeg"/><Relationship Id="rId51" Type="http://schemas.openxmlformats.org/officeDocument/2006/relationships/image" Target="media/image3.jpeg"/><Relationship Id="rId52" Type="http://schemas.openxmlformats.org/officeDocument/2006/relationships/image" Target="media/image4.jpeg"/><Relationship Id="rId53" Type="http://schemas.openxmlformats.org/officeDocument/2006/relationships/image" Target="media/image4.jpeg"/><Relationship Id="rId54" Type="http://schemas.openxmlformats.org/officeDocument/2006/relationships/image" Target="media/image3.jpeg"/><Relationship Id="rId55" Type="http://schemas.openxmlformats.org/officeDocument/2006/relationships/image" Target="media/image4.jpeg"/><Relationship Id="rId56" Type="http://schemas.openxmlformats.org/officeDocument/2006/relationships/image" Target="media/image4.jpeg"/><Relationship Id="rId57" Type="http://schemas.openxmlformats.org/officeDocument/2006/relationships/image" Target="media/image3.jpeg"/><Relationship Id="rId58" Type="http://schemas.openxmlformats.org/officeDocument/2006/relationships/image" Target="media/image4.jpeg"/><Relationship Id="rId59" Type="http://schemas.openxmlformats.org/officeDocument/2006/relationships/image" Target="media/image4.jpeg"/><Relationship Id="rId60" Type="http://schemas.openxmlformats.org/officeDocument/2006/relationships/image" Target="media/image3.jpeg"/><Relationship Id="rId61" Type="http://schemas.openxmlformats.org/officeDocument/2006/relationships/image" Target="media/image4.jpeg"/><Relationship Id="rId62" Type="http://schemas.openxmlformats.org/officeDocument/2006/relationships/image" Target="media/image4.jpeg"/><Relationship Id="rId63" Type="http://schemas.openxmlformats.org/officeDocument/2006/relationships/image" Target="media/image3.jpeg"/><Relationship Id="rId64" Type="http://schemas.openxmlformats.org/officeDocument/2006/relationships/image" Target="media/image4.jpeg"/><Relationship Id="rId65" Type="http://schemas.openxmlformats.org/officeDocument/2006/relationships/image" Target="media/image4.jpeg"/><Relationship Id="rId66" Type="http://schemas.openxmlformats.org/officeDocument/2006/relationships/image" Target="media/image3.jpeg"/><Relationship Id="rId67" Type="http://schemas.openxmlformats.org/officeDocument/2006/relationships/image" Target="media/image4.jpeg"/><Relationship Id="rId68" Type="http://schemas.openxmlformats.org/officeDocument/2006/relationships/image" Target="media/image4.jpeg"/><Relationship Id="rId69" Type="http://schemas.openxmlformats.org/officeDocument/2006/relationships/image" Target="media/image3.jpeg"/><Relationship Id="rId70" Type="http://schemas.openxmlformats.org/officeDocument/2006/relationships/image" Target="media/image4.jpeg"/><Relationship Id="rId71" Type="http://schemas.openxmlformats.org/officeDocument/2006/relationships/image" Target="media/image4.jpeg"/><Relationship Id="rId72" Type="http://schemas.openxmlformats.org/officeDocument/2006/relationships/image" Target="media/image3.jpeg"/><Relationship Id="rId73" Type="http://schemas.openxmlformats.org/officeDocument/2006/relationships/image" Target="media/image4.jpeg"/><Relationship Id="rId74" Type="http://schemas.openxmlformats.org/officeDocument/2006/relationships/image" Target="media/image4.jpeg"/><Relationship Id="rId75" Type="http://schemas.openxmlformats.org/officeDocument/2006/relationships/image" Target="media/image3.jpeg"/><Relationship Id="rId76" Type="http://schemas.openxmlformats.org/officeDocument/2006/relationships/image" Target="media/image4.jpeg"/><Relationship Id="rId77" Type="http://schemas.openxmlformats.org/officeDocument/2006/relationships/image" Target="media/image4.jpeg"/><Relationship Id="rId78" Type="http://schemas.openxmlformats.org/officeDocument/2006/relationships/image" Target="media/image3.jpeg"/><Relationship Id="rId79" Type="http://schemas.openxmlformats.org/officeDocument/2006/relationships/image" Target="media/image4.jpeg"/><Relationship Id="rId80" Type="http://schemas.openxmlformats.org/officeDocument/2006/relationships/image" Target="media/image4.jpeg"/><Relationship Id="rId81" Type="http://schemas.openxmlformats.org/officeDocument/2006/relationships/image" Target="media/image3.jpeg"/><Relationship Id="rId82" Type="http://schemas.openxmlformats.org/officeDocument/2006/relationships/image" Target="media/image4.jpeg"/><Relationship Id="rId83" Type="http://schemas.openxmlformats.org/officeDocument/2006/relationships/image" Target="media/image4.jpeg"/><Relationship Id="rId84" Type="http://schemas.openxmlformats.org/officeDocument/2006/relationships/image" Target="media/image3.jpeg"/><Relationship Id="rId85" Type="http://schemas.openxmlformats.org/officeDocument/2006/relationships/fontTable" Target="fontTable.xml"/><Relationship Id="rId8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28</Pages>
  <Words>9742</Words>
  <Characters>54742</Characters>
  <CharactersWithSpaces>63386</CharactersWithSpaces>
  <Paragraphs>1832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