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Gill Charest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Controller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892"/>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7,969</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81,177</w:t>
            </w:r>
            <w:r>
              <w:rPr>
                <w:rFonts w:ascii="Times;serif" w:hAnsi="Times;serif"/>
                <w:color w:val="008000"/>
                <w:position w:val="7"/>
                <w:sz w:val="16"/>
                <w:sz w:val="20"/>
                <w:shd w:fill="FFFFFF" w:val="clear"/>
              </w:rPr>
              <w:t>(2)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4,069</w:t>
            </w:r>
            <w:r>
              <w:rPr>
                <w:rFonts w:ascii="Times;serif" w:hAnsi="Times;serif"/>
                <w:color w:val="008000"/>
                <w:position w:val="7"/>
                <w:sz w:val="16"/>
                <w:sz w:val="20"/>
                <w:shd w:fill="FFFFFF" w:val="clear"/>
              </w:rPr>
              <w:t>(3)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77,108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9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46"/>
        <w:gridCol w:w="68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79,690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September 2, 2026, upon vesting of an installment of Restricted Stock Units ("RSUs") identified in Table II, which were initially granted on March 2, 2026 and generally vest in equal quarterly installments over a three-year period. On September 2, 2026, the closing price of the Class B common stock on The NASDAQ Global Select Market was $10.97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periodically pursuant to a dividend reinvestment program meeting the requirements of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satisfy tax liability incident to the vesting of, and delivery of shares underlying, the RSUs, and were not actually sold or otherwise disposed of in an open-market transaction.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2602"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3886</Characters>
  <CharactersWithSpaces>4518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