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60" w:before="0" w:after="0"/>
        <w:jc w:val="left"/>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UNITED STATES</w:t>
      </w:r>
    </w:p>
    <w:p>
      <w:pPr>
        <w:pStyle w:val="TextBody"/>
        <w:bidi w:val="0"/>
        <w:spacing w:lineRule="atLeast" w:line="360" w:before="0" w:after="0"/>
        <w:jc w:val="left"/>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SECURITIES AND EXCHANGE COMMISSION</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60" w:before="0" w:after="0"/>
        <w:jc w:val="left"/>
        <w:rPr>
          <w:sz w:val="36"/>
        </w:rPr>
      </w:pPr>
      <w:r>
        <w:rPr>
          <w:rFonts w:ascii="Times New Roman;serif" w:hAnsi="Times New Roman;serif"/>
          <w:b/>
          <w:i w:val="false"/>
          <w:caps w:val="false"/>
          <w:smallCaps w:val="false"/>
          <w:sz w:val="36"/>
        </w:rPr>
        <w:t xml:space="preserve">FORM </w:t>
      </w:r>
      <w:r>
        <w:rPr>
          <w:rFonts w:ascii="Times New Roman;serif" w:hAnsi="Times New Roman;serif"/>
          <w:b/>
          <w:i w:val="false"/>
          <w:caps w:val="false"/>
          <w:smallCaps w:val="false"/>
          <w:strike w:val="false"/>
          <w:dstrike w:val="false"/>
          <w:sz w:val="36"/>
          <w:u w:val="none"/>
          <w:effect w:val="none"/>
        </w:rPr>
        <w:t>10-Q</w:t>
      </w:r>
      <w:r>
        <w:rPr>
          <w:caps w:val="false"/>
          <w:smallCaps w:val="false"/>
          <w:sz w:val="36"/>
        </w:rPr>
        <w:t xml:space="preserve"> </w:t>
      </w:r>
    </w:p>
    <w:tbl>
      <w:tblPr>
        <w:tblW w:w="9977" w:type="dxa"/>
        <w:jc w:val="left"/>
        <w:tblInd w:w="0" w:type="dxa"/>
        <w:tblLayout w:type="fixed"/>
        <w:tblCellMar>
          <w:top w:w="28" w:type="dxa"/>
          <w:left w:w="28" w:type="dxa"/>
          <w:bottom w:w="28" w:type="dxa"/>
          <w:right w:w="28" w:type="dxa"/>
        </w:tblCellMar>
      </w:tblPr>
      <w:tblGrid>
        <w:gridCol w:w="331"/>
        <w:gridCol w:w="9646"/>
      </w:tblGrid>
      <w:tr>
        <w:trPr/>
        <w:tc>
          <w:tcPr>
            <w:tcW w:w="331" w:type="dxa"/>
            <w:tcBorders/>
            <w:vAlign w:val="center"/>
          </w:tcPr>
          <w:p>
            <w:pPr>
              <w:pStyle w:val="TableContents"/>
              <w:bidi w:val="0"/>
              <w:spacing w:before="0" w:after="283"/>
              <w:jc w:val="left"/>
              <w:rPr>
                <w:sz w:val="4"/>
                <w:szCs w:val="4"/>
              </w:rPr>
            </w:pPr>
            <w:r>
              <w:rPr>
                <w:sz w:val="4"/>
                <w:szCs w:val="4"/>
              </w:rPr>
            </w:r>
          </w:p>
        </w:tc>
        <w:tc>
          <w:tcPr>
            <w:tcW w:w="964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24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646" w:type="dxa"/>
            <w:tcBorders/>
            <w:vAlign w:val="center"/>
          </w:tcPr>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 xml:space="preserve">QUARTERLY REPORT PURSUANT TO SECTION 13 OR 15(d) OF THE SECURITIES </w:t>
            </w:r>
          </w:p>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EXCHANGE ACT OF 1934</w:t>
            </w:r>
          </w:p>
        </w:tc>
      </w:tr>
    </w:tbl>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For the quarterly period ended </w:t>
      </w:r>
      <w:r>
        <w:rPr>
          <w:rFonts w:ascii="Times New Roman;serif" w:hAnsi="Times New Roman;serif"/>
          <w:b/>
          <w:i w:val="false"/>
          <w:caps w:val="false"/>
          <w:smallCaps w:val="false"/>
          <w:strike w:val="false"/>
          <w:dstrike w:val="false"/>
          <w:sz w:val="20"/>
          <w:u w:val="none"/>
          <w:effect w:val="none"/>
        </w:rPr>
        <w:t>June 30, 2026</w:t>
      </w:r>
      <w:r>
        <w:rPr>
          <w:caps w:val="false"/>
          <w:smallCaps w:val="false"/>
          <w:sz w:val="24"/>
        </w:rPr>
        <w:t xml:space="preserve">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tbl>
      <w:tblPr>
        <w:tblW w:w="9947" w:type="dxa"/>
        <w:jc w:val="left"/>
        <w:tblInd w:w="0" w:type="dxa"/>
        <w:tblLayout w:type="fixed"/>
        <w:tblCellMar>
          <w:top w:w="28" w:type="dxa"/>
          <w:left w:w="28" w:type="dxa"/>
          <w:bottom w:w="28" w:type="dxa"/>
          <w:right w:w="28" w:type="dxa"/>
        </w:tblCellMar>
      </w:tblPr>
      <w:tblGrid>
        <w:gridCol w:w="331"/>
        <w:gridCol w:w="9616"/>
      </w:tblGrid>
      <w:tr>
        <w:trPr/>
        <w:tc>
          <w:tcPr>
            <w:tcW w:w="331" w:type="dxa"/>
            <w:tcBorders/>
            <w:vAlign w:val="center"/>
          </w:tcPr>
          <w:p>
            <w:pPr>
              <w:pStyle w:val="TableContents"/>
              <w:bidi w:val="0"/>
              <w:spacing w:before="0" w:after="283"/>
              <w:jc w:val="left"/>
              <w:rPr>
                <w:sz w:val="4"/>
                <w:szCs w:val="4"/>
              </w:rPr>
            </w:pPr>
            <w:r>
              <w:rPr>
                <w:sz w:val="4"/>
                <w:szCs w:val="4"/>
              </w:rPr>
            </w:r>
          </w:p>
        </w:tc>
        <w:tc>
          <w:tcPr>
            <w:tcW w:w="961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240" w:before="0" w:after="0"/>
              <w:jc w:val="left"/>
              <w:rPr>
                <w:caps w:val="false"/>
                <w:smallCaps w:val="false"/>
              </w:rPr>
            </w:pPr>
            <w:r>
              <w:rPr>
                <w:caps w:val="false"/>
                <w:smallCaps w:val="false"/>
              </w:rPr>
              <w:t>☐</w:t>
            </w:r>
          </w:p>
        </w:tc>
        <w:tc>
          <w:tcPr>
            <w:tcW w:w="9616" w:type="dxa"/>
            <w:tcBorders/>
            <w:vAlign w:val="center"/>
          </w:tcPr>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 xml:space="preserve">TRANSITION REPORT PURSUANT TO SECTION 13 OR 15(d) OF THE SECURITIES </w:t>
            </w:r>
          </w:p>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EXCHANGE ACT OF 1934</w:t>
            </w:r>
          </w:p>
        </w:tc>
      </w:tr>
    </w:tbl>
    <w:p>
      <w:pPr>
        <w:pStyle w:val="TextBody"/>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For the transition period from ____________ to ____________</w:t>
      </w:r>
    </w:p>
    <w:p>
      <w:pPr>
        <w:pStyle w:val="TextBody"/>
        <w:bidi w:val="0"/>
        <w:spacing w:lineRule="atLeast" w:line="180" w:before="0" w:after="0"/>
        <w:jc w:val="left"/>
        <w:rPr>
          <w:sz w:val="24"/>
        </w:rPr>
      </w:pPr>
      <w:r>
        <w:rPr>
          <w:rFonts w:ascii="Times New Roman;serif" w:hAnsi="Times New Roman;serif"/>
          <w:b/>
          <w:i w:val="false"/>
          <w:caps w:val="false"/>
          <w:smallCaps w:val="false"/>
          <w:sz w:val="18"/>
        </w:rPr>
        <w:t>Commission File Number </w:t>
      </w:r>
      <w:r>
        <w:rPr>
          <w:rFonts w:ascii="Times New Roman;serif" w:hAnsi="Times New Roman;serif"/>
          <w:b/>
          <w:i w:val="false"/>
          <w:caps w:val="false"/>
          <w:smallCaps w:val="false"/>
          <w:strike w:val="false"/>
          <w:dstrike w:val="false"/>
          <w:sz w:val="18"/>
          <w:u w:val="none"/>
          <w:effect w:val="none"/>
        </w:rPr>
        <w:t>001-42791</w:t>
      </w:r>
      <w:r>
        <w:rPr>
          <w:caps w:val="false"/>
          <w:smallCaps w:val="false"/>
          <w:sz w:val="24"/>
        </w:rPr>
        <w:t xml:space="preserve"> </w:t>
      </w:r>
    </w:p>
    <w:p>
      <w:pPr>
        <w:pStyle w:val="TextBody"/>
        <w:bidi w:val="0"/>
        <w:spacing w:lineRule="atLeast" w:line="360" w:before="0" w:after="0"/>
        <w:jc w:val="left"/>
        <w:rPr>
          <w:rFonts w:ascii="Times New Roman;serif" w:hAnsi="Times New Roman;serif"/>
          <w:b/>
          <w:i w:val="false"/>
          <w:caps w:val="false"/>
          <w:smallCaps w:val="false"/>
          <w:strike w:val="false"/>
          <w:dstrike w:val="false"/>
          <w:color w:val="00093C"/>
          <w:sz w:val="36"/>
          <w:u w:val="none"/>
          <w:effect w:val="none"/>
        </w:rPr>
      </w:pPr>
      <w:r>
        <w:rPr>
          <w:rFonts w:ascii="Times New Roman;serif" w:hAnsi="Times New Roman;serif"/>
          <w:b/>
          <w:i w:val="false"/>
          <w:caps w:val="false"/>
          <w:smallCaps w:val="false"/>
          <w:strike w:val="false"/>
          <w:dstrike w:val="false"/>
          <w:color w:val="00093C"/>
          <w:sz w:val="36"/>
          <w:u w:val="none"/>
          <w:effect w:val="none"/>
        </w:rPr>
        <w:t>Paramount Skydance Corporation</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(Exact name of registrant as specified in its charter)</w:t>
      </w:r>
    </w:p>
    <w:tbl>
      <w:tblPr>
        <w:tblW w:w="5993" w:type="dxa"/>
        <w:jc w:val="left"/>
        <w:tblInd w:w="0" w:type="dxa"/>
        <w:tblLayout w:type="fixed"/>
        <w:tblCellMar>
          <w:top w:w="28" w:type="dxa"/>
          <w:left w:w="28" w:type="dxa"/>
          <w:bottom w:w="28" w:type="dxa"/>
          <w:right w:w="28" w:type="dxa"/>
        </w:tblCellMar>
      </w:tblPr>
      <w:tblGrid>
        <w:gridCol w:w="1321"/>
        <w:gridCol w:w="946"/>
        <w:gridCol w:w="901"/>
        <w:gridCol w:w="109"/>
        <w:gridCol w:w="2716"/>
      </w:tblGrid>
      <w:tr>
        <w:trPr/>
        <w:tc>
          <w:tcPr>
            <w:tcW w:w="132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99-3917985</w:t>
            </w:r>
          </w:p>
        </w:tc>
      </w:tr>
      <w:tr>
        <w:trPr/>
        <w:tc>
          <w:tcPr>
            <w:tcW w:w="3168" w:type="dxa"/>
            <w:gridSpan w:val="3"/>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(State or other jurisdiction of</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(I.R.S. Employer Identification No.)</w:t>
            </w:r>
          </w:p>
        </w:tc>
      </w:tr>
      <w:tr>
        <w:trPr/>
        <w:tc>
          <w:tcPr>
            <w:tcW w:w="132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1515 Broadway</w:t>
            </w:r>
          </w:p>
        </w:tc>
        <w:tc>
          <w:tcPr>
            <w:tcW w:w="946"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New York,</w:t>
            </w:r>
          </w:p>
        </w:tc>
        <w:tc>
          <w:tcPr>
            <w:tcW w:w="901"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New York</w:t>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10036</w:t>
            </w:r>
          </w:p>
        </w:tc>
      </w:tr>
      <w:tr>
        <w:trPr/>
        <w:tc>
          <w:tcPr>
            <w:tcW w:w="3168" w:type="dxa"/>
            <w:gridSpan w:val="3"/>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(Zip Code)</w:t>
            </w:r>
          </w:p>
        </w:tc>
      </w:tr>
    </w:tbl>
    <w:p>
      <w:pPr>
        <w:pStyle w:val="TextBody"/>
        <w:bidi w:val="0"/>
        <w:spacing w:lineRule="atLeast" w:line="200" w:before="0" w:after="0"/>
        <w:jc w:val="left"/>
        <w:rPr>
          <w:sz w:val="24"/>
        </w:rPr>
      </w:pPr>
      <w:r>
        <w:rPr>
          <w:rFonts w:ascii="Times New Roman;serif" w:hAnsi="Times New Roman;serif"/>
          <w:b/>
          <w:i w:val="false"/>
          <w:caps w:val="false"/>
          <w:smallCaps w:val="false"/>
          <w:sz w:val="18"/>
        </w:rPr>
        <w:t>(</w:t>
      </w:r>
      <w:r>
        <w:rPr>
          <w:rFonts w:ascii="Times New Roman;serif" w:hAnsi="Times New Roman;serif"/>
          <w:b/>
          <w:i w:val="false"/>
          <w:caps w:val="false"/>
          <w:smallCaps w:val="false"/>
          <w:strike w:val="false"/>
          <w:dstrike w:val="false"/>
          <w:sz w:val="18"/>
          <w:u w:val="none"/>
          <w:effect w:val="none"/>
        </w:rPr>
        <w:t>212</w:t>
      </w:r>
      <w:r>
        <w:rPr>
          <w:rFonts w:ascii="Times New Roman;serif" w:hAnsi="Times New Roman;serif"/>
          <w:b/>
          <w:i w:val="false"/>
          <w:caps w:val="false"/>
          <w:smallCaps w:val="false"/>
          <w:sz w:val="18"/>
        </w:rPr>
        <w:t>)</w:t>
      </w:r>
      <w:r>
        <w:rPr>
          <w:caps w:val="false"/>
          <w:smallCaps w:val="false"/>
          <w:sz w:val="24"/>
        </w:rPr>
        <w:t xml:space="preserve"> </w:t>
      </w:r>
      <w:r>
        <w:rPr>
          <w:rFonts w:ascii="Times New Roman;serif" w:hAnsi="Times New Roman;serif"/>
          <w:b/>
          <w:i w:val="false"/>
          <w:caps w:val="false"/>
          <w:smallCaps w:val="false"/>
          <w:strike w:val="false"/>
          <w:dstrike w:val="false"/>
          <w:sz w:val="18"/>
          <w:u w:val="none"/>
          <w:effect w:val="none"/>
        </w:rPr>
        <w:t>258-6000</w:t>
      </w:r>
      <w:r>
        <w:rPr>
          <w:caps w:val="false"/>
          <w:smallCaps w:val="false"/>
          <w:sz w:val="24"/>
        </w:rPr>
        <w:t xml:space="preserv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(Registrant’s telephone number, including area code)</w:t>
      </w:r>
    </w:p>
    <w:p>
      <w:pPr>
        <w:pStyle w:val="TextBody"/>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Not Applicable</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(Former name, former address and former fiscal year, if changed since last report)</w:t>
      </w:r>
    </w:p>
    <w:p>
      <w:pPr>
        <w:pStyle w:val="TextBody"/>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Securities registered pursuant to Section 12(b) of the Act:</w:t>
      </w:r>
    </w:p>
    <w:tbl>
      <w:tblPr>
        <w:tblW w:w="8003" w:type="dxa"/>
        <w:jc w:val="left"/>
        <w:tblInd w:w="0" w:type="dxa"/>
        <w:tblLayout w:type="fixed"/>
        <w:tblCellMar>
          <w:top w:w="28" w:type="dxa"/>
          <w:left w:w="28" w:type="dxa"/>
          <w:bottom w:w="28" w:type="dxa"/>
          <w:right w:w="28" w:type="dxa"/>
        </w:tblCellMar>
      </w:tblPr>
      <w:tblGrid>
        <w:gridCol w:w="3016"/>
        <w:gridCol w:w="109"/>
        <w:gridCol w:w="213"/>
        <w:gridCol w:w="1029"/>
        <w:gridCol w:w="213"/>
        <w:gridCol w:w="109"/>
        <w:gridCol w:w="142"/>
        <w:gridCol w:w="2971"/>
        <w:gridCol w:w="201"/>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0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Trading Symbol(s)</w:t>
            </w:r>
          </w:p>
        </w:tc>
        <w:tc>
          <w:tcPr>
            <w:tcW w:w="109" w:type="dxa"/>
            <w:tcBorders/>
            <w:vAlign w:val="center"/>
          </w:tcPr>
          <w:p>
            <w:pPr>
              <w:pStyle w:val="TableContents"/>
              <w:bidi w:val="0"/>
              <w:spacing w:before="0" w:after="283"/>
              <w:jc w:val="left"/>
              <w:rPr>
                <w:sz w:val="4"/>
                <w:szCs w:val="4"/>
              </w:rPr>
            </w:pPr>
            <w:r>
              <w:rPr>
                <w:sz w:val="4"/>
                <w:szCs w:val="4"/>
              </w:rPr>
            </w:r>
          </w:p>
        </w:tc>
        <w:tc>
          <w:tcPr>
            <w:tcW w:w="3314"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Name of each exchange on which registered</w:t>
            </w:r>
          </w:p>
        </w:tc>
      </w:tr>
      <w:tr>
        <w:trPr/>
        <w:tc>
          <w:tcPr>
            <w:tcW w:w="301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Class B Common Stock, $0.001 par value</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PSKY</w:t>
            </w:r>
          </w:p>
        </w:tc>
        <w:tc>
          <w:tcPr>
            <w:tcW w:w="21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The Nasdaq Stock Market LLC</w:t>
            </w:r>
          </w:p>
        </w:tc>
        <w:tc>
          <w:tcPr>
            <w:tcW w:w="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Indicate by check mark whether the registrant (1) has filed all reports required to be filed by Section 13 or 15(d) of the Securities Exchange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Act of 1934 during the preceding 12 months (or for such shorter period that the registrant was required to file such reports), and (2) has been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8"/>
        </w:rPr>
        <w:t>subject to such filing requirements for the past 90 days. </w:t>
      </w:r>
      <w:r>
        <w:rPr>
          <w:rFonts w:ascii="Times New Roman;serif" w:hAnsi="Times New Roman;serif"/>
          <w:b w:val="false"/>
          <w:i w:val="false"/>
          <w:caps w:val="false"/>
          <w:smallCaps w:val="false"/>
          <w:strike w:val="false"/>
          <w:dstrike w:val="false"/>
          <w:sz w:val="20"/>
          <w:u w:val="none"/>
          <w:effect w:val="none"/>
        </w:rPr>
        <w:t>Yes</w:t>
      </w:r>
      <w:r>
        <w:rPr>
          <w:caps w:val="false"/>
          <w:smallCaps w:val="false"/>
          <w:sz w:val="24"/>
        </w:rPr>
        <w:t> ☒    </w:t>
      </w:r>
      <w:r>
        <w:rPr>
          <w:rFonts w:ascii="Times New Roman;serif" w:hAnsi="Times New Roman;serif"/>
          <w:b w:val="false"/>
          <w:i w:val="false"/>
          <w:caps w:val="false"/>
          <w:smallCaps w:val="false"/>
          <w:sz w:val="18"/>
        </w:rPr>
        <w:t>No </w:t>
      </w:r>
      <w:r>
        <w:rPr>
          <w:caps w:val="false"/>
          <w:smallCaps w:val="false"/>
          <w:sz w:val="24"/>
        </w:rPr>
        <w:t>☐</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Indicate by check mark whether the registrant has submitted electronically every Interactive Data File required to be submitted pursuant to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Rule 405 of Regulation S-T during the preceding 12 months (or for such shorter period that the registrant was required to submit such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files). </w:t>
      </w:r>
      <w:r>
        <w:rPr>
          <w:rFonts w:ascii="Times New Roman;serif" w:hAnsi="Times New Roman;serif"/>
          <w:b w:val="false"/>
          <w:i w:val="false"/>
          <w:caps w:val="false"/>
          <w:smallCaps w:val="false"/>
          <w:strike w:val="false"/>
          <w:dstrike w:val="false"/>
          <w:sz w:val="18"/>
          <w:u w:val="none"/>
          <w:effect w:val="none"/>
        </w:rPr>
        <w:t>Yes</w:t>
      </w:r>
      <w:r>
        <w:rPr>
          <w:caps w:val="false"/>
          <w:smallCaps w:val="false"/>
          <w:sz w:val="24"/>
        </w:rPr>
        <w:t> ☒    </w:t>
      </w:r>
      <w:r>
        <w:rPr>
          <w:rFonts w:ascii="Times New Roman;serif" w:hAnsi="Times New Roman;serif"/>
          <w:b w:val="false"/>
          <w:i w:val="false"/>
          <w:caps w:val="false"/>
          <w:smallCaps w:val="false"/>
          <w:sz w:val="18"/>
        </w:rPr>
        <w:t>No </w:t>
      </w:r>
      <w:r>
        <w:rPr>
          <w:caps w:val="false"/>
          <w:smallCaps w:val="false"/>
          <w:sz w:val="24"/>
        </w:rPr>
        <w:t>☐</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Indicate by check mark whether the registrant is a large accelerated filer, an accelerated filer, a non-accelerated filer, a smaller reporting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company, or an emerging growth company. See the definitions of “large accelerated filer,” “accelerated filer,” “smaller reporting company,” and </w:t>
      </w:r>
    </w:p>
    <w:p>
      <w:pPr>
        <w:pStyle w:val="TextBody"/>
        <w:bidi w:val="0"/>
        <w:spacing w:lineRule="atLeast" w:line="18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18"/>
        </w:rPr>
        <w:t>emerging growth company” in Rule 12b-2 of the Exchange Act.</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Large accelerated filer</w:t>
            </w:r>
          </w:p>
        </w:tc>
        <w:tc>
          <w:tcPr>
            <w:tcW w:w="3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02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Accelerated filer </w:t>
            </w:r>
          </w:p>
        </w:tc>
        <w:tc>
          <w:tcPr>
            <w:tcW w:w="3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66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Non-accelerated filer</w:t>
            </w:r>
          </w:p>
        </w:tc>
        <w:tc>
          <w:tcPr>
            <w:tcW w:w="3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02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Smaller reporting company</w:t>
            </w:r>
          </w:p>
        </w:tc>
        <w:tc>
          <w:tcPr>
            <w:tcW w:w="3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Emerging growth company</w:t>
            </w:r>
          </w:p>
        </w:tc>
        <w:tc>
          <w:tcPr>
            <w:tcW w:w="3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If an emerging growth company, indicate by check mark if the registrant has elected not to use the extended transition period for </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complying with any new or revised financial accounting standards provided pursuant to Section 13(a) of the Exchange Act. </w:t>
      </w:r>
      <w:r>
        <w:rPr>
          <w:caps w:val="false"/>
          <w:smallCaps w:val="false"/>
        </w:rPr>
        <w:t>☐</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Indicate by check mark whether the registrant is a shell company (as defined in Rule 12b-2 of the Exchange Act).  Yes </w:t>
      </w:r>
      <w:r>
        <w:rPr>
          <w:caps w:val="false"/>
          <w:smallCaps w:val="false"/>
          <w:strike w:val="false"/>
          <w:dstrike w:val="false"/>
          <w:sz w:val="24"/>
          <w:u w:val="none"/>
          <w:effect w:val="none"/>
        </w:rPr>
        <w:t>☐</w:t>
      </w:r>
      <w:r>
        <w:rPr>
          <w:caps w:val="false"/>
          <w:smallCaps w:val="false"/>
          <w:sz w:val="24"/>
        </w:rPr>
        <w:t>    </w:t>
      </w:r>
      <w:r>
        <w:rPr>
          <w:rFonts w:ascii="Times New Roman;serif" w:hAnsi="Times New Roman;serif"/>
          <w:b w:val="false"/>
          <w:i w:val="false"/>
          <w:caps w:val="false"/>
          <w:smallCaps w:val="false"/>
          <w:sz w:val="18"/>
        </w:rPr>
        <w:t>No </w:t>
      </w:r>
      <w:r>
        <w:rPr>
          <w:caps w:val="false"/>
          <w:smallCaps w:val="false"/>
          <w:strike w:val="false"/>
          <w:dstrike w:val="false"/>
          <w:sz w:val="24"/>
          <w:u w:val="none"/>
          <w:effect w:val="none"/>
        </w:rPr>
        <w:t>☒</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Number of shares of common stock outstanding at </w:t>
      </w:r>
      <w:r>
        <w:rPr>
          <w:rFonts w:ascii="Times New Roman;serif" w:hAnsi="Times New Roman;serif"/>
          <w:b w:val="false"/>
          <w:i w:val="false"/>
          <w:caps w:val="false"/>
          <w:smallCaps w:val="false"/>
          <w:strike w:val="false"/>
          <w:dstrike w:val="false"/>
          <w:sz w:val="18"/>
          <w:u w:val="none"/>
          <w:effect w:val="none"/>
        </w:rPr>
        <w:t>July 31, 2026</w:t>
      </w:r>
      <w:r>
        <w:rPr>
          <w:rFonts w:ascii="Times New Roman;serif" w:hAnsi="Times New Roman;serif"/>
          <w:b w:val="false"/>
          <w:i w:val="false"/>
          <w:caps w:val="false"/>
          <w:smallCaps w:val="false"/>
          <w:sz w:val="18"/>
        </w:rPr>
        <w:t>:</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Class A Common Stock, par value $.001 per share—</w:t>
      </w:r>
      <w:r>
        <w:rPr>
          <w:rFonts w:ascii="Times New Roman;serif" w:hAnsi="Times New Roman;serif"/>
          <w:b w:val="false"/>
          <w:i w:val="false"/>
          <w:caps w:val="false"/>
          <w:smallCaps w:val="false"/>
          <w:strike w:val="false"/>
          <w:dstrike w:val="false"/>
          <w:sz w:val="18"/>
          <w:u w:val="none"/>
          <w:effect w:val="none"/>
        </w:rPr>
        <w:t>31,500,087</w:t>
      </w:r>
      <w:r>
        <w:rPr>
          <w:caps w:val="false"/>
          <w:smallCaps w:val="false"/>
          <w:sz w:val="24"/>
        </w:rPr>
        <w:t xml:space="preserve">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Class B Common Stock, par value $.001 per share— </w:t>
      </w:r>
      <w:r>
        <w:rPr>
          <w:rFonts w:ascii="Times New Roman;serif" w:hAnsi="Times New Roman;serif"/>
          <w:b w:val="false"/>
          <w:i w:val="false"/>
          <w:caps w:val="false"/>
          <w:smallCaps w:val="false"/>
          <w:strike w:val="false"/>
          <w:dstrike w:val="false"/>
          <w:sz w:val="18"/>
          <w:u w:val="none"/>
          <w:effect w:val="none"/>
        </w:rPr>
        <w:t>1,090,445,692</w:t>
      </w:r>
      <w:r>
        <w:rPr>
          <w:caps w:val="false"/>
          <w:smallCaps w:val="false"/>
          <w:sz w:val="24"/>
        </w:rPr>
        <w:t xml:space="preserve">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PARAMOUNT SKYDANCE CORPORATION</w:t>
      </w:r>
    </w:p>
    <w:p>
      <w:pPr>
        <w:pStyle w:val="TextBody"/>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INDEX TO FORM 10-Q</w:t>
      </w:r>
    </w:p>
    <w:tbl>
      <w:tblPr>
        <w:tblW w:w="9123" w:type="dxa"/>
        <w:jc w:val="left"/>
        <w:tblInd w:w="0" w:type="dxa"/>
        <w:tblLayout w:type="fixed"/>
        <w:tblCellMar>
          <w:top w:w="28" w:type="dxa"/>
          <w:left w:w="28" w:type="dxa"/>
          <w:bottom w:w="28" w:type="dxa"/>
          <w:right w:w="28" w:type="dxa"/>
        </w:tblCellMar>
      </w:tblPr>
      <w:tblGrid>
        <w:gridCol w:w="946"/>
        <w:gridCol w:w="7546"/>
        <w:gridCol w:w="631"/>
      </w:tblGrid>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left w:w="0" w:type="dxa"/>
              <w:right w:w="0" w:type="dxa"/>
            </w:tcMar>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Page</w:t>
            </w:r>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PART I – FINANCIAL INFORMATION</w:t>
            </w:r>
          </w:p>
        </w:tc>
        <w:tc>
          <w:tcPr>
            <w:tcW w:w="6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tLeast" w:line="220" w:before="0" w:after="0"/>
              <w:jc w:val="left"/>
              <w:rPr/>
            </w:pPr>
            <w:hyperlink w:anchor="i56f2f3e383dd4d7f84b89d0bf97634ee_16">
              <w:r>
                <w:rPr>
                  <w:rStyle w:val="InternetLink"/>
                  <w:rFonts w:ascii="Times New Roman;serif" w:hAnsi="Times New Roman;serif"/>
                  <w:b w:val="false"/>
                  <w:i w:val="false"/>
                  <w:caps w:val="false"/>
                  <w:smallCaps w:val="false"/>
                  <w:strike w:val="false"/>
                  <w:dstrike w:val="false"/>
                  <w:color w:val="000000"/>
                  <w:sz w:val="22"/>
                  <w:u w:val="single"/>
                  <w:effect w:val="none"/>
                </w:rPr>
                <w:t>Item 1.</w:t>
              </w:r>
            </w:hyperlink>
          </w:p>
        </w:tc>
        <w:tc>
          <w:tcPr>
            <w:tcW w:w="7546" w:type="dxa"/>
            <w:tcBorders/>
            <w:vAlign w:val="center"/>
          </w:tcPr>
          <w:p>
            <w:pPr>
              <w:pStyle w:val="TableContents"/>
              <w:bidi w:val="0"/>
              <w:spacing w:lineRule="atLeast" w:line="220" w:before="0" w:after="0"/>
              <w:jc w:val="left"/>
              <w:rPr/>
            </w:pPr>
            <w:hyperlink w:anchor="i56f2f3e383dd4d7f84b89d0bf97634ee_16">
              <w:r>
                <w:rPr>
                  <w:rStyle w:val="InternetLink"/>
                  <w:rFonts w:ascii="Times New Roman;serif" w:hAnsi="Times New Roman;serif"/>
                  <w:b w:val="false"/>
                  <w:i w:val="false"/>
                  <w:caps w:val="false"/>
                  <w:smallCaps w:val="false"/>
                  <w:strike w:val="false"/>
                  <w:dstrike w:val="false"/>
                  <w:color w:val="0000FF"/>
                  <w:sz w:val="22"/>
                  <w:u w:val="single"/>
                  <w:effect w:val="none"/>
                </w:rPr>
                <w:t>Financial Statements.</w:t>
              </w:r>
            </w:hyperlink>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lineRule="atLeast" w:line="220" w:before="0" w:after="0"/>
              <w:jc w:val="left"/>
              <w:rPr/>
            </w:pPr>
            <w:hyperlink w:anchor="i56f2f3e383dd4d7f84b89d0bf97634ee_19">
              <w:r>
                <w:rPr>
                  <w:rStyle w:val="InternetLink"/>
                  <w:rFonts w:ascii="Times New Roman;serif" w:hAnsi="Times New Roman;serif"/>
                  <w:b w:val="false"/>
                  <w:i w:val="false"/>
                  <w:caps w:val="false"/>
                  <w:smallCaps w:val="false"/>
                  <w:strike w:val="false"/>
                  <w:dstrike w:val="false"/>
                  <w:color w:val="0000FF"/>
                  <w:sz w:val="22"/>
                  <w:u w:val="single"/>
                  <w:effect w:val="none"/>
                </w:rPr>
                <w:t>Consolidated Statements of Operations (Unaudited)</w:t>
              </w:r>
            </w:hyperlink>
          </w:p>
        </w:tc>
        <w:tc>
          <w:tcPr>
            <w:tcW w:w="631" w:type="dxa"/>
            <w:tcBorders/>
            <w:vAlign w:val="center"/>
          </w:tcPr>
          <w:p>
            <w:pPr>
              <w:pStyle w:val="TableContents"/>
              <w:bidi w:val="0"/>
              <w:spacing w:lineRule="atLeast" w:line="220" w:before="0" w:after="0"/>
              <w:jc w:val="left"/>
              <w:rPr/>
            </w:pPr>
            <w:hyperlink w:anchor="i56f2f3e383dd4d7f84b89d0bf97634ee_19">
              <w:r>
                <w:rPr>
                  <w:rStyle w:val="InternetLink"/>
                  <w:rFonts w:ascii="Times New Roman;serif" w:hAnsi="Times New Roman;serif"/>
                  <w:b w:val="false"/>
                  <w:i w:val="false"/>
                  <w:caps w:val="false"/>
                  <w:smallCaps w:val="false"/>
                  <w:strike w:val="false"/>
                  <w:dstrike w:val="false"/>
                  <w:color w:val="0000FF"/>
                  <w:sz w:val="22"/>
                  <w:u w:val="single"/>
                  <w:effect w:val="none"/>
                </w:rPr>
                <w:t>3</w:t>
              </w:r>
            </w:hyperlink>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lineRule="atLeast" w:line="220" w:before="0" w:after="0"/>
              <w:jc w:val="left"/>
              <w:rPr/>
            </w:pPr>
            <w:hyperlink w:anchor="i56f2f3e383dd4d7f84b89d0bf97634ee_22">
              <w:r>
                <w:rPr>
                  <w:rStyle w:val="InternetLink"/>
                  <w:rFonts w:ascii="Times New Roman;serif" w:hAnsi="Times New Roman;serif"/>
                  <w:b w:val="false"/>
                  <w:i w:val="false"/>
                  <w:caps w:val="false"/>
                  <w:smallCaps w:val="false"/>
                  <w:strike w:val="false"/>
                  <w:dstrike w:val="false"/>
                  <w:color w:val="0000FF"/>
                  <w:sz w:val="22"/>
                  <w:u w:val="single"/>
                  <w:effect w:val="none"/>
                </w:rPr>
                <w:t>Consolidated Statements of Comprehensive Income (Unaudited)</w:t>
              </w:r>
            </w:hyperlink>
          </w:p>
        </w:tc>
        <w:tc>
          <w:tcPr>
            <w:tcW w:w="631" w:type="dxa"/>
            <w:tcBorders/>
            <w:vAlign w:val="center"/>
          </w:tcPr>
          <w:p>
            <w:pPr>
              <w:pStyle w:val="TableContents"/>
              <w:bidi w:val="0"/>
              <w:spacing w:lineRule="atLeast" w:line="220" w:before="0" w:after="0"/>
              <w:jc w:val="left"/>
              <w:rPr/>
            </w:pPr>
            <w:hyperlink w:anchor="i56f2f3e383dd4d7f84b89d0bf97634ee_22">
              <w:r>
                <w:rPr>
                  <w:rStyle w:val="InternetLink"/>
                  <w:rFonts w:ascii="Times New Roman;serif" w:hAnsi="Times New Roman;serif"/>
                  <w:b w:val="false"/>
                  <w:i w:val="false"/>
                  <w:caps w:val="false"/>
                  <w:smallCaps w:val="false"/>
                  <w:strike w:val="false"/>
                  <w:dstrike w:val="false"/>
                  <w:color w:val="0000FF"/>
                  <w:sz w:val="22"/>
                  <w:u w:val="single"/>
                  <w:effect w:val="none"/>
                </w:rPr>
                <w:t>4</w:t>
              </w:r>
            </w:hyperlink>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lineRule="atLeast" w:line="220" w:before="0" w:after="0"/>
              <w:jc w:val="left"/>
              <w:rPr/>
            </w:pPr>
            <w:hyperlink w:anchor="i56f2f3e383dd4d7f84b89d0bf97634ee_25">
              <w:r>
                <w:rPr>
                  <w:rStyle w:val="InternetLink"/>
                  <w:rFonts w:ascii="Times New Roman;serif" w:hAnsi="Times New Roman;serif"/>
                  <w:b w:val="false"/>
                  <w:i w:val="false"/>
                  <w:caps w:val="false"/>
                  <w:smallCaps w:val="false"/>
                  <w:strike w:val="false"/>
                  <w:dstrike w:val="false"/>
                  <w:color w:val="0000FF"/>
                  <w:sz w:val="22"/>
                  <w:u w:val="single"/>
                  <w:effect w:val="none"/>
                </w:rPr>
                <w:t>Consolidated Balance Sheets (Unaudited)</w:t>
              </w:r>
            </w:hyperlink>
          </w:p>
        </w:tc>
        <w:tc>
          <w:tcPr>
            <w:tcW w:w="631" w:type="dxa"/>
            <w:tcBorders/>
            <w:vAlign w:val="center"/>
          </w:tcPr>
          <w:p>
            <w:pPr>
              <w:pStyle w:val="TableContents"/>
              <w:bidi w:val="0"/>
              <w:spacing w:lineRule="atLeast" w:line="220" w:before="0" w:after="0"/>
              <w:jc w:val="left"/>
              <w:rPr/>
            </w:pPr>
            <w:hyperlink w:anchor="i56f2f3e383dd4d7f84b89d0bf97634ee_25">
              <w:r>
                <w:rPr>
                  <w:rStyle w:val="InternetLink"/>
                  <w:rFonts w:ascii="Times New Roman;serif" w:hAnsi="Times New Roman;serif"/>
                  <w:b w:val="false"/>
                  <w:i w:val="false"/>
                  <w:caps w:val="false"/>
                  <w:smallCaps w:val="false"/>
                  <w:strike w:val="false"/>
                  <w:dstrike w:val="false"/>
                  <w:color w:val="0000FF"/>
                  <w:sz w:val="22"/>
                  <w:u w:val="single"/>
                  <w:effect w:val="none"/>
                </w:rPr>
                <w:t>5</w:t>
              </w:r>
            </w:hyperlink>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lineRule="atLeast" w:line="220" w:before="0" w:after="0"/>
              <w:jc w:val="left"/>
              <w:rPr/>
            </w:pPr>
            <w:hyperlink w:anchor="i56f2f3e383dd4d7f84b89d0bf97634ee_28">
              <w:r>
                <w:rPr>
                  <w:rStyle w:val="InternetLink"/>
                  <w:rFonts w:ascii="Times New Roman;serif" w:hAnsi="Times New Roman;serif"/>
                  <w:b w:val="false"/>
                  <w:i w:val="false"/>
                  <w:caps w:val="false"/>
                  <w:smallCaps w:val="false"/>
                  <w:strike w:val="false"/>
                  <w:dstrike w:val="false"/>
                  <w:color w:val="0000FF"/>
                  <w:sz w:val="22"/>
                  <w:u w:val="single"/>
                  <w:effect w:val="none"/>
                </w:rPr>
                <w:t>Consolidated Statements of Cash Flows (Unaudited)</w:t>
              </w:r>
            </w:hyperlink>
          </w:p>
        </w:tc>
        <w:tc>
          <w:tcPr>
            <w:tcW w:w="631" w:type="dxa"/>
            <w:tcBorders/>
            <w:vAlign w:val="center"/>
          </w:tcPr>
          <w:p>
            <w:pPr>
              <w:pStyle w:val="TableContents"/>
              <w:bidi w:val="0"/>
              <w:spacing w:lineRule="atLeast" w:line="220" w:before="0" w:after="0"/>
              <w:jc w:val="left"/>
              <w:rPr/>
            </w:pPr>
            <w:hyperlink w:anchor="i56f2f3e383dd4d7f84b89d0bf97634ee_28">
              <w:r>
                <w:rPr>
                  <w:rStyle w:val="InternetLink"/>
                  <w:rFonts w:ascii="Times New Roman;serif" w:hAnsi="Times New Roman;serif"/>
                  <w:b w:val="false"/>
                  <w:i w:val="false"/>
                  <w:caps w:val="false"/>
                  <w:smallCaps w:val="false"/>
                  <w:strike w:val="false"/>
                  <w:dstrike w:val="false"/>
                  <w:color w:val="0000FF"/>
                  <w:sz w:val="22"/>
                  <w:u w:val="single"/>
                  <w:effect w:val="none"/>
                </w:rPr>
                <w:t>6</w:t>
              </w:r>
            </w:hyperlink>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lineRule="atLeast" w:line="220" w:before="0" w:after="0"/>
              <w:jc w:val="left"/>
              <w:rPr/>
            </w:pPr>
            <w:hyperlink w:anchor="i56f2f3e383dd4d7f84b89d0bf97634ee_34">
              <w:r>
                <w:rPr>
                  <w:rStyle w:val="InternetLink"/>
                  <w:rFonts w:ascii="Times New Roman;serif" w:hAnsi="Times New Roman;serif"/>
                  <w:b w:val="false"/>
                  <w:i w:val="false"/>
                  <w:caps w:val="false"/>
                  <w:smallCaps w:val="false"/>
                  <w:strike w:val="false"/>
                  <w:dstrike w:val="false"/>
                  <w:color w:val="0000FF"/>
                  <w:sz w:val="22"/>
                  <w:u w:val="single"/>
                  <w:effect w:val="none"/>
                </w:rPr>
                <w:t>Consolidated Statements of Stockholders</w:t>
              </w:r>
            </w:hyperlink>
            <w:hyperlink w:anchor="i56f2f3e383dd4d7f84b89d0bf97634ee_133">
              <w:r>
                <w:rPr>
                  <w:rStyle w:val="InternetLink"/>
                  <w:caps w:val="false"/>
                  <w:smallCaps w:val="false"/>
                  <w:strike w:val="false"/>
                  <w:dstrike w:val="false"/>
                  <w:color w:val="000080"/>
                  <w:u w:val="single"/>
                  <w:effect w:val="none"/>
                </w:rPr>
                <w:t>’</w:t>
              </w:r>
            </w:hyperlink>
            <w:hyperlink w:anchor="i56f2f3e383dd4d7f84b89d0bf97634ee_34">
              <w:r>
                <w:rPr>
                  <w:rStyle w:val="InternetLink"/>
                  <w:caps w:val="false"/>
                  <w:smallCaps w:val="false"/>
                  <w:strike w:val="false"/>
                  <w:dstrike w:val="false"/>
                  <w:color w:val="000080"/>
                  <w:u w:val="single"/>
                  <w:effect w:val="none"/>
                </w:rPr>
                <w:t xml:space="preserve"> </w:t>
              </w:r>
            </w:hyperlink>
            <w:hyperlink w:anchor="i56f2f3e383dd4d7f84b89d0bf97634ee_34">
              <w:r>
                <w:rPr>
                  <w:rStyle w:val="InternetLink"/>
                  <w:rFonts w:ascii="Times New Roman;serif" w:hAnsi="Times New Roman;serif"/>
                  <w:b w:val="false"/>
                  <w:i w:val="false"/>
                  <w:caps w:val="false"/>
                  <w:smallCaps w:val="false"/>
                  <w:strike w:val="false"/>
                  <w:dstrike w:val="false"/>
                  <w:color w:val="0000FF"/>
                  <w:sz w:val="22"/>
                  <w:u w:val="single"/>
                  <w:effect w:val="none"/>
                </w:rPr>
                <w:t xml:space="preserve">Equity (Unaudited) </w:t>
              </w:r>
            </w:hyperlink>
          </w:p>
        </w:tc>
        <w:tc>
          <w:tcPr>
            <w:tcW w:w="631" w:type="dxa"/>
            <w:tcBorders/>
            <w:vAlign w:val="center"/>
          </w:tcPr>
          <w:p>
            <w:pPr>
              <w:pStyle w:val="TableContents"/>
              <w:bidi w:val="0"/>
              <w:spacing w:lineRule="atLeast" w:line="220" w:before="0" w:after="0"/>
              <w:jc w:val="left"/>
              <w:rPr/>
            </w:pPr>
            <w:hyperlink w:anchor="i56f2f3e383dd4d7f84b89d0bf97634ee_31">
              <w:r>
                <w:rPr>
                  <w:rStyle w:val="InternetLink"/>
                  <w:rFonts w:ascii="Times New Roman;serif" w:hAnsi="Times New Roman;serif"/>
                  <w:b w:val="false"/>
                  <w:i w:val="false"/>
                  <w:caps w:val="false"/>
                  <w:smallCaps w:val="false"/>
                  <w:strike w:val="false"/>
                  <w:dstrike w:val="false"/>
                  <w:color w:val="3051F2"/>
                  <w:sz w:val="22"/>
                  <w:u w:val="single"/>
                  <w:effect w:val="none"/>
                </w:rPr>
                <w:t>7</w:t>
              </w:r>
            </w:hyperlink>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lineRule="atLeast" w:line="220" w:before="0" w:after="0"/>
              <w:jc w:val="left"/>
              <w:rPr/>
            </w:pPr>
            <w:hyperlink w:anchor="i56f2f3e383dd4d7f84b89d0bf97634ee_40">
              <w:r>
                <w:rPr>
                  <w:rStyle w:val="InternetLink"/>
                  <w:rFonts w:ascii="Times New Roman;serif" w:hAnsi="Times New Roman;serif"/>
                  <w:b w:val="false"/>
                  <w:i w:val="false"/>
                  <w:caps w:val="false"/>
                  <w:smallCaps w:val="false"/>
                  <w:strike w:val="false"/>
                  <w:dstrike w:val="false"/>
                  <w:color w:val="0000FF"/>
                  <w:sz w:val="22"/>
                  <w:u w:val="single"/>
                  <w:effect w:val="none"/>
                </w:rPr>
                <w:t>Notes to Consolidated Financial Statements (Unaudited)</w:t>
              </w:r>
            </w:hyperlink>
          </w:p>
        </w:tc>
        <w:tc>
          <w:tcPr>
            <w:tcW w:w="631" w:type="dxa"/>
            <w:tcBorders/>
            <w:vAlign w:val="center"/>
          </w:tcPr>
          <w:p>
            <w:pPr>
              <w:pStyle w:val="TableContents"/>
              <w:bidi w:val="0"/>
              <w:spacing w:lineRule="atLeast" w:line="220" w:before="0" w:after="0"/>
              <w:jc w:val="left"/>
              <w:rPr/>
            </w:pPr>
            <w:hyperlink w:anchor="i56f2f3e383dd4d7f84b89d0bf97634ee_40">
              <w:r>
                <w:rPr>
                  <w:rStyle w:val="InternetLink"/>
                  <w:rFonts w:ascii="Times New Roman;serif" w:hAnsi="Times New Roman;serif"/>
                  <w:b w:val="false"/>
                  <w:i w:val="false"/>
                  <w:caps w:val="false"/>
                  <w:smallCaps w:val="false"/>
                  <w:strike w:val="false"/>
                  <w:dstrike w:val="false"/>
                  <w:color w:val="0000FF"/>
                  <w:sz w:val="22"/>
                  <w:u w:val="single"/>
                  <w:effect w:val="none"/>
                </w:rPr>
                <w:t>9</w:t>
              </w:r>
            </w:hyperlink>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tLeast" w:line="220" w:before="0" w:after="0"/>
              <w:jc w:val="left"/>
              <w:rPr/>
            </w:pPr>
            <w:hyperlink w:anchor="i56f2f3e383dd4d7f84b89d0bf97634ee_136">
              <w:r>
                <w:rPr>
                  <w:rStyle w:val="InternetLink"/>
                  <w:rFonts w:ascii="Times New Roman;serif" w:hAnsi="Times New Roman;serif"/>
                  <w:b w:val="false"/>
                  <w:i w:val="false"/>
                  <w:caps w:val="false"/>
                  <w:smallCaps w:val="false"/>
                  <w:strike w:val="false"/>
                  <w:dstrike w:val="false"/>
                  <w:color w:val="000000"/>
                  <w:sz w:val="22"/>
                  <w:u w:val="single"/>
                  <w:effect w:val="none"/>
                </w:rPr>
                <w:t>Item 2.</w:t>
              </w:r>
            </w:hyperlink>
          </w:p>
        </w:tc>
        <w:tc>
          <w:tcPr>
            <w:tcW w:w="7546" w:type="dxa"/>
            <w:tcBorders/>
            <w:vAlign w:val="center"/>
          </w:tcPr>
          <w:p>
            <w:pPr>
              <w:pStyle w:val="TableContents"/>
              <w:bidi w:val="0"/>
              <w:spacing w:lineRule="atLeast" w:line="220" w:before="0" w:after="0"/>
              <w:jc w:val="left"/>
              <w:rPr/>
            </w:pPr>
            <w:hyperlink w:anchor="i56f2f3e383dd4d7f84b89d0bf97634ee_133">
              <w:r>
                <w:rPr>
                  <w:rStyle w:val="InternetLink"/>
                  <w:rFonts w:ascii="Times New Roman;serif" w:hAnsi="Times New Roman;serif"/>
                  <w:b w:val="false"/>
                  <w:i w:val="false"/>
                  <w:caps w:val="false"/>
                  <w:smallCaps w:val="false"/>
                  <w:strike w:val="false"/>
                  <w:dstrike w:val="false"/>
                  <w:color w:val="0000FF"/>
                  <w:sz w:val="22"/>
                  <w:u w:val="single"/>
                  <w:effect w:val="none"/>
                </w:rPr>
                <w:t xml:space="preserve">Management’s Discussion and Analysis of Results of Operations and Financial </w:t>
              </w:r>
            </w:hyperlink>
          </w:p>
          <w:p>
            <w:pPr>
              <w:pStyle w:val="TableContents"/>
              <w:bidi w:val="0"/>
              <w:spacing w:lineRule="atLeast" w:line="220" w:before="0" w:after="0"/>
              <w:jc w:val="left"/>
              <w:rPr/>
            </w:pPr>
            <w:hyperlink w:anchor="i56f2f3e383dd4d7f84b89d0bf97634ee_133">
              <w:r>
                <w:rPr>
                  <w:rStyle w:val="InternetLink"/>
                  <w:rFonts w:ascii="Times New Roman;serif" w:hAnsi="Times New Roman;serif"/>
                  <w:b w:val="false"/>
                  <w:i w:val="false"/>
                  <w:caps w:val="false"/>
                  <w:smallCaps w:val="false"/>
                  <w:strike w:val="false"/>
                  <w:dstrike w:val="false"/>
                  <w:color w:val="0000FF"/>
                  <w:sz w:val="22"/>
                  <w:u w:val="single"/>
                  <w:effect w:val="none"/>
                </w:rPr>
                <w:t>Condition.</w:t>
              </w:r>
            </w:hyperlink>
          </w:p>
        </w:tc>
        <w:tc>
          <w:tcPr>
            <w:tcW w:w="631" w:type="dxa"/>
            <w:tcBorders/>
            <w:vAlign w:val="center"/>
          </w:tcPr>
          <w:p>
            <w:pPr>
              <w:pStyle w:val="TableContents"/>
              <w:bidi w:val="0"/>
              <w:spacing w:lineRule="atLeast" w:line="220" w:before="0" w:after="0"/>
              <w:jc w:val="left"/>
              <w:rPr/>
            </w:pPr>
            <w:hyperlink w:anchor="i56f2f3e383dd4d7f84b89d0bf97634ee_133">
              <w:r>
                <w:rPr>
                  <w:rStyle w:val="InternetLink"/>
                  <w:rFonts w:ascii="Times New Roman;serif" w:hAnsi="Times New Roman;serif"/>
                  <w:b w:val="false"/>
                  <w:i w:val="false"/>
                  <w:caps w:val="false"/>
                  <w:smallCaps w:val="false"/>
                  <w:strike w:val="false"/>
                  <w:dstrike w:val="false"/>
                  <w:color w:val="0000FF"/>
                  <w:sz w:val="22"/>
                  <w:u w:val="single"/>
                  <w:effect w:val="none"/>
                </w:rPr>
                <w:t>45</w:t>
              </w:r>
            </w:hyperlink>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tLeast" w:line="220" w:before="0" w:after="0"/>
              <w:jc w:val="left"/>
              <w:rPr/>
            </w:pPr>
            <w:hyperlink w:anchor="i56f2f3e383dd4d7f84b89d0bf97634ee_229">
              <w:r>
                <w:rPr>
                  <w:rStyle w:val="InternetLink"/>
                  <w:rFonts w:ascii="Times New Roman;serif" w:hAnsi="Times New Roman;serif"/>
                  <w:b w:val="false"/>
                  <w:i w:val="false"/>
                  <w:caps w:val="false"/>
                  <w:smallCaps w:val="false"/>
                  <w:strike w:val="false"/>
                  <w:dstrike w:val="false"/>
                  <w:color w:val="000000"/>
                  <w:sz w:val="22"/>
                  <w:u w:val="single"/>
                  <w:effect w:val="none"/>
                </w:rPr>
                <w:t>Item 3.</w:t>
              </w:r>
            </w:hyperlink>
          </w:p>
        </w:tc>
        <w:tc>
          <w:tcPr>
            <w:tcW w:w="7546" w:type="dxa"/>
            <w:tcBorders/>
            <w:vAlign w:val="center"/>
          </w:tcPr>
          <w:p>
            <w:pPr>
              <w:pStyle w:val="TableContents"/>
              <w:bidi w:val="0"/>
              <w:spacing w:lineRule="atLeast" w:line="220" w:before="0" w:after="0"/>
              <w:jc w:val="left"/>
              <w:rPr/>
            </w:pPr>
            <w:hyperlink w:anchor="i56f2f3e383dd4d7f84b89d0bf97634ee_229">
              <w:r>
                <w:rPr>
                  <w:rStyle w:val="InternetLink"/>
                  <w:rFonts w:ascii="Times New Roman;serif" w:hAnsi="Times New Roman;serif"/>
                  <w:b w:val="false"/>
                  <w:i w:val="false"/>
                  <w:caps w:val="false"/>
                  <w:smallCaps w:val="false"/>
                  <w:strike w:val="false"/>
                  <w:dstrike w:val="false"/>
                  <w:color w:val="0000FF"/>
                  <w:sz w:val="22"/>
                  <w:u w:val="single"/>
                  <w:effect w:val="none"/>
                </w:rPr>
                <w:t>Quantitative and Qualitative Disclosures About Market Risk.</w:t>
              </w:r>
            </w:hyperlink>
          </w:p>
        </w:tc>
        <w:tc>
          <w:tcPr>
            <w:tcW w:w="631" w:type="dxa"/>
            <w:tcBorders/>
            <w:vAlign w:val="center"/>
          </w:tcPr>
          <w:p>
            <w:pPr>
              <w:pStyle w:val="TableContents"/>
              <w:bidi w:val="0"/>
              <w:spacing w:lineRule="atLeast" w:line="220" w:before="0" w:after="0"/>
              <w:jc w:val="left"/>
              <w:rPr/>
            </w:pPr>
            <w:hyperlink w:anchor="i56f2f3e383dd4d7f84b89d0bf97634ee_229">
              <w:r>
                <w:rPr>
                  <w:rStyle w:val="InternetLink"/>
                  <w:rFonts w:ascii="Times New Roman;serif" w:hAnsi="Times New Roman;serif"/>
                  <w:b w:val="false"/>
                  <w:i w:val="false"/>
                  <w:caps w:val="false"/>
                  <w:smallCaps w:val="false"/>
                  <w:strike w:val="false"/>
                  <w:dstrike w:val="false"/>
                  <w:color w:val="0000FF"/>
                  <w:sz w:val="22"/>
                  <w:u w:val="single"/>
                  <w:effect w:val="none"/>
                </w:rPr>
                <w:t>88</w:t>
              </w:r>
            </w:hyperlink>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tLeast" w:line="220" w:before="0" w:after="0"/>
              <w:jc w:val="left"/>
              <w:rPr/>
            </w:pPr>
            <w:hyperlink w:anchor="i56f2f3e383dd4d7f84b89d0bf97634ee_232">
              <w:r>
                <w:rPr>
                  <w:rStyle w:val="InternetLink"/>
                  <w:rFonts w:ascii="Times New Roman;serif" w:hAnsi="Times New Roman;serif"/>
                  <w:b w:val="false"/>
                  <w:i w:val="false"/>
                  <w:caps w:val="false"/>
                  <w:smallCaps w:val="false"/>
                  <w:strike w:val="false"/>
                  <w:dstrike w:val="false"/>
                  <w:color w:val="000000"/>
                  <w:sz w:val="22"/>
                  <w:u w:val="single"/>
                  <w:effect w:val="none"/>
                </w:rPr>
                <w:t>Item 4.</w:t>
              </w:r>
            </w:hyperlink>
          </w:p>
        </w:tc>
        <w:tc>
          <w:tcPr>
            <w:tcW w:w="7546" w:type="dxa"/>
            <w:tcBorders/>
            <w:vAlign w:val="center"/>
          </w:tcPr>
          <w:p>
            <w:pPr>
              <w:pStyle w:val="TableContents"/>
              <w:bidi w:val="0"/>
              <w:spacing w:lineRule="atLeast" w:line="220" w:before="0" w:after="0"/>
              <w:jc w:val="left"/>
              <w:rPr/>
            </w:pPr>
            <w:hyperlink w:anchor="i56f2f3e383dd4d7f84b89d0bf97634ee_232">
              <w:r>
                <w:rPr>
                  <w:rStyle w:val="InternetLink"/>
                  <w:rFonts w:ascii="Times New Roman;serif" w:hAnsi="Times New Roman;serif"/>
                  <w:b w:val="false"/>
                  <w:i w:val="false"/>
                  <w:caps w:val="false"/>
                  <w:smallCaps w:val="false"/>
                  <w:strike w:val="false"/>
                  <w:dstrike w:val="false"/>
                  <w:color w:val="0000FF"/>
                  <w:sz w:val="22"/>
                  <w:u w:val="single"/>
                  <w:effect w:val="none"/>
                </w:rPr>
                <w:t>Controls and Procedures.</w:t>
              </w:r>
            </w:hyperlink>
          </w:p>
        </w:tc>
        <w:tc>
          <w:tcPr>
            <w:tcW w:w="631" w:type="dxa"/>
            <w:tcBorders/>
            <w:vAlign w:val="center"/>
          </w:tcPr>
          <w:p>
            <w:pPr>
              <w:pStyle w:val="TableContents"/>
              <w:bidi w:val="0"/>
              <w:spacing w:lineRule="atLeast" w:line="220" w:before="0" w:after="0"/>
              <w:jc w:val="left"/>
              <w:rPr/>
            </w:pPr>
            <w:hyperlink w:anchor="i56f2f3e383dd4d7f84b89d0bf97634ee_232">
              <w:r>
                <w:rPr>
                  <w:rStyle w:val="InternetLink"/>
                  <w:rFonts w:ascii="Times New Roman;serif" w:hAnsi="Times New Roman;serif"/>
                  <w:b w:val="false"/>
                  <w:i w:val="false"/>
                  <w:caps w:val="false"/>
                  <w:smallCaps w:val="false"/>
                  <w:strike w:val="false"/>
                  <w:dstrike w:val="false"/>
                  <w:color w:val="0000FF"/>
                  <w:sz w:val="22"/>
                  <w:u w:val="single"/>
                  <w:effect w:val="none"/>
                </w:rPr>
                <w:t>88</w:t>
              </w:r>
            </w:hyperlink>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lineRule="atLeast" w:line="220" w:before="0" w:after="0"/>
              <w:jc w:val="left"/>
              <w:rPr/>
            </w:pPr>
            <w:hyperlink w:anchor="i56f2f3e383dd4d7f84b89d0bf97634ee_235">
              <w:r>
                <w:rPr>
                  <w:rStyle w:val="InternetLink"/>
                  <w:rFonts w:ascii="Times New Roman;serif" w:hAnsi="Times New Roman;serif"/>
                  <w:b/>
                  <w:i w:val="false"/>
                  <w:caps w:val="false"/>
                  <w:smallCaps w:val="false"/>
                  <w:strike w:val="false"/>
                  <w:dstrike w:val="false"/>
                  <w:color w:val="000000"/>
                  <w:sz w:val="22"/>
                  <w:u w:val="single"/>
                  <w:effect w:val="none"/>
                </w:rPr>
                <w:t>PART II – OTHER INFORMATION</w:t>
              </w:r>
            </w:hyperlink>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Item 1.</w:t>
            </w:r>
          </w:p>
        </w:tc>
        <w:tc>
          <w:tcPr>
            <w:tcW w:w="7546" w:type="dxa"/>
            <w:tcBorders/>
            <w:vAlign w:val="center"/>
          </w:tcPr>
          <w:p>
            <w:pPr>
              <w:pStyle w:val="TableContents"/>
              <w:bidi w:val="0"/>
              <w:spacing w:lineRule="atLeast" w:line="220" w:before="0" w:after="0"/>
              <w:jc w:val="left"/>
              <w:rPr/>
            </w:pPr>
            <w:hyperlink w:anchor="i56f2f3e383dd4d7f84b89d0bf97634ee_238">
              <w:r>
                <w:rPr>
                  <w:rStyle w:val="InternetLink"/>
                  <w:rFonts w:ascii="Times New Roman;serif" w:hAnsi="Times New Roman;serif"/>
                  <w:b w:val="false"/>
                  <w:i w:val="false"/>
                  <w:caps w:val="false"/>
                  <w:smallCaps w:val="false"/>
                  <w:strike w:val="false"/>
                  <w:dstrike w:val="false"/>
                  <w:color w:val="0000FF"/>
                  <w:sz w:val="22"/>
                  <w:u w:val="single"/>
                  <w:effect w:val="none"/>
                </w:rPr>
                <w:t>Legal Proceedings.</w:t>
              </w:r>
            </w:hyperlink>
          </w:p>
        </w:tc>
        <w:tc>
          <w:tcPr>
            <w:tcW w:w="631" w:type="dxa"/>
            <w:tcBorders/>
            <w:vAlign w:val="center"/>
          </w:tcPr>
          <w:p>
            <w:pPr>
              <w:pStyle w:val="TableContents"/>
              <w:bidi w:val="0"/>
              <w:spacing w:lineRule="atLeast" w:line="220" w:before="0" w:after="0"/>
              <w:jc w:val="left"/>
              <w:rPr/>
            </w:pPr>
            <w:hyperlink w:anchor="i56f2f3e383dd4d7f84b89d0bf97634ee_238">
              <w:r>
                <w:rPr>
                  <w:rStyle w:val="InternetLink"/>
                  <w:rFonts w:ascii="Times New Roman;serif" w:hAnsi="Times New Roman;serif"/>
                  <w:b w:val="false"/>
                  <w:i w:val="false"/>
                  <w:caps w:val="false"/>
                  <w:smallCaps w:val="false"/>
                  <w:strike w:val="false"/>
                  <w:dstrike w:val="false"/>
                  <w:color w:val="0000FF"/>
                  <w:sz w:val="22"/>
                  <w:u w:val="single"/>
                  <w:effect w:val="none"/>
                </w:rPr>
                <w:t>89</w:t>
              </w:r>
            </w:hyperlink>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Item 1A.</w:t>
            </w:r>
          </w:p>
        </w:tc>
        <w:tc>
          <w:tcPr>
            <w:tcW w:w="7546" w:type="dxa"/>
            <w:tcBorders/>
            <w:vAlign w:val="center"/>
          </w:tcPr>
          <w:p>
            <w:pPr>
              <w:pStyle w:val="TableContents"/>
              <w:bidi w:val="0"/>
              <w:spacing w:lineRule="atLeast" w:line="220" w:before="0" w:after="0"/>
              <w:jc w:val="left"/>
              <w:rPr/>
            </w:pPr>
            <w:hyperlink w:anchor="i56f2f3e383dd4d7f84b89d0bf97634ee_241">
              <w:r>
                <w:rPr>
                  <w:rStyle w:val="InternetLink"/>
                  <w:rFonts w:ascii="Times New Roman;serif" w:hAnsi="Times New Roman;serif"/>
                  <w:b w:val="false"/>
                  <w:i w:val="false"/>
                  <w:caps w:val="false"/>
                  <w:smallCaps w:val="false"/>
                  <w:strike w:val="false"/>
                  <w:dstrike w:val="false"/>
                  <w:color w:val="0000FF"/>
                  <w:sz w:val="22"/>
                  <w:u w:val="single"/>
                  <w:effect w:val="none"/>
                </w:rPr>
                <w:t>Risk Factors.</w:t>
              </w:r>
            </w:hyperlink>
          </w:p>
        </w:tc>
        <w:tc>
          <w:tcPr>
            <w:tcW w:w="631" w:type="dxa"/>
            <w:tcBorders/>
            <w:vAlign w:val="center"/>
          </w:tcPr>
          <w:p>
            <w:pPr>
              <w:pStyle w:val="TableContents"/>
              <w:bidi w:val="0"/>
              <w:spacing w:lineRule="atLeast" w:line="220" w:before="0" w:after="0"/>
              <w:jc w:val="left"/>
              <w:rPr/>
            </w:pPr>
            <w:hyperlink w:anchor="i56f2f3e383dd4d7f84b89d0bf97634ee_241">
              <w:r>
                <w:rPr>
                  <w:rStyle w:val="InternetLink"/>
                  <w:rFonts w:ascii="Times New Roman;serif" w:hAnsi="Times New Roman;serif"/>
                  <w:b w:val="false"/>
                  <w:i w:val="false"/>
                  <w:caps w:val="false"/>
                  <w:smallCaps w:val="false"/>
                  <w:strike w:val="false"/>
                  <w:dstrike w:val="false"/>
                  <w:color w:val="0000FF"/>
                  <w:sz w:val="22"/>
                  <w:u w:val="single"/>
                  <w:effect w:val="none"/>
                </w:rPr>
                <w:t>89</w:t>
              </w:r>
            </w:hyperlink>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tLeast" w:line="220" w:before="0" w:after="0"/>
              <w:jc w:val="left"/>
              <w:rPr/>
            </w:pPr>
            <w:hyperlink w:anchor="i56f2f3e383dd4d7f84b89d0bf97634ee_247">
              <w:r>
                <w:rPr>
                  <w:rStyle w:val="InternetLink"/>
                  <w:rFonts w:ascii="Times New Roman;serif" w:hAnsi="Times New Roman;serif"/>
                  <w:b w:val="false"/>
                  <w:i w:val="false"/>
                  <w:caps w:val="false"/>
                  <w:smallCaps w:val="false"/>
                  <w:strike w:val="false"/>
                  <w:dstrike w:val="false"/>
                  <w:color w:val="000000"/>
                  <w:sz w:val="22"/>
                  <w:u w:val="single"/>
                  <w:effect w:val="none"/>
                </w:rPr>
                <w:t>Item 2.</w:t>
              </w:r>
            </w:hyperlink>
          </w:p>
        </w:tc>
        <w:tc>
          <w:tcPr>
            <w:tcW w:w="7546" w:type="dxa"/>
            <w:tcBorders/>
            <w:vAlign w:val="center"/>
          </w:tcPr>
          <w:p>
            <w:pPr>
              <w:pStyle w:val="TableContents"/>
              <w:bidi w:val="0"/>
              <w:spacing w:lineRule="atLeast" w:line="220" w:before="0" w:after="0"/>
              <w:jc w:val="left"/>
              <w:rPr/>
            </w:pPr>
            <w:hyperlink w:anchor="i56f2f3e383dd4d7f84b89d0bf97634ee_247">
              <w:r>
                <w:rPr>
                  <w:rStyle w:val="InternetLink"/>
                  <w:rFonts w:ascii="Times New Roman;serif" w:hAnsi="Times New Roman;serif"/>
                  <w:b w:val="false"/>
                  <w:i w:val="false"/>
                  <w:caps w:val="false"/>
                  <w:smallCaps w:val="false"/>
                  <w:strike w:val="false"/>
                  <w:dstrike w:val="false"/>
                  <w:color w:val="0000FF"/>
                  <w:sz w:val="22"/>
                  <w:u w:val="single"/>
                  <w:effect w:val="none"/>
                </w:rPr>
                <w:t>Unregistered Sales of Equity Securities and Use of Proceeds.</w:t>
              </w:r>
            </w:hyperlink>
          </w:p>
        </w:tc>
        <w:tc>
          <w:tcPr>
            <w:tcW w:w="631" w:type="dxa"/>
            <w:tcBorders/>
            <w:vAlign w:val="center"/>
          </w:tcPr>
          <w:p>
            <w:pPr>
              <w:pStyle w:val="TableContents"/>
              <w:bidi w:val="0"/>
              <w:spacing w:lineRule="atLeast" w:line="220" w:before="0" w:after="0"/>
              <w:jc w:val="left"/>
              <w:rPr/>
            </w:pPr>
            <w:hyperlink w:anchor="i56f2f3e383dd4d7f84b89d0bf97634ee_247">
              <w:r>
                <w:rPr>
                  <w:rStyle w:val="InternetLink"/>
                  <w:rFonts w:ascii="Times New Roman;serif" w:hAnsi="Times New Roman;serif"/>
                  <w:b w:val="false"/>
                  <w:i w:val="false"/>
                  <w:caps w:val="false"/>
                  <w:smallCaps w:val="false"/>
                  <w:strike w:val="false"/>
                  <w:dstrike w:val="false"/>
                  <w:color w:val="0000FF"/>
                  <w:sz w:val="22"/>
                  <w:u w:val="single"/>
                  <w:effect w:val="none"/>
                </w:rPr>
                <w:t>96</w:t>
              </w:r>
            </w:hyperlink>
          </w:p>
        </w:tc>
      </w:tr>
      <w:tr>
        <w:trPr/>
        <w:tc>
          <w:tcPr>
            <w:tcW w:w="9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tLeast" w:line="220" w:before="0" w:after="0"/>
              <w:jc w:val="left"/>
              <w:rPr/>
            </w:pPr>
            <w:hyperlink w:anchor="i56f2f3e383dd4d7f84b89d0bf97634ee_256">
              <w:r>
                <w:rPr>
                  <w:rStyle w:val="InternetLink"/>
                  <w:rFonts w:ascii="Times New Roman;serif" w:hAnsi="Times New Roman;serif"/>
                  <w:b w:val="false"/>
                  <w:i w:val="false"/>
                  <w:caps w:val="false"/>
                  <w:smallCaps w:val="false"/>
                  <w:strike w:val="false"/>
                  <w:dstrike w:val="false"/>
                  <w:color w:val="000000"/>
                  <w:sz w:val="22"/>
                  <w:u w:val="single"/>
                  <w:effect w:val="none"/>
                </w:rPr>
                <w:t>Item 6.</w:t>
              </w:r>
            </w:hyperlink>
          </w:p>
        </w:tc>
        <w:tc>
          <w:tcPr>
            <w:tcW w:w="7546" w:type="dxa"/>
            <w:tcBorders/>
            <w:vAlign w:val="center"/>
          </w:tcPr>
          <w:p>
            <w:pPr>
              <w:pStyle w:val="TableContents"/>
              <w:bidi w:val="0"/>
              <w:spacing w:lineRule="atLeast" w:line="220" w:before="0" w:after="0"/>
              <w:jc w:val="left"/>
              <w:rPr/>
            </w:pPr>
            <w:hyperlink w:anchor="i56f2f3e383dd4d7f84b89d0bf97634ee_256">
              <w:r>
                <w:rPr>
                  <w:rStyle w:val="InternetLink"/>
                  <w:rFonts w:ascii="Times New Roman;serif" w:hAnsi="Times New Roman;serif"/>
                  <w:b w:val="false"/>
                  <w:i w:val="false"/>
                  <w:caps w:val="false"/>
                  <w:smallCaps w:val="false"/>
                  <w:strike w:val="false"/>
                  <w:dstrike w:val="false"/>
                  <w:color w:val="0000FF"/>
                  <w:sz w:val="22"/>
                  <w:u w:val="single"/>
                  <w:effect w:val="none"/>
                </w:rPr>
                <w:t>Exhibits.</w:t>
              </w:r>
            </w:hyperlink>
          </w:p>
        </w:tc>
        <w:tc>
          <w:tcPr>
            <w:tcW w:w="631" w:type="dxa"/>
            <w:tcBorders/>
            <w:vAlign w:val="center"/>
          </w:tcPr>
          <w:p>
            <w:pPr>
              <w:pStyle w:val="TableContents"/>
              <w:bidi w:val="0"/>
              <w:spacing w:lineRule="atLeast" w:line="220" w:before="0" w:after="0"/>
              <w:jc w:val="left"/>
              <w:rPr/>
            </w:pPr>
            <w:hyperlink w:anchor="i56f2f3e383dd4d7f84b89d0bf97634ee_256">
              <w:r>
                <w:rPr>
                  <w:rStyle w:val="InternetLink"/>
                  <w:rFonts w:ascii="Times New Roman;serif" w:hAnsi="Times New Roman;serif"/>
                  <w:b w:val="false"/>
                  <w:i w:val="false"/>
                  <w:caps w:val="false"/>
                  <w:smallCaps w:val="false"/>
                  <w:strike w:val="false"/>
                  <w:dstrike w:val="false"/>
                  <w:color w:val="0000FF"/>
                  <w:sz w:val="22"/>
                  <w:u w:val="single"/>
                  <w:effect w:val="none"/>
                </w:rPr>
                <w:t>97</w:t>
              </w:r>
            </w:hyperlink>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47" w:type="dxa"/>
        <w:jc w:val="left"/>
        <w:tblInd w:w="0" w:type="dxa"/>
        <w:tblLayout w:type="fixed"/>
        <w:tblCellMar>
          <w:top w:w="28" w:type="dxa"/>
          <w:left w:w="28" w:type="dxa"/>
          <w:bottom w:w="28" w:type="dxa"/>
          <w:right w:w="28" w:type="dxa"/>
        </w:tblCellMar>
      </w:tblPr>
      <w:tblGrid>
        <w:gridCol w:w="811"/>
        <w:gridCol w:w="2236"/>
      </w:tblGrid>
      <w:tr>
        <w:trPr/>
        <w:tc>
          <w:tcPr>
            <w:tcW w:w="81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Item 1.</w:t>
            </w:r>
          </w:p>
        </w:tc>
        <w:tc>
          <w:tcPr>
            <w:tcW w:w="2236"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CONSOLIDATED STATEMENTS OF OPERATIONS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(Unaudited; in millions, except per share amounts)</w:t>
      </w:r>
    </w:p>
    <w:tbl>
      <w:tblPr>
        <w:tblW w:w="10205" w:type="dxa"/>
        <w:jc w:val="left"/>
        <w:tblInd w:w="0" w:type="dxa"/>
        <w:tblLayout w:type="fixed"/>
        <w:tblCellMar>
          <w:top w:w="28" w:type="dxa"/>
          <w:left w:w="28" w:type="dxa"/>
          <w:bottom w:w="28" w:type="dxa"/>
          <w:right w:w="28" w:type="dxa"/>
        </w:tblCellMar>
      </w:tblPr>
      <w:tblGrid>
        <w:gridCol w:w="4133"/>
        <w:gridCol w:w="165"/>
        <w:gridCol w:w="1029"/>
        <w:gridCol w:w="168"/>
        <w:gridCol w:w="109"/>
        <w:gridCol w:w="109"/>
        <w:gridCol w:w="166"/>
        <w:gridCol w:w="1040"/>
        <w:gridCol w:w="168"/>
        <w:gridCol w:w="109"/>
        <w:gridCol w:w="148"/>
        <w:gridCol w:w="1069"/>
        <w:gridCol w:w="148"/>
        <w:gridCol w:w="109"/>
        <w:gridCol w:w="109"/>
        <w:gridCol w:w="148"/>
        <w:gridCol w:w="1062"/>
        <w:gridCol w:w="216"/>
      </w:tblGrid>
      <w:tr>
        <w:trPr/>
        <w:tc>
          <w:tcPr>
            <w:tcW w:w="41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133"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6"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6"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0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6"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6"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r>
      <w:tr>
        <w:trPr/>
        <w:tc>
          <w:tcPr>
            <w:tcW w:w="4133" w:type="dxa"/>
            <w:tcBorders/>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6"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6"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r>
      <w:tr>
        <w:trPr/>
        <w:tc>
          <w:tcPr>
            <w:tcW w:w="413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6"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6"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4133"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Revenues</w:t>
            </w:r>
          </w:p>
        </w:tc>
        <w:tc>
          <w:tcPr>
            <w:tcW w:w="16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$6,913</w:t>
            </w:r>
          </w:p>
        </w:tc>
        <w:tc>
          <w:tcPr>
            <w:tcW w:w="1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6"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$6,849</w:t>
            </w:r>
          </w:p>
        </w:tc>
        <w:tc>
          <w:tcPr>
            <w:tcW w:w="1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$14,260</w:t>
            </w:r>
          </w:p>
        </w:tc>
        <w:tc>
          <w:tcPr>
            <w:tcW w:w="1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6"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$14,041</w:t>
            </w:r>
          </w:p>
        </w:tc>
        <w:tc>
          <w:tcPr>
            <w:tcW w:w="2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Costs and expenses:</w:t>
            </w:r>
          </w:p>
        </w:tc>
        <w:tc>
          <w:tcPr>
            <w:tcW w:w="16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w:t>
            </w:r>
          </w:p>
        </w:tc>
        <w:tc>
          <w:tcPr>
            <w:tcW w:w="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4,443</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4,624</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9,298</w:t>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9,585</w:t>
            </w:r>
          </w:p>
        </w:tc>
        <w:tc>
          <w:tcPr>
            <w:tcW w:w="216" w:type="dxa"/>
            <w:tcBorders/>
            <w:vAlign w:val="center"/>
          </w:tcPr>
          <w:p>
            <w:pPr>
              <w:pStyle w:val="TableContents"/>
              <w:bidi w:val="0"/>
              <w:spacing w:before="0" w:after="283"/>
              <w:jc w:val="left"/>
              <w:rPr>
                <w:sz w:val="4"/>
                <w:szCs w:val="4"/>
              </w:rPr>
            </w:pPr>
            <w:r>
              <w:rPr>
                <w:sz w:val="4"/>
                <w:szCs w:val="4"/>
              </w:rPr>
            </w:r>
          </w:p>
        </w:tc>
      </w:tr>
      <w:tr>
        <w:trPr/>
        <w:tc>
          <w:tcPr>
            <w:tcW w:w="413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w:t>
            </w:r>
          </w:p>
        </w:tc>
        <w:tc>
          <w:tcPr>
            <w:tcW w:w="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1,443</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1,401</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2,854</w:t>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2,944</w:t>
            </w:r>
          </w:p>
        </w:tc>
        <w:tc>
          <w:tcPr>
            <w:tcW w:w="216" w:type="dxa"/>
            <w:tcBorders/>
            <w:vAlign w:val="center"/>
          </w:tcPr>
          <w:p>
            <w:pPr>
              <w:pStyle w:val="TableContents"/>
              <w:bidi w:val="0"/>
              <w:spacing w:before="0" w:after="283"/>
              <w:jc w:val="left"/>
              <w:rPr>
                <w:sz w:val="4"/>
                <w:szCs w:val="4"/>
              </w:rPr>
            </w:pPr>
            <w:r>
              <w:rPr>
                <w:sz w:val="4"/>
                <w:szCs w:val="4"/>
              </w:rPr>
            </w:r>
          </w:p>
        </w:tc>
      </w:tr>
      <w:tr>
        <w:trPr/>
        <w:tc>
          <w:tcPr>
            <w:tcW w:w="413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Depreciation and amortization</w:t>
            </w:r>
          </w:p>
        </w:tc>
        <w:tc>
          <w:tcPr>
            <w:tcW w:w="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364</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726</w:t>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w:t>
            </w:r>
          </w:p>
        </w:tc>
        <w:tc>
          <w:tcPr>
            <w:tcW w:w="216" w:type="dxa"/>
            <w:tcBorders/>
            <w:vAlign w:val="center"/>
          </w:tcPr>
          <w:p>
            <w:pPr>
              <w:pStyle w:val="TableContents"/>
              <w:bidi w:val="0"/>
              <w:spacing w:before="0" w:after="283"/>
              <w:jc w:val="left"/>
              <w:rPr>
                <w:sz w:val="4"/>
                <w:szCs w:val="4"/>
              </w:rPr>
            </w:pPr>
            <w:r>
              <w:rPr>
                <w:sz w:val="4"/>
                <w:szCs w:val="4"/>
              </w:rPr>
            </w:r>
          </w:p>
        </w:tc>
      </w:tr>
      <w:tr>
        <w:trPr/>
        <w:tc>
          <w:tcPr>
            <w:tcW w:w="413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Impairment charges</w:t>
            </w:r>
          </w:p>
        </w:tc>
        <w:tc>
          <w:tcPr>
            <w:tcW w:w="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w:t>
            </w:r>
          </w:p>
        </w:tc>
        <w:tc>
          <w:tcPr>
            <w:tcW w:w="216" w:type="dxa"/>
            <w:tcBorders/>
            <w:vAlign w:val="center"/>
          </w:tcPr>
          <w:p>
            <w:pPr>
              <w:pStyle w:val="TableContents"/>
              <w:bidi w:val="0"/>
              <w:spacing w:before="0" w:after="283"/>
              <w:jc w:val="left"/>
              <w:rPr>
                <w:sz w:val="4"/>
                <w:szCs w:val="4"/>
              </w:rPr>
            </w:pPr>
            <w:r>
              <w:rPr>
                <w:sz w:val="4"/>
                <w:szCs w:val="4"/>
              </w:rPr>
            </w:r>
          </w:p>
        </w:tc>
      </w:tr>
      <w:tr>
        <w:trPr/>
        <w:tc>
          <w:tcPr>
            <w:tcW w:w="4133"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Restructuring and transaction-related items</w:t>
            </w:r>
          </w:p>
        </w:tc>
        <w:tc>
          <w:tcPr>
            <w:tcW w:w="16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188</w:t>
            </w:r>
          </w:p>
        </w:tc>
        <w:tc>
          <w:tcPr>
            <w:tcW w:w="16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181</w:t>
            </w:r>
          </w:p>
        </w:tc>
        <w:tc>
          <w:tcPr>
            <w:tcW w:w="16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291</w:t>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266</w:t>
            </w:r>
          </w:p>
        </w:tc>
        <w:tc>
          <w:tcPr>
            <w:tcW w:w="2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costs and expenses</w:t>
            </w:r>
          </w:p>
        </w:tc>
        <w:tc>
          <w:tcPr>
            <w:tcW w:w="16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6,438</w:t>
            </w:r>
          </w:p>
        </w:tc>
        <w:tc>
          <w:tcPr>
            <w:tcW w:w="1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6,450</w:t>
            </w:r>
          </w:p>
        </w:tc>
        <w:tc>
          <w:tcPr>
            <w:tcW w:w="1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13,169</w:t>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13,127</w:t>
            </w:r>
          </w:p>
        </w:tc>
        <w:tc>
          <w:tcPr>
            <w:tcW w:w="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Gain on dispositions</w:t>
            </w:r>
          </w:p>
        </w:tc>
        <w:tc>
          <w:tcPr>
            <w:tcW w:w="16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income</w:t>
            </w:r>
          </w:p>
        </w:tc>
        <w:tc>
          <w:tcPr>
            <w:tcW w:w="16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475</w:t>
            </w:r>
          </w:p>
        </w:tc>
        <w:tc>
          <w:tcPr>
            <w:tcW w:w="1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399</w:t>
            </w:r>
          </w:p>
        </w:tc>
        <w:tc>
          <w:tcPr>
            <w:tcW w:w="1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1,091</w:t>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949</w:t>
            </w:r>
          </w:p>
        </w:tc>
        <w:tc>
          <w:tcPr>
            <w:tcW w:w="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expense</w:t>
            </w:r>
          </w:p>
        </w:tc>
        <w:tc>
          <w:tcPr>
            <w:tcW w:w="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(493)</w:t>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(431)</w:t>
            </w:r>
          </w:p>
        </w:tc>
        <w:tc>
          <w:tcPr>
            <w:tcW w:w="216" w:type="dxa"/>
            <w:tcBorders/>
            <w:vAlign w:val="center"/>
          </w:tcPr>
          <w:p>
            <w:pPr>
              <w:pStyle w:val="TableContents"/>
              <w:bidi w:val="0"/>
              <w:spacing w:before="0" w:after="283"/>
              <w:jc w:val="left"/>
              <w:rPr>
                <w:sz w:val="4"/>
                <w:szCs w:val="4"/>
              </w:rPr>
            </w:pPr>
            <w:r>
              <w:rPr>
                <w:sz w:val="4"/>
                <w:szCs w:val="4"/>
              </w:rPr>
            </w:r>
          </w:p>
        </w:tc>
      </w:tr>
      <w:tr>
        <w:trPr/>
        <w:tc>
          <w:tcPr>
            <w:tcW w:w="413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income</w:t>
            </w:r>
          </w:p>
        </w:tc>
        <w:tc>
          <w:tcPr>
            <w:tcW w:w="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w:t>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216" w:type="dxa"/>
            <w:tcBorders/>
            <w:vAlign w:val="center"/>
          </w:tcPr>
          <w:p>
            <w:pPr>
              <w:pStyle w:val="TableContents"/>
              <w:bidi w:val="0"/>
              <w:spacing w:before="0" w:after="283"/>
              <w:jc w:val="left"/>
              <w:rPr>
                <w:sz w:val="4"/>
                <w:szCs w:val="4"/>
              </w:rPr>
            </w:pPr>
            <w:r>
              <w:rPr>
                <w:sz w:val="4"/>
                <w:szCs w:val="4"/>
              </w:rPr>
            </w:r>
          </w:p>
        </w:tc>
      </w:tr>
      <w:tr>
        <w:trPr/>
        <w:tc>
          <w:tcPr>
            <w:tcW w:w="4133"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items, net</w:t>
            </w:r>
          </w:p>
        </w:tc>
        <w:tc>
          <w:tcPr>
            <w:tcW w:w="16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c>
          <w:tcPr>
            <w:tcW w:w="16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16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w:t>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w:t>
            </w:r>
          </w:p>
        </w:tc>
        <w:tc>
          <w:tcPr>
            <w:tcW w:w="2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Earnings before income taxes and equity in loss of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investee companies</w:t>
            </w:r>
          </w:p>
        </w:tc>
        <w:tc>
          <w:tcPr>
            <w:tcW w:w="16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215</w:t>
            </w:r>
          </w:p>
        </w:tc>
        <w:tc>
          <w:tcPr>
            <w:tcW w:w="1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w:t>
            </w:r>
          </w:p>
        </w:tc>
        <w:tc>
          <w:tcPr>
            <w:tcW w:w="1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607</w:t>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512</w:t>
            </w:r>
          </w:p>
        </w:tc>
        <w:tc>
          <w:tcPr>
            <w:tcW w:w="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Provision for income taxes</w:t>
            </w:r>
          </w:p>
        </w:tc>
        <w:tc>
          <w:tcPr>
            <w:tcW w:w="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(275)</w:t>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w:t>
            </w:r>
          </w:p>
        </w:tc>
        <w:tc>
          <w:tcPr>
            <w:tcW w:w="216" w:type="dxa"/>
            <w:tcBorders/>
            <w:vAlign w:val="center"/>
          </w:tcPr>
          <w:p>
            <w:pPr>
              <w:pStyle w:val="TableContents"/>
              <w:bidi w:val="0"/>
              <w:spacing w:before="0" w:after="283"/>
              <w:jc w:val="left"/>
              <w:rPr>
                <w:sz w:val="4"/>
                <w:szCs w:val="4"/>
              </w:rPr>
            </w:pPr>
            <w:r>
              <w:rPr>
                <w:sz w:val="4"/>
                <w:szCs w:val="4"/>
              </w:rPr>
            </w:r>
          </w:p>
        </w:tc>
      </w:tr>
      <w:tr>
        <w:trPr/>
        <w:tc>
          <w:tcPr>
            <w:tcW w:w="4133"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in loss of investee companies, net of tax</w:t>
            </w:r>
          </w:p>
        </w:tc>
        <w:tc>
          <w:tcPr>
            <w:tcW w:w="16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w:t>
            </w:r>
          </w:p>
        </w:tc>
        <w:tc>
          <w:tcPr>
            <w:tcW w:w="16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w:t>
            </w:r>
          </w:p>
        </w:tc>
        <w:tc>
          <w:tcPr>
            <w:tcW w:w="16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w:t>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w:t>
            </w:r>
          </w:p>
        </w:tc>
        <w:tc>
          <w:tcPr>
            <w:tcW w:w="2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earnings (Parent and noncontrolling interests)</w:t>
            </w:r>
          </w:p>
        </w:tc>
        <w:tc>
          <w:tcPr>
            <w:tcW w:w="16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1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w:t>
            </w:r>
          </w:p>
        </w:tc>
        <w:tc>
          <w:tcPr>
            <w:tcW w:w="1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216</w:t>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222</w:t>
            </w:r>
          </w:p>
        </w:tc>
        <w:tc>
          <w:tcPr>
            <w:tcW w:w="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Net earnings attributable to noncontrolling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interests</w:t>
            </w:r>
          </w:p>
        </w:tc>
        <w:tc>
          <w:tcPr>
            <w:tcW w:w="16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6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2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earnings attributable to Parent</w:t>
            </w:r>
          </w:p>
        </w:tc>
        <w:tc>
          <w:tcPr>
            <w:tcW w:w="16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16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6"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16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w:t>
            </w:r>
          </w:p>
        </w:tc>
        <w:tc>
          <w:tcPr>
            <w:tcW w:w="14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6"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6"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w:t>
            </w:r>
          </w:p>
        </w:tc>
        <w:tc>
          <w:tcPr>
            <w:tcW w:w="21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Basic net earnings per common share attributable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to Parent</w:t>
            </w:r>
          </w:p>
        </w:tc>
        <w:tc>
          <w:tcPr>
            <w:tcW w:w="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216" w:type="dxa"/>
            <w:tcBorders/>
            <w:vAlign w:val="center"/>
          </w:tcPr>
          <w:p>
            <w:pPr>
              <w:pStyle w:val="TableContents"/>
              <w:bidi w:val="0"/>
              <w:spacing w:before="0" w:after="283"/>
              <w:jc w:val="left"/>
              <w:rPr>
                <w:sz w:val="4"/>
                <w:szCs w:val="4"/>
              </w:rPr>
            </w:pPr>
            <w:r>
              <w:rPr>
                <w:sz w:val="4"/>
                <w:szCs w:val="4"/>
              </w:rPr>
            </w:r>
          </w:p>
        </w:tc>
      </w:tr>
      <w:tr>
        <w:trPr/>
        <w:tc>
          <w:tcPr>
            <w:tcW w:w="41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13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Diluted net earnings per common share attributable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to Parent</w:t>
            </w:r>
          </w:p>
        </w:tc>
        <w:tc>
          <w:tcPr>
            <w:tcW w:w="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216" w:type="dxa"/>
            <w:tcBorders/>
            <w:vAlign w:val="center"/>
          </w:tcPr>
          <w:p>
            <w:pPr>
              <w:pStyle w:val="TableContents"/>
              <w:bidi w:val="0"/>
              <w:spacing w:before="0" w:after="283"/>
              <w:jc w:val="left"/>
              <w:rPr>
                <w:sz w:val="4"/>
                <w:szCs w:val="4"/>
              </w:rPr>
            </w:pPr>
            <w:r>
              <w:rPr>
                <w:sz w:val="4"/>
                <w:szCs w:val="4"/>
              </w:rPr>
            </w:r>
          </w:p>
        </w:tc>
      </w:tr>
      <w:tr>
        <w:trPr/>
        <w:tc>
          <w:tcPr>
            <w:tcW w:w="41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13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Weighted average number of common shares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outstanding:</w:t>
            </w:r>
          </w:p>
        </w:tc>
        <w:tc>
          <w:tcPr>
            <w:tcW w:w="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13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Basic</w:t>
            </w:r>
          </w:p>
        </w:tc>
        <w:tc>
          <w:tcPr>
            <w:tcW w:w="16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1,117</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675</w:t>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1,113</w:t>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673</w:t>
            </w:r>
          </w:p>
        </w:tc>
        <w:tc>
          <w:tcPr>
            <w:tcW w:w="216" w:type="dxa"/>
            <w:tcBorders/>
            <w:vAlign w:val="center"/>
          </w:tcPr>
          <w:p>
            <w:pPr>
              <w:pStyle w:val="TableContents"/>
              <w:bidi w:val="0"/>
              <w:spacing w:before="0" w:after="283"/>
              <w:jc w:val="left"/>
              <w:rPr>
                <w:sz w:val="4"/>
                <w:szCs w:val="4"/>
              </w:rPr>
            </w:pPr>
            <w:r>
              <w:rPr>
                <w:sz w:val="4"/>
                <w:szCs w:val="4"/>
              </w:rPr>
            </w:r>
          </w:p>
        </w:tc>
      </w:tr>
      <w:tr>
        <w:trPr/>
        <w:tc>
          <w:tcPr>
            <w:tcW w:w="4133"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Diluted</w:t>
            </w:r>
          </w:p>
        </w:tc>
        <w:tc>
          <w:tcPr>
            <w:tcW w:w="16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9"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1,120</w:t>
            </w:r>
          </w:p>
        </w:tc>
        <w:tc>
          <w:tcPr>
            <w:tcW w:w="16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0"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680</w:t>
            </w:r>
          </w:p>
        </w:tc>
        <w:tc>
          <w:tcPr>
            <w:tcW w:w="16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9"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1,119</w:t>
            </w:r>
          </w:p>
        </w:tc>
        <w:tc>
          <w:tcPr>
            <w:tcW w:w="14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6"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2"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679</w:t>
            </w:r>
          </w:p>
        </w:tc>
        <w:tc>
          <w:tcPr>
            <w:tcW w:w="21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notes to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CONSOLIDATED STATEMENTS OF COMPREHENSIVE INCOME</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(Unaudited; in millions)</w:t>
      </w:r>
    </w:p>
    <w:tbl>
      <w:tblPr>
        <w:tblW w:w="10205" w:type="dxa"/>
        <w:jc w:val="left"/>
        <w:tblInd w:w="0" w:type="dxa"/>
        <w:tblLayout w:type="fixed"/>
        <w:tblCellMar>
          <w:top w:w="28" w:type="dxa"/>
          <w:left w:w="28" w:type="dxa"/>
          <w:bottom w:w="28" w:type="dxa"/>
          <w:right w:w="28" w:type="dxa"/>
        </w:tblCellMar>
      </w:tblPr>
      <w:tblGrid>
        <w:gridCol w:w="2878"/>
        <w:gridCol w:w="197"/>
        <w:gridCol w:w="768"/>
        <w:gridCol w:w="200"/>
        <w:gridCol w:w="109"/>
        <w:gridCol w:w="1126"/>
        <w:gridCol w:w="109"/>
        <w:gridCol w:w="157"/>
        <w:gridCol w:w="760"/>
        <w:gridCol w:w="157"/>
        <w:gridCol w:w="109"/>
        <w:gridCol w:w="170"/>
        <w:gridCol w:w="825"/>
        <w:gridCol w:w="171"/>
        <w:gridCol w:w="109"/>
        <w:gridCol w:w="1126"/>
        <w:gridCol w:w="109"/>
        <w:gridCol w:w="154"/>
        <w:gridCol w:w="747"/>
        <w:gridCol w:w="224"/>
      </w:tblGrid>
      <w:tr>
        <w:trPr/>
        <w:tc>
          <w:tcPr>
            <w:tcW w:w="28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7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183" w:type="dxa"/>
            <w:gridSpan w:val="4"/>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234" w:type="dxa"/>
            <w:gridSpan w:val="4"/>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r>
      <w:tr>
        <w:trPr/>
        <w:tc>
          <w:tcPr>
            <w:tcW w:w="287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287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earnings (Parent and noncontrolling interests)</w:t>
            </w:r>
          </w:p>
        </w:tc>
        <w:tc>
          <w:tcPr>
            <w:tcW w:w="1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20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w:t>
            </w:r>
          </w:p>
        </w:tc>
        <w:tc>
          <w:tcPr>
            <w:tcW w:w="1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5"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$216</w:t>
            </w:r>
          </w:p>
        </w:tc>
        <w:tc>
          <w:tcPr>
            <w:tcW w:w="1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$222</w:t>
            </w:r>
          </w:p>
        </w:tc>
        <w:tc>
          <w:tcPr>
            <w:tcW w:w="2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comprehensive income (loss), net of tax:</w:t>
            </w:r>
          </w:p>
        </w:tc>
        <w:tc>
          <w:tcPr>
            <w:tcW w:w="1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Cumulative translation adjustments</w:t>
            </w:r>
          </w:p>
        </w:tc>
        <w:tc>
          <w:tcPr>
            <w:tcW w:w="19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w:t>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w:t>
            </w:r>
          </w:p>
        </w:tc>
        <w:tc>
          <w:tcPr>
            <w:tcW w:w="224" w:type="dxa"/>
            <w:tcBorders/>
            <w:vAlign w:val="center"/>
          </w:tcPr>
          <w:p>
            <w:pPr>
              <w:pStyle w:val="TableContents"/>
              <w:bidi w:val="0"/>
              <w:spacing w:before="0" w:after="283"/>
              <w:jc w:val="left"/>
              <w:rPr>
                <w:sz w:val="4"/>
                <w:szCs w:val="4"/>
              </w:rPr>
            </w:pPr>
            <w:r>
              <w:rPr>
                <w:sz w:val="4"/>
                <w:szCs w:val="4"/>
              </w:rPr>
            </w:r>
          </w:p>
        </w:tc>
      </w:tr>
      <w:tr>
        <w:trPr/>
        <w:tc>
          <w:tcPr>
            <w:tcW w:w="287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flow hedges</w:t>
            </w:r>
          </w:p>
        </w:tc>
        <w:tc>
          <w:tcPr>
            <w:tcW w:w="19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224" w:type="dxa"/>
            <w:tcBorders/>
            <w:vAlign w:val="center"/>
          </w:tcPr>
          <w:p>
            <w:pPr>
              <w:pStyle w:val="TableContents"/>
              <w:bidi w:val="0"/>
              <w:spacing w:before="0" w:after="283"/>
              <w:jc w:val="left"/>
              <w:rPr>
                <w:sz w:val="4"/>
                <w:szCs w:val="4"/>
              </w:rPr>
            </w:pPr>
            <w:r>
              <w:rPr>
                <w:sz w:val="4"/>
                <w:szCs w:val="4"/>
              </w:rPr>
            </w:r>
          </w:p>
        </w:tc>
      </w:tr>
      <w:tr>
        <w:trPr/>
        <w:tc>
          <w:tcPr>
            <w:tcW w:w="287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Decrease to net actuarial loss and prior service costs</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0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5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2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Other comprehensive income (loss), net of tax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(Parent and noncontrolling interests)</w:t>
            </w:r>
          </w:p>
        </w:tc>
        <w:tc>
          <w:tcPr>
            <w:tcW w:w="1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0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w:t>
            </w:r>
          </w:p>
        </w:tc>
        <w:tc>
          <w:tcPr>
            <w:tcW w:w="1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5"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c>
          <w:tcPr>
            <w:tcW w:w="1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187</w:t>
            </w:r>
          </w:p>
        </w:tc>
        <w:tc>
          <w:tcPr>
            <w:tcW w:w="2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Comprehensive income</w:t>
            </w:r>
          </w:p>
        </w:tc>
        <w:tc>
          <w:tcPr>
            <w:tcW w:w="1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w:t>
            </w:r>
          </w:p>
        </w:tc>
        <w:tc>
          <w:tcPr>
            <w:tcW w:w="20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164</w:t>
            </w:r>
          </w:p>
        </w:tc>
        <w:tc>
          <w:tcPr>
            <w:tcW w:w="15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w:t>
            </w:r>
          </w:p>
        </w:tc>
        <w:tc>
          <w:tcPr>
            <w:tcW w:w="1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409</w:t>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Less: Comprehensive income attributable to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noncontrolling interests</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20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5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1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2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Comprehensive income attributable to Parent</w:t>
            </w:r>
          </w:p>
        </w:tc>
        <w:tc>
          <w:tcPr>
            <w:tcW w:w="19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w:t>
            </w:r>
          </w:p>
        </w:tc>
        <w:tc>
          <w:tcPr>
            <w:tcW w:w="20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w:t>
            </w:r>
          </w:p>
        </w:tc>
        <w:tc>
          <w:tcPr>
            <w:tcW w:w="15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5"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w:t>
            </w:r>
          </w:p>
        </w:tc>
        <w:tc>
          <w:tcPr>
            <w:tcW w:w="17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$394</w:t>
            </w:r>
          </w:p>
        </w:tc>
        <w:tc>
          <w:tcPr>
            <w:tcW w:w="22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notes to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CONSOLIDATED BALANCE SHEETS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 in millions, except per share amounts)</w:t>
      </w:r>
    </w:p>
    <w:tbl>
      <w:tblPr>
        <w:tblW w:w="8943" w:type="dxa"/>
        <w:jc w:val="left"/>
        <w:tblInd w:w="0" w:type="dxa"/>
        <w:tblLayout w:type="fixed"/>
        <w:tblCellMar>
          <w:top w:w="28" w:type="dxa"/>
          <w:left w:w="28" w:type="dxa"/>
          <w:bottom w:w="28" w:type="dxa"/>
          <w:right w:w="28" w:type="dxa"/>
        </w:tblCellMar>
      </w:tblPr>
      <w:tblGrid>
        <w:gridCol w:w="6091"/>
        <w:gridCol w:w="138"/>
        <w:gridCol w:w="878"/>
        <w:gridCol w:w="138"/>
        <w:gridCol w:w="109"/>
        <w:gridCol w:w="181"/>
        <w:gridCol w:w="1152"/>
        <w:gridCol w:w="256"/>
      </w:tblGrid>
      <w:tr>
        <w:trPr/>
        <w:tc>
          <w:tcPr>
            <w:tcW w:w="609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At</w:t>
            </w:r>
          </w:p>
        </w:tc>
        <w:tc>
          <w:tcPr>
            <w:tcW w:w="13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At</w:t>
            </w:r>
          </w:p>
        </w:tc>
        <w:tc>
          <w:tcPr>
            <w:tcW w:w="25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 2026</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December 31, 2025</w:t>
            </w:r>
          </w:p>
        </w:tc>
      </w:tr>
      <w:tr>
        <w:trPr/>
        <w:tc>
          <w:tcPr>
            <w:tcW w:w="609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ASSETS</w:t>
            </w:r>
          </w:p>
        </w:tc>
        <w:tc>
          <w:tcPr>
            <w:tcW w:w="1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Current Assets:</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and cash equivalents</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$1,627</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$3,274</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Receivables, net</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6,178</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6,615</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Programming and other inventory</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1,655</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1,461</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Prepaid expenses and other current assets</w:t>
            </w:r>
          </w:p>
        </w:tc>
        <w:tc>
          <w:tcPr>
            <w:tcW w:w="1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1,560</w:t>
            </w:r>
          </w:p>
        </w:tc>
        <w:tc>
          <w:tcPr>
            <w:tcW w:w="1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1,970</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current assets</w:t>
            </w:r>
          </w:p>
        </w:tc>
        <w:tc>
          <w:tcPr>
            <w:tcW w:w="1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11,020</w:t>
            </w:r>
          </w:p>
        </w:tc>
        <w:tc>
          <w:tcPr>
            <w:tcW w:w="1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13,320</w:t>
            </w:r>
          </w:p>
        </w:tc>
        <w:tc>
          <w:tcPr>
            <w:tcW w:w="2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Property and equipment, net</w:t>
            </w:r>
          </w:p>
        </w:tc>
        <w:tc>
          <w:tcPr>
            <w:tcW w:w="1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2,216</w:t>
            </w:r>
          </w:p>
        </w:tc>
        <w:tc>
          <w:tcPr>
            <w:tcW w:w="1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2,195</w:t>
            </w:r>
          </w:p>
        </w:tc>
        <w:tc>
          <w:tcPr>
            <w:tcW w:w="2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Programming and other inventory</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15,641</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15,028</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Goodwill</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2,034</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1,600</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Intangible assets, net</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5,649</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6,238</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Operating lease assets</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1,033</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1,126</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Deferred income tax assets, net</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1,347</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1,282</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Advance consideration for WBD acquisition</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2,800</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assets</w:t>
            </w:r>
          </w:p>
        </w:tc>
        <w:tc>
          <w:tcPr>
            <w:tcW w:w="1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2,671</w:t>
            </w:r>
          </w:p>
        </w:tc>
        <w:tc>
          <w:tcPr>
            <w:tcW w:w="1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2,553</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Assets</w:t>
            </w:r>
          </w:p>
        </w:tc>
        <w:tc>
          <w:tcPr>
            <w:tcW w:w="13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$44,411</w:t>
            </w:r>
          </w:p>
        </w:tc>
        <w:tc>
          <w:tcPr>
            <w:tcW w:w="13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$43,342</w:t>
            </w:r>
          </w:p>
        </w:tc>
        <w:tc>
          <w:tcPr>
            <w:tcW w:w="25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LIABILITIES AND STOCKHOLDERS’ EQUITY</w:t>
            </w:r>
          </w:p>
        </w:tc>
        <w:tc>
          <w:tcPr>
            <w:tcW w:w="13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Current Liabilities:</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Accounts payable</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$511</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$906</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Accrued expenses</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2,158</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2,077</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Participants’ share and royalties payable</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2,606</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2,646</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Accrued programming and production costs</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1,801</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1,832</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Deferred revenues</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1,486</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1,355</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Debt</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665</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433</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current liabilities</w:t>
            </w:r>
          </w:p>
        </w:tc>
        <w:tc>
          <w:tcPr>
            <w:tcW w:w="1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1,373</w:t>
            </w:r>
          </w:p>
        </w:tc>
        <w:tc>
          <w:tcPr>
            <w:tcW w:w="1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1,350</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current liabilities</w:t>
            </w:r>
          </w:p>
        </w:tc>
        <w:tc>
          <w:tcPr>
            <w:tcW w:w="1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10,600</w:t>
            </w:r>
          </w:p>
        </w:tc>
        <w:tc>
          <w:tcPr>
            <w:tcW w:w="1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10,599</w:t>
            </w:r>
          </w:p>
        </w:tc>
        <w:tc>
          <w:tcPr>
            <w:tcW w:w="2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Long-term debt</w:t>
            </w:r>
          </w:p>
        </w:tc>
        <w:tc>
          <w:tcPr>
            <w:tcW w:w="1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14,491</w:t>
            </w:r>
          </w:p>
        </w:tc>
        <w:tc>
          <w:tcPr>
            <w:tcW w:w="1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13,225</w:t>
            </w:r>
          </w:p>
        </w:tc>
        <w:tc>
          <w:tcPr>
            <w:tcW w:w="2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Participants’ share and royalties payable</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1,437</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1,361</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Pension and postretirement benefit obligations</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1,169</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1,185</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Deferred income tax liabilities, net</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68</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85</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Operating lease liabilities </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1,046</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1,150</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Programming obligations</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581</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400</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liabilities</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2,209</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2,450</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Commitments and contingencies (Note 14)</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Parent stockholders’ equity:</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z w:val="18"/>
              </w:rPr>
              <w:t xml:space="preserve">Class A Common Stock, par value </w:t>
            </w:r>
            <w:r>
              <w:rPr>
                <w:rFonts w:ascii="Times New Roman;serif" w:hAnsi="Times New Roman;serif"/>
                <w:b w:val="false"/>
                <w:i w:val="false"/>
                <w:caps w:val="false"/>
                <w:smallCaps w:val="false"/>
                <w:strike w:val="false"/>
                <w:dstrike w:val="false"/>
                <w:sz w:val="18"/>
                <w:u w:val="none"/>
                <w:effect w:val="none"/>
              </w:rPr>
              <w:t>$.001</w:t>
            </w:r>
            <w:r>
              <w:rPr>
                <w:caps w:val="false"/>
                <w:smallCaps w:val="false"/>
                <w:sz w:val="24"/>
              </w:rPr>
              <w:t xml:space="preserve"> </w:t>
            </w:r>
            <w:r>
              <w:rPr>
                <w:rFonts w:ascii="Times New Roman;serif" w:hAnsi="Times New Roman;serif"/>
                <w:b w:val="false"/>
                <w:i w:val="false"/>
                <w:caps w:val="false"/>
                <w:smallCaps w:val="false"/>
                <w:sz w:val="18"/>
              </w:rPr>
              <w:t xml:space="preserve">per share; </w:t>
            </w:r>
            <w:r>
              <w:rPr>
                <w:rFonts w:ascii="Times New Roman;serif" w:hAnsi="Times New Roman;serif"/>
                <w:b w:val="false"/>
                <w:i w:val="false"/>
                <w:caps w:val="false"/>
                <w:smallCaps w:val="false"/>
                <w:strike w:val="false"/>
                <w:dstrike w:val="false"/>
                <w:sz w:val="18"/>
                <w:u w:val="none"/>
                <w:effect w:val="none"/>
              </w:rPr>
              <w:t>55</w:t>
            </w:r>
            <w:r>
              <w:rPr>
                <w:caps w:val="false"/>
                <w:smallCaps w:val="false"/>
                <w:sz w:val="24"/>
              </w:rPr>
              <w:t xml:space="preserve"> </w:t>
            </w:r>
            <w:r>
              <w:rPr>
                <w:rFonts w:ascii="Times New Roman;serif" w:hAnsi="Times New Roman;serif"/>
                <w:b w:val="false"/>
                <w:i w:val="false"/>
                <w:caps w:val="false"/>
                <w:smallCaps w:val="false"/>
                <w:sz w:val="18"/>
              </w:rPr>
              <w:t xml:space="preserve">shares authorized; </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trike w:val="false"/>
                <w:dstrike w:val="false"/>
                <w:sz w:val="18"/>
                <w:u w:val="none"/>
                <w:effect w:val="none"/>
              </w:rPr>
              <w:t>32</w:t>
            </w:r>
            <w:r>
              <w:rPr>
                <w:caps w:val="false"/>
                <w:smallCaps w:val="false"/>
                <w:sz w:val="24"/>
              </w:rPr>
              <w:t xml:space="preserve"> </w:t>
            </w:r>
            <w:r>
              <w:rPr>
                <w:rFonts w:ascii="Times New Roman;serif" w:hAnsi="Times New Roman;serif"/>
                <w:b w:val="false"/>
                <w:i w:val="false"/>
                <w:caps w:val="false"/>
                <w:smallCaps w:val="false"/>
                <w:sz w:val="18"/>
              </w:rPr>
              <w:t>(</w:t>
            </w:r>
            <w:r>
              <w:rPr>
                <w:rFonts w:ascii="Times New Roman;serif" w:hAnsi="Times New Roman;serif"/>
                <w:b w:val="false"/>
                <w:i w:val="false"/>
                <w:caps w:val="false"/>
                <w:smallCaps w:val="false"/>
                <w:strike w:val="false"/>
                <w:dstrike w:val="false"/>
                <w:sz w:val="18"/>
                <w:u w:val="none"/>
                <w:effect w:val="none"/>
              </w:rPr>
              <w:t>2026</w:t>
            </w:r>
            <w:r>
              <w:rPr>
                <w:caps w:val="false"/>
                <w:smallCaps w:val="false"/>
                <w:sz w:val="24"/>
              </w:rPr>
              <w:t xml:space="preserve"> </w:t>
            </w:r>
            <w:r>
              <w:rPr>
                <w:rFonts w:ascii="Times New Roman;serif" w:hAnsi="Times New Roman;serif"/>
                <w:b w:val="false"/>
                <w:i w:val="false"/>
                <w:caps w:val="false"/>
                <w:smallCaps w:val="false"/>
                <w:sz w:val="18"/>
              </w:rPr>
              <w:t xml:space="preserve">and </w:t>
            </w:r>
            <w:r>
              <w:rPr>
                <w:rFonts w:ascii="Times New Roman;serif" w:hAnsi="Times New Roman;serif"/>
                <w:b w:val="false"/>
                <w:i w:val="false"/>
                <w:caps w:val="false"/>
                <w:smallCaps w:val="false"/>
                <w:strike w:val="false"/>
                <w:dstrike w:val="false"/>
                <w:sz w:val="18"/>
                <w:u w:val="none"/>
                <w:effect w:val="none"/>
              </w:rPr>
              <w:t>2025</w:t>
            </w:r>
            <w:r>
              <w:rPr>
                <w:rFonts w:ascii="Times New Roman;serif" w:hAnsi="Times New Roman;serif"/>
                <w:b w:val="false"/>
                <w:i w:val="false"/>
                <w:caps w:val="false"/>
                <w:smallCaps w:val="false"/>
                <w:sz w:val="18"/>
              </w:rPr>
              <w:t>) shares issued</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z w:val="18"/>
              </w:rPr>
              <w:t xml:space="preserve">Class B Common Stock, par value </w:t>
            </w:r>
            <w:r>
              <w:rPr>
                <w:rFonts w:ascii="Times New Roman;serif" w:hAnsi="Times New Roman;serif"/>
                <w:b w:val="false"/>
                <w:i w:val="false"/>
                <w:caps w:val="false"/>
                <w:smallCaps w:val="false"/>
                <w:strike w:val="false"/>
                <w:dstrike w:val="false"/>
                <w:sz w:val="18"/>
                <w:u w:val="none"/>
                <w:effect w:val="none"/>
              </w:rPr>
              <w:t>$.001</w:t>
            </w:r>
            <w:r>
              <w:rPr>
                <w:caps w:val="false"/>
                <w:smallCaps w:val="false"/>
                <w:sz w:val="24"/>
              </w:rPr>
              <w:t xml:space="preserve"> </w:t>
            </w:r>
            <w:r>
              <w:rPr>
                <w:rFonts w:ascii="Times New Roman;serif" w:hAnsi="Times New Roman;serif"/>
                <w:b w:val="false"/>
                <w:i w:val="false"/>
                <w:caps w:val="false"/>
                <w:smallCaps w:val="false"/>
                <w:sz w:val="18"/>
              </w:rPr>
              <w:t xml:space="preserve">per share; </w:t>
            </w:r>
            <w:r>
              <w:rPr>
                <w:rFonts w:ascii="Times New Roman;serif" w:hAnsi="Times New Roman;serif"/>
                <w:b w:val="false"/>
                <w:i w:val="false"/>
                <w:caps w:val="false"/>
                <w:smallCaps w:val="false"/>
                <w:strike w:val="false"/>
                <w:dstrike w:val="false"/>
                <w:sz w:val="18"/>
                <w:u w:val="none"/>
                <w:effect w:val="none"/>
              </w:rPr>
              <w:t>7,000</w:t>
            </w:r>
            <w:r>
              <w:rPr>
                <w:caps w:val="false"/>
                <w:smallCaps w:val="false"/>
                <w:sz w:val="24"/>
              </w:rPr>
              <w:t xml:space="preserve"> </w:t>
            </w:r>
            <w:r>
              <w:rPr>
                <w:rFonts w:ascii="Times New Roman;serif" w:hAnsi="Times New Roman;serif"/>
                <w:b w:val="false"/>
                <w:i w:val="false"/>
                <w:caps w:val="false"/>
                <w:smallCaps w:val="false"/>
                <w:sz w:val="18"/>
              </w:rPr>
              <w:t>(</w:t>
            </w:r>
            <w:r>
              <w:rPr>
                <w:rFonts w:ascii="Times New Roman;serif" w:hAnsi="Times New Roman;serif"/>
                <w:b w:val="false"/>
                <w:i w:val="false"/>
                <w:caps w:val="false"/>
                <w:smallCaps w:val="false"/>
                <w:strike w:val="false"/>
                <w:dstrike w:val="false"/>
                <w:sz w:val="18"/>
                <w:u w:val="none"/>
                <w:effect w:val="none"/>
              </w:rPr>
              <w:t>2026</w:t>
            </w:r>
            <w:r>
              <w:rPr>
                <w:rFonts w:ascii="Times New Roman;serif" w:hAnsi="Times New Roman;serif"/>
                <w:b w:val="false"/>
                <w:i w:val="false"/>
                <w:caps w:val="false"/>
                <w:smallCaps w:val="false"/>
                <w:sz w:val="18"/>
              </w:rPr>
              <w:t xml:space="preserve">) and </w:t>
            </w:r>
            <w:r>
              <w:rPr>
                <w:rFonts w:ascii="Times New Roman;serif" w:hAnsi="Times New Roman;serif"/>
                <w:b w:val="false"/>
                <w:i w:val="false"/>
                <w:caps w:val="false"/>
                <w:smallCaps w:val="false"/>
                <w:strike w:val="false"/>
                <w:dstrike w:val="false"/>
                <w:sz w:val="18"/>
                <w:u w:val="none"/>
                <w:effect w:val="none"/>
              </w:rPr>
              <w:t>5,500</w:t>
            </w:r>
            <w:r>
              <w:rPr>
                <w:caps w:val="false"/>
                <w:smallCaps w:val="false"/>
                <w:sz w:val="24"/>
              </w:rPr>
              <w:t xml:space="preserve"> </w:t>
            </w:r>
            <w:r>
              <w:rPr>
                <w:rFonts w:ascii="Times New Roman;serif" w:hAnsi="Times New Roman;serif"/>
                <w:b w:val="false"/>
                <w:i w:val="false"/>
                <w:caps w:val="false"/>
                <w:smallCaps w:val="false"/>
                <w:sz w:val="18"/>
              </w:rPr>
              <w:t>(</w:t>
            </w:r>
            <w:r>
              <w:rPr>
                <w:rFonts w:ascii="Times New Roman;serif" w:hAnsi="Times New Roman;serif"/>
                <w:b w:val="false"/>
                <w:i w:val="false"/>
                <w:caps w:val="false"/>
                <w:smallCaps w:val="false"/>
                <w:strike w:val="false"/>
                <w:dstrike w:val="false"/>
                <w:sz w:val="18"/>
                <w:u w:val="none"/>
                <w:effect w:val="none"/>
              </w:rPr>
              <w:t>2025</w:t>
            </w:r>
            <w:r>
              <w:rPr>
                <w:rFonts w:ascii="Times New Roman;serif" w:hAnsi="Times New Roman;serif"/>
                <w:b w:val="false"/>
                <w:i w:val="false"/>
                <w:caps w:val="false"/>
                <w:smallCaps w:val="false"/>
                <w:sz w:val="18"/>
              </w:rPr>
              <w:t xml:space="preserve">) </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shares authorized; </w:t>
            </w:r>
            <w:r>
              <w:rPr>
                <w:rFonts w:ascii="Times New Roman;serif" w:hAnsi="Times New Roman;serif"/>
                <w:b w:val="false"/>
                <w:i w:val="false"/>
                <w:caps w:val="false"/>
                <w:smallCaps w:val="false"/>
                <w:strike w:val="false"/>
                <w:dstrike w:val="false"/>
                <w:sz w:val="18"/>
                <w:u w:val="none"/>
                <w:effect w:val="none"/>
              </w:rPr>
              <w:t>1,089</w:t>
            </w:r>
            <w:r>
              <w:rPr>
                <w:caps w:val="false"/>
                <w:smallCaps w:val="false"/>
                <w:sz w:val="24"/>
              </w:rPr>
              <w:t xml:space="preserve"> </w:t>
            </w:r>
            <w:r>
              <w:rPr>
                <w:rFonts w:ascii="Times New Roman;serif" w:hAnsi="Times New Roman;serif"/>
                <w:b w:val="false"/>
                <w:i w:val="false"/>
                <w:caps w:val="false"/>
                <w:smallCaps w:val="false"/>
                <w:sz w:val="18"/>
              </w:rPr>
              <w:t>(</w:t>
            </w:r>
            <w:r>
              <w:rPr>
                <w:rFonts w:ascii="Times New Roman;serif" w:hAnsi="Times New Roman;serif"/>
                <w:b w:val="false"/>
                <w:i w:val="false"/>
                <w:caps w:val="false"/>
                <w:smallCaps w:val="false"/>
                <w:strike w:val="false"/>
                <w:dstrike w:val="false"/>
                <w:sz w:val="18"/>
                <w:u w:val="none"/>
                <w:effect w:val="none"/>
              </w:rPr>
              <w:t>2026</w:t>
            </w:r>
            <w:r>
              <w:rPr>
                <w:rFonts w:ascii="Times New Roman;serif" w:hAnsi="Times New Roman;serif"/>
                <w:b w:val="false"/>
                <w:i w:val="false"/>
                <w:caps w:val="false"/>
                <w:smallCaps w:val="false"/>
                <w:sz w:val="18"/>
              </w:rPr>
              <w:t xml:space="preserve">) and </w:t>
            </w:r>
            <w:r>
              <w:rPr>
                <w:rFonts w:ascii="Times New Roman;serif" w:hAnsi="Times New Roman;serif"/>
                <w:b w:val="false"/>
                <w:i w:val="false"/>
                <w:caps w:val="false"/>
                <w:smallCaps w:val="false"/>
                <w:strike w:val="false"/>
                <w:dstrike w:val="false"/>
                <w:sz w:val="18"/>
                <w:u w:val="none"/>
                <w:effect w:val="none"/>
              </w:rPr>
              <w:t>1,076</w:t>
            </w:r>
            <w:r>
              <w:rPr>
                <w:caps w:val="false"/>
                <w:smallCaps w:val="false"/>
                <w:sz w:val="24"/>
              </w:rPr>
              <w:t xml:space="preserve"> </w:t>
            </w:r>
            <w:r>
              <w:rPr>
                <w:rFonts w:ascii="Times New Roman;serif" w:hAnsi="Times New Roman;serif"/>
                <w:b w:val="false"/>
                <w:i w:val="false"/>
                <w:caps w:val="false"/>
                <w:smallCaps w:val="false"/>
                <w:sz w:val="18"/>
              </w:rPr>
              <w:t>(</w:t>
            </w:r>
            <w:r>
              <w:rPr>
                <w:rFonts w:ascii="Times New Roman;serif" w:hAnsi="Times New Roman;serif"/>
                <w:b w:val="false"/>
                <w:i w:val="false"/>
                <w:caps w:val="false"/>
                <w:smallCaps w:val="false"/>
                <w:strike w:val="false"/>
                <w:dstrike w:val="false"/>
                <w:sz w:val="18"/>
                <w:u w:val="none"/>
                <w:effect w:val="none"/>
              </w:rPr>
              <w:t>2025</w:t>
            </w:r>
            <w:r>
              <w:rPr>
                <w:rFonts w:ascii="Times New Roman;serif" w:hAnsi="Times New Roman;serif"/>
                <w:b w:val="false"/>
                <w:i w:val="false"/>
                <w:caps w:val="false"/>
                <w:smallCaps w:val="false"/>
                <w:sz w:val="18"/>
              </w:rPr>
              <w:t>) shares issued</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Additional paid-in capital</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13,307</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13,386</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Accumulated deficit</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(1,544)</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(1,753)</w:t>
            </w:r>
          </w:p>
        </w:tc>
        <w:tc>
          <w:tcPr>
            <w:tcW w:w="256" w:type="dxa"/>
            <w:tcBorders/>
            <w:vAlign w:val="center"/>
          </w:tcPr>
          <w:p>
            <w:pPr>
              <w:pStyle w:val="TableContents"/>
              <w:bidi w:val="0"/>
              <w:spacing w:before="0" w:after="283"/>
              <w:jc w:val="left"/>
              <w:rPr>
                <w:sz w:val="4"/>
                <w:szCs w:val="4"/>
              </w:rPr>
            </w:pPr>
            <w:r>
              <w:rPr>
                <w:sz w:val="4"/>
                <w:szCs w:val="4"/>
              </w:rPr>
            </w:r>
          </w:p>
        </w:tc>
      </w:tr>
      <w:tr>
        <w:trPr/>
        <w:tc>
          <w:tcPr>
            <w:tcW w:w="60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Accumulated other comprehensive income</w:t>
            </w:r>
          </w:p>
        </w:tc>
        <w:tc>
          <w:tcPr>
            <w:tcW w:w="1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w:t>
            </w:r>
          </w:p>
        </w:tc>
        <w:tc>
          <w:tcPr>
            <w:tcW w:w="1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59</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Parent stockholders’ equity</w:t>
            </w:r>
          </w:p>
        </w:tc>
        <w:tc>
          <w:tcPr>
            <w:tcW w:w="1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11,771</w:t>
            </w:r>
          </w:p>
        </w:tc>
        <w:tc>
          <w:tcPr>
            <w:tcW w:w="1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11,693</w:t>
            </w:r>
          </w:p>
        </w:tc>
        <w:tc>
          <w:tcPr>
            <w:tcW w:w="2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Noncontrolling interests</w:t>
            </w:r>
          </w:p>
        </w:tc>
        <w:tc>
          <w:tcPr>
            <w:tcW w:w="1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1,039</w:t>
            </w:r>
          </w:p>
        </w:tc>
        <w:tc>
          <w:tcPr>
            <w:tcW w:w="1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1,194</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Equity</w:t>
            </w:r>
          </w:p>
        </w:tc>
        <w:tc>
          <w:tcPr>
            <w:tcW w:w="1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12,810</w:t>
            </w:r>
          </w:p>
        </w:tc>
        <w:tc>
          <w:tcPr>
            <w:tcW w:w="1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12,887</w:t>
            </w:r>
          </w:p>
        </w:tc>
        <w:tc>
          <w:tcPr>
            <w:tcW w:w="2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Liabilities and Equity</w:t>
            </w:r>
          </w:p>
        </w:tc>
        <w:tc>
          <w:tcPr>
            <w:tcW w:w="13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$44,411</w:t>
            </w:r>
          </w:p>
        </w:tc>
        <w:tc>
          <w:tcPr>
            <w:tcW w:w="13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$43,342</w:t>
            </w:r>
          </w:p>
        </w:tc>
        <w:tc>
          <w:tcPr>
            <w:tcW w:w="25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notes to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CONSOLIDATED STATEMENTS OF CASH FLOWS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(Unaudited; in millions)</w:t>
      </w:r>
    </w:p>
    <w:tbl>
      <w:tblPr>
        <w:tblW w:w="10205" w:type="dxa"/>
        <w:jc w:val="left"/>
        <w:tblInd w:w="0" w:type="dxa"/>
        <w:tblLayout w:type="fixed"/>
        <w:tblCellMar>
          <w:top w:w="28" w:type="dxa"/>
          <w:left w:w="28" w:type="dxa"/>
          <w:bottom w:w="28" w:type="dxa"/>
          <w:right w:w="28" w:type="dxa"/>
        </w:tblCellMar>
      </w:tblPr>
      <w:tblGrid>
        <w:gridCol w:w="6194"/>
        <w:gridCol w:w="159"/>
        <w:gridCol w:w="992"/>
        <w:gridCol w:w="162"/>
        <w:gridCol w:w="109"/>
        <w:gridCol w:w="1126"/>
        <w:gridCol w:w="109"/>
        <w:gridCol w:w="156"/>
        <w:gridCol w:w="974"/>
        <w:gridCol w:w="224"/>
      </w:tblGrid>
      <w:tr>
        <w:trPr/>
        <w:tc>
          <w:tcPr>
            <w:tcW w:w="61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463" w:type="dxa"/>
            <w:gridSpan w:val="4"/>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r>
      <w:tr>
        <w:trPr/>
        <w:tc>
          <w:tcPr>
            <w:tcW w:w="61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619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Operating Activities:</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earnings (Parent and noncontrolling interests)</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$216</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$222</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Adjustments to reconcile net earnings to net cash flow provided by operating activities:</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Depreciation and amortization</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726</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Impairment charges</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tax provision</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Gain on dispositions</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in loss of investee companies, net of tax and distributions</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141</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 in assets and liabilities</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(767)</w:t>
            </w:r>
          </w:p>
        </w:tc>
        <w:tc>
          <w:tcPr>
            <w:tcW w:w="1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(429)</w:t>
            </w:r>
          </w:p>
        </w:tc>
        <w:tc>
          <w:tcPr>
            <w:tcW w:w="2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cash flow provided by operating activities</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339</w:t>
            </w:r>
          </w:p>
        </w:tc>
        <w:tc>
          <w:tcPr>
            <w:tcW w:w="2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Investing Activities:</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Investments </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(172)</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Capital expenditures</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Advance consideration for WBD acquisition</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(2,800)</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Proceeds from dispositions</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investing activities</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cash flow used for investing activities</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(3,115)</w:t>
            </w:r>
          </w:p>
        </w:tc>
        <w:tc>
          <w:tcPr>
            <w:tcW w:w="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w:t>
            </w:r>
          </w:p>
        </w:tc>
        <w:tc>
          <w:tcPr>
            <w:tcW w:w="2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Financing Activities:</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Borrowings under credit facility</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2,700</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Repayment of credit facility borrowings</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Repayment of notes and debentures</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(347)</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Dividends paid on common stock</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Payment of payroll taxes in lieu of issuing shares for stock-based compensation</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Payments to noncontrolling interests</w:t>
            </w:r>
          </w:p>
        </w:tc>
        <w:tc>
          <w:tcPr>
            <w:tcW w:w="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w:t>
            </w:r>
          </w:p>
        </w:tc>
        <w:tc>
          <w:tcPr>
            <w:tcW w:w="224" w:type="dxa"/>
            <w:tcBorders/>
            <w:vAlign w:val="center"/>
          </w:tcPr>
          <w:p>
            <w:pPr>
              <w:pStyle w:val="TableContents"/>
              <w:bidi w:val="0"/>
              <w:spacing w:before="0" w:after="283"/>
              <w:jc w:val="left"/>
              <w:rPr>
                <w:sz w:val="4"/>
                <w:szCs w:val="4"/>
              </w:rPr>
            </w:pPr>
            <w:r>
              <w:rPr>
                <w:sz w:val="4"/>
                <w:szCs w:val="4"/>
              </w:rPr>
            </w:r>
          </w:p>
        </w:tc>
      </w:tr>
      <w:tr>
        <w:trPr/>
        <w:tc>
          <w:tcPr>
            <w:tcW w:w="619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financing activities</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c>
          <w:tcPr>
            <w:tcW w:w="1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cash flow provided by (used for) financing activities</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992</w:t>
            </w:r>
          </w:p>
        </w:tc>
        <w:tc>
          <w:tcPr>
            <w:tcW w:w="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w:t>
            </w:r>
          </w:p>
        </w:tc>
        <w:tc>
          <w:tcPr>
            <w:tcW w:w="2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Effect of exchange rate changes on cash and cash equivalents</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w:t>
            </w:r>
          </w:p>
        </w:tc>
        <w:tc>
          <w:tcPr>
            <w:tcW w:w="22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(decrease) increase in cash and cash equivalents</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(1,647)</w:t>
            </w:r>
          </w:p>
        </w:tc>
        <w:tc>
          <w:tcPr>
            <w:tcW w:w="1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w:t>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 at beginning of year</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3,274</w:t>
            </w:r>
          </w:p>
        </w:tc>
        <w:tc>
          <w:tcPr>
            <w:tcW w:w="1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2,661</w:t>
            </w:r>
          </w:p>
        </w:tc>
        <w:tc>
          <w:tcPr>
            <w:tcW w:w="2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 at end of period</w:t>
            </w:r>
          </w:p>
        </w:tc>
        <w:tc>
          <w:tcPr>
            <w:tcW w:w="15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$1,627</w:t>
            </w:r>
          </w:p>
        </w:tc>
        <w:tc>
          <w:tcPr>
            <w:tcW w:w="16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$2,739</w:t>
            </w:r>
          </w:p>
        </w:tc>
        <w:tc>
          <w:tcPr>
            <w:tcW w:w="22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notes to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 xml:space="preserve">CONSOLIDATED STATEMENTS OF STOCKHOLDERS’ EQUITY </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(Unaudited; in millions)</w:t>
      </w:r>
    </w:p>
    <w:tbl>
      <w:tblPr>
        <w:tblW w:w="10205" w:type="dxa"/>
        <w:jc w:val="left"/>
        <w:tblInd w:w="0" w:type="dxa"/>
        <w:tblLayout w:type="fixed"/>
        <w:tblCellMar>
          <w:top w:w="28" w:type="dxa"/>
          <w:left w:w="28" w:type="dxa"/>
          <w:bottom w:w="28" w:type="dxa"/>
          <w:right w:w="28" w:type="dxa"/>
        </w:tblCellMar>
      </w:tblPr>
      <w:tblGrid>
        <w:gridCol w:w="2244"/>
        <w:gridCol w:w="721"/>
        <w:gridCol w:w="116"/>
        <w:gridCol w:w="369"/>
        <w:gridCol w:w="109"/>
        <w:gridCol w:w="694"/>
        <w:gridCol w:w="109"/>
        <w:gridCol w:w="133"/>
        <w:gridCol w:w="813"/>
        <w:gridCol w:w="134"/>
        <w:gridCol w:w="109"/>
        <w:gridCol w:w="206"/>
        <w:gridCol w:w="830"/>
        <w:gridCol w:w="208"/>
        <w:gridCol w:w="109"/>
        <w:gridCol w:w="132"/>
        <w:gridCol w:w="842"/>
        <w:gridCol w:w="133"/>
        <w:gridCol w:w="109"/>
        <w:gridCol w:w="162"/>
        <w:gridCol w:w="904"/>
        <w:gridCol w:w="165"/>
        <w:gridCol w:w="109"/>
        <w:gridCol w:w="745"/>
      </w:tblGrid>
      <w:tr>
        <w:trPr/>
        <w:tc>
          <w:tcPr>
            <w:tcW w:w="224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2244" w:type="dxa"/>
            <w:tcBorders>
              <w:top w:val="single" w:sz="16"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 2026</w:t>
            </w:r>
          </w:p>
        </w:tc>
        <w:tc>
          <w:tcPr>
            <w:tcW w:w="7961" w:type="dxa"/>
            <w:gridSpan w:val="2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Class A and B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Common Stock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Outstanding</w:t>
            </w:r>
          </w:p>
        </w:tc>
        <w:tc>
          <w:tcPr>
            <w:tcW w:w="912"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Additional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Paid-In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8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Deficit</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Other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Comprehensive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Income (Loss)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Parent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Stockholders’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Noncontrolling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224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(Successor)</w:t>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(Shares)</w:t>
            </w:r>
          </w:p>
        </w:tc>
        <w:tc>
          <w:tcPr>
            <w:tcW w:w="1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 2026</w:t>
            </w:r>
          </w:p>
        </w:tc>
        <w:tc>
          <w:tcPr>
            <w:tcW w:w="72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1,118</w:t>
            </w:r>
          </w:p>
        </w:tc>
        <w:tc>
          <w:tcPr>
            <w:tcW w:w="1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$13,316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$(1,585)</w:t>
            </w:r>
          </w:p>
        </w:tc>
        <w:tc>
          <w:tcPr>
            <w:tcW w:w="13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w:t>
            </w:r>
          </w:p>
        </w:tc>
        <w:tc>
          <w:tcPr>
            <w:tcW w:w="2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$11,705</w:t>
            </w:r>
          </w:p>
        </w:tc>
        <w:tc>
          <w:tcPr>
            <w:tcW w:w="13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$1,044</w:t>
            </w:r>
          </w:p>
        </w:tc>
        <w:tc>
          <w:tcPr>
            <w:tcW w:w="16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$12,749</w:t>
            </w:r>
          </w:p>
        </w:tc>
      </w:tr>
      <w:tr>
        <w:trPr/>
        <w:tc>
          <w:tcPr>
            <w:tcW w:w="224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Stock-based compensation activity</w:t>
            </w:r>
          </w:p>
        </w:tc>
        <w:tc>
          <w:tcPr>
            <w:tcW w:w="72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c>
          <w:tcPr>
            <w:tcW w:w="1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w:t>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w:t>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w:t>
            </w:r>
          </w:p>
        </w:tc>
      </w:tr>
      <w:tr>
        <w:trPr/>
        <w:tc>
          <w:tcPr>
            <w:tcW w:w="224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stock dividends</w:t>
            </w:r>
          </w:p>
        </w:tc>
        <w:tc>
          <w:tcPr>
            <w:tcW w:w="72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w:t>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w:t>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w:t>
            </w:r>
          </w:p>
        </w:tc>
      </w:tr>
      <w:tr>
        <w:trPr/>
        <w:tc>
          <w:tcPr>
            <w:tcW w:w="224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Noncontrolling interests</w:t>
            </w:r>
          </w:p>
        </w:tc>
        <w:tc>
          <w:tcPr>
            <w:tcW w:w="72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w:t>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w:t>
            </w:r>
          </w:p>
        </w:tc>
      </w:tr>
      <w:tr>
        <w:trPr/>
        <w:tc>
          <w:tcPr>
            <w:tcW w:w="224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earnings</w:t>
            </w:r>
          </w:p>
        </w:tc>
        <w:tc>
          <w:tcPr>
            <w:tcW w:w="72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w:t>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w:t>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w:t>
            </w:r>
          </w:p>
        </w:tc>
      </w:tr>
      <w:tr>
        <w:trPr/>
        <w:tc>
          <w:tcPr>
            <w:tcW w:w="224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comprehensive income</w:t>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3"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w:t>
            </w:r>
          </w:p>
        </w:tc>
        <w:tc>
          <w:tcPr>
            <w:tcW w:w="2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w:t>
            </w:r>
          </w:p>
        </w:tc>
        <w:tc>
          <w:tcPr>
            <w:tcW w:w="13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6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5"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w:t>
            </w:r>
          </w:p>
        </w:tc>
      </w:tr>
      <w:tr>
        <w:trPr/>
        <w:tc>
          <w:tcPr>
            <w:tcW w:w="2244"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721"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1,121</w:t>
            </w:r>
          </w:p>
        </w:tc>
        <w:tc>
          <w:tcPr>
            <w:tcW w:w="11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$13,307</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3"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$(1,544)</w:t>
            </w:r>
          </w:p>
        </w:tc>
        <w:tc>
          <w:tcPr>
            <w:tcW w:w="13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20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$11,771</w:t>
            </w:r>
          </w:p>
        </w:tc>
        <w:tc>
          <w:tcPr>
            <w:tcW w:w="13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4"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$1,039</w:t>
            </w:r>
          </w:p>
        </w:tc>
        <w:tc>
          <w:tcPr>
            <w:tcW w:w="16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$12,810</w:t>
            </w:r>
          </w:p>
        </w:tc>
      </w:tr>
    </w:tbl>
    <w:tbl>
      <w:tblPr>
        <w:tblW w:w="10205" w:type="dxa"/>
        <w:jc w:val="left"/>
        <w:tblInd w:w="0" w:type="dxa"/>
        <w:tblLayout w:type="fixed"/>
        <w:tblCellMar>
          <w:top w:w="28" w:type="dxa"/>
          <w:left w:w="28" w:type="dxa"/>
          <w:bottom w:w="28" w:type="dxa"/>
          <w:right w:w="28" w:type="dxa"/>
        </w:tblCellMar>
      </w:tblPr>
      <w:tblGrid>
        <w:gridCol w:w="2216"/>
        <w:gridCol w:w="696"/>
        <w:gridCol w:w="114"/>
        <w:gridCol w:w="363"/>
        <w:gridCol w:w="109"/>
        <w:gridCol w:w="693"/>
        <w:gridCol w:w="109"/>
        <w:gridCol w:w="109"/>
        <w:gridCol w:w="132"/>
        <w:gridCol w:w="806"/>
        <w:gridCol w:w="133"/>
        <w:gridCol w:w="109"/>
        <w:gridCol w:w="227"/>
        <w:gridCol w:w="783"/>
        <w:gridCol w:w="228"/>
        <w:gridCol w:w="109"/>
        <w:gridCol w:w="130"/>
        <w:gridCol w:w="826"/>
        <w:gridCol w:w="131"/>
        <w:gridCol w:w="109"/>
        <w:gridCol w:w="161"/>
        <w:gridCol w:w="897"/>
        <w:gridCol w:w="164"/>
        <w:gridCol w:w="109"/>
        <w:gridCol w:w="742"/>
      </w:tblGrid>
      <w:tr>
        <w:trPr/>
        <w:tc>
          <w:tcPr>
            <w:tcW w:w="221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2216"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Six Months Ended June 30, 2026</w:t>
            </w:r>
          </w:p>
        </w:tc>
        <w:tc>
          <w:tcPr>
            <w:tcW w:w="7989" w:type="dxa"/>
            <w:gridSpan w:val="24"/>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Class A and B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Common Stock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Outstanding</w:t>
            </w:r>
          </w:p>
        </w:tc>
        <w:tc>
          <w:tcPr>
            <w:tcW w:w="91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Additional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Paid-In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Deficit</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Other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Comprehensive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Income (Loss)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Parent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Stockholders’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Noncontrolling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22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(Successor)</w:t>
            </w:r>
          </w:p>
        </w:tc>
        <w:tc>
          <w:tcPr>
            <w:tcW w:w="6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(Shares)</w:t>
            </w:r>
          </w:p>
        </w:tc>
        <w:tc>
          <w:tcPr>
            <w:tcW w:w="1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69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1,108</w:t>
            </w:r>
          </w:p>
        </w:tc>
        <w:tc>
          <w:tcPr>
            <w:tcW w:w="1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$13,386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$(1,753)</w:t>
            </w:r>
          </w:p>
        </w:tc>
        <w:tc>
          <w:tcPr>
            <w:tcW w:w="13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$11,693</w:t>
            </w:r>
          </w:p>
        </w:tc>
        <w:tc>
          <w:tcPr>
            <w:tcW w:w="1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$1,194</w:t>
            </w:r>
          </w:p>
        </w:tc>
        <w:tc>
          <w:tcPr>
            <w:tcW w:w="16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$12,887</w:t>
            </w:r>
          </w:p>
        </w:tc>
      </w:tr>
      <w:tr>
        <w:trPr/>
        <w:tc>
          <w:tcPr>
            <w:tcW w:w="221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Stock-based compensation activity and other</w:t>
            </w:r>
          </w:p>
        </w:tc>
        <w:tc>
          <w:tcPr>
            <w:tcW w:w="69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w:t>
            </w:r>
          </w:p>
        </w:tc>
        <w:tc>
          <w:tcPr>
            <w:tcW w:w="1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57</w:t>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57</w:t>
            </w:r>
          </w:p>
        </w:tc>
      </w:tr>
      <w:tr>
        <w:trPr/>
        <w:tc>
          <w:tcPr>
            <w:tcW w:w="221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stock dividends</w:t>
            </w:r>
          </w:p>
        </w:tc>
        <w:tc>
          <w:tcPr>
            <w:tcW w:w="69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(119)</w:t>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(119)</w:t>
            </w:r>
          </w:p>
        </w:tc>
      </w:tr>
      <w:tr>
        <w:trPr/>
        <w:tc>
          <w:tcPr>
            <w:tcW w:w="221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Noncontrolling interests</w:t>
            </w:r>
          </w:p>
        </w:tc>
        <w:tc>
          <w:tcPr>
            <w:tcW w:w="69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w:t>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(163)</w:t>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(180)</w:t>
            </w:r>
          </w:p>
        </w:tc>
      </w:tr>
      <w:tr>
        <w:trPr/>
        <w:tc>
          <w:tcPr>
            <w:tcW w:w="221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earnings</w:t>
            </w:r>
          </w:p>
        </w:tc>
        <w:tc>
          <w:tcPr>
            <w:tcW w:w="69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209</w:t>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209</w:t>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216</w:t>
            </w:r>
          </w:p>
        </w:tc>
      </w:tr>
      <w:tr>
        <w:trPr/>
        <w:tc>
          <w:tcPr>
            <w:tcW w:w="2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comprehensive income (loss)</w:t>
            </w:r>
          </w:p>
        </w:tc>
        <w:tc>
          <w:tcPr>
            <w:tcW w:w="6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3"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w:t>
            </w:r>
          </w:p>
        </w:tc>
        <w:tc>
          <w:tcPr>
            <w:tcW w:w="1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7"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6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w:t>
            </w:r>
          </w:p>
        </w:tc>
      </w:tr>
      <w:tr>
        <w:trPr/>
        <w:tc>
          <w:tcPr>
            <w:tcW w:w="2216"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696"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1,121</w:t>
            </w:r>
          </w:p>
        </w:tc>
        <w:tc>
          <w:tcPr>
            <w:tcW w:w="11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$13,307</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6"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$(1,544)</w:t>
            </w:r>
          </w:p>
        </w:tc>
        <w:tc>
          <w:tcPr>
            <w:tcW w:w="13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22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$11,771</w:t>
            </w:r>
          </w:p>
        </w:tc>
        <w:tc>
          <w:tcPr>
            <w:tcW w:w="13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$1,039</w:t>
            </w:r>
          </w:p>
        </w:tc>
        <w:tc>
          <w:tcPr>
            <w:tcW w:w="16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2"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$12,810</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notes to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CONSOLIDATED STATEMENTS OF STOCKHOLDERS’ EQUITY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(Unaudited; in millions)</w:t>
      </w:r>
    </w:p>
    <w:tbl>
      <w:tblPr>
        <w:tblW w:w="10205" w:type="dxa"/>
        <w:jc w:val="left"/>
        <w:tblInd w:w="0" w:type="dxa"/>
        <w:tblLayout w:type="fixed"/>
        <w:tblCellMar>
          <w:top w:w="28" w:type="dxa"/>
          <w:left w:w="28" w:type="dxa"/>
          <w:bottom w:w="28" w:type="dxa"/>
          <w:right w:w="28" w:type="dxa"/>
        </w:tblCellMar>
      </w:tblPr>
      <w:tblGrid>
        <w:gridCol w:w="1738"/>
        <w:gridCol w:w="678"/>
        <w:gridCol w:w="112"/>
        <w:gridCol w:w="358"/>
        <w:gridCol w:w="109"/>
        <w:gridCol w:w="692"/>
        <w:gridCol w:w="109"/>
        <w:gridCol w:w="782"/>
        <w:gridCol w:w="109"/>
        <w:gridCol w:w="109"/>
        <w:gridCol w:w="601"/>
        <w:gridCol w:w="109"/>
        <w:gridCol w:w="109"/>
        <w:gridCol w:w="151"/>
        <w:gridCol w:w="926"/>
        <w:gridCol w:w="153"/>
        <w:gridCol w:w="109"/>
        <w:gridCol w:w="128"/>
        <w:gridCol w:w="816"/>
        <w:gridCol w:w="129"/>
        <w:gridCol w:w="109"/>
        <w:gridCol w:w="193"/>
        <w:gridCol w:w="829"/>
        <w:gridCol w:w="194"/>
        <w:gridCol w:w="109"/>
        <w:gridCol w:w="744"/>
      </w:tblGrid>
      <w:tr>
        <w:trPr/>
        <w:tc>
          <w:tcPr>
            <w:tcW w:w="173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1738" w:type="dxa"/>
            <w:tcBorders>
              <w:top w:val="single" w:sz="16"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 June 30, 2025</w:t>
            </w:r>
          </w:p>
        </w:tc>
        <w:tc>
          <w:tcPr>
            <w:tcW w:w="8467" w:type="dxa"/>
            <w:gridSpan w:val="2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Class A and B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Common Stock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Outstanding</w:t>
            </w:r>
          </w:p>
        </w:tc>
        <w:tc>
          <w:tcPr>
            <w:tcW w:w="91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Additional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Paid-In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78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Treasury</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Retained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Other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Comprehensive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Income (Loss)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Parent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Stockholders’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Noncontrolling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173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(Predecessor)</w:t>
            </w:r>
          </w:p>
        </w:tc>
        <w:tc>
          <w:tcPr>
            <w:tcW w:w="67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(Shares)</w:t>
            </w:r>
          </w:p>
        </w:tc>
        <w:tc>
          <w:tcPr>
            <w:tcW w:w="1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 2025</w:t>
            </w:r>
          </w:p>
        </w:tc>
        <w:tc>
          <w:tcPr>
            <w:tcW w:w="678"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674</w:t>
            </w:r>
          </w:p>
        </w:tc>
        <w:tc>
          <w:tcPr>
            <w:tcW w:w="1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$33,412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$(22,958)</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$7,604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$(1,521)</w:t>
            </w:r>
          </w:p>
        </w:tc>
        <w:tc>
          <w:tcPr>
            <w:tcW w:w="1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$16,538</w:t>
            </w:r>
          </w:p>
        </w:tc>
        <w:tc>
          <w:tcPr>
            <w:tcW w:w="1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$390</w:t>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$16,928</w:t>
            </w:r>
          </w:p>
        </w:tc>
      </w:tr>
      <w:tr>
        <w:trPr/>
        <w:tc>
          <w:tcPr>
            <w:tcW w:w="1738"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Stock-based compensation activity</w:t>
            </w:r>
          </w:p>
        </w:tc>
        <w:tc>
          <w:tcPr>
            <w:tcW w:w="67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w:t>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w:t>
            </w:r>
          </w:p>
        </w:tc>
      </w:tr>
      <w:tr>
        <w:trPr/>
        <w:tc>
          <w:tcPr>
            <w:tcW w:w="1738"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stock dividends</w:t>
            </w:r>
          </w:p>
        </w:tc>
        <w:tc>
          <w:tcPr>
            <w:tcW w:w="67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w:t>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w:t>
            </w:r>
          </w:p>
        </w:tc>
      </w:tr>
      <w:tr>
        <w:trPr/>
        <w:tc>
          <w:tcPr>
            <w:tcW w:w="1738"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Noncontrolling interests</w:t>
            </w:r>
          </w:p>
        </w:tc>
        <w:tc>
          <w:tcPr>
            <w:tcW w:w="67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w:t>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w:t>
            </w:r>
          </w:p>
        </w:tc>
      </w:tr>
      <w:tr>
        <w:trPr/>
        <w:tc>
          <w:tcPr>
            <w:tcW w:w="1738"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earnings</w:t>
            </w:r>
          </w:p>
        </w:tc>
        <w:tc>
          <w:tcPr>
            <w:tcW w:w="67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57</w:t>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w:t>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61</w:t>
            </w:r>
          </w:p>
        </w:tc>
      </w:tr>
      <w:tr>
        <w:trPr/>
        <w:tc>
          <w:tcPr>
            <w:tcW w:w="173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comprehensive income</w:t>
            </w:r>
          </w:p>
        </w:tc>
        <w:tc>
          <w:tcPr>
            <w:tcW w:w="67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w:t>
            </w:r>
          </w:p>
        </w:tc>
        <w:tc>
          <w:tcPr>
            <w:tcW w:w="1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w:t>
            </w:r>
          </w:p>
        </w:tc>
        <w:tc>
          <w:tcPr>
            <w:tcW w:w="12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9"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w:t>
            </w:r>
          </w:p>
        </w:tc>
      </w:tr>
      <w:tr>
        <w:trPr/>
        <w:tc>
          <w:tcPr>
            <w:tcW w:w="1738"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678"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674</w:t>
            </w:r>
          </w:p>
        </w:tc>
        <w:tc>
          <w:tcPr>
            <w:tcW w:w="11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$33,455</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$(22,958)</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$7,626</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6"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$(1,419)</w:t>
            </w:r>
          </w:p>
        </w:tc>
        <w:tc>
          <w:tcPr>
            <w:tcW w:w="15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6"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$16,705</w:t>
            </w:r>
          </w:p>
        </w:tc>
        <w:tc>
          <w:tcPr>
            <w:tcW w:w="12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$406</w:t>
            </w:r>
          </w:p>
        </w:tc>
        <w:tc>
          <w:tcPr>
            <w:tcW w:w="19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$17,111</w:t>
            </w:r>
          </w:p>
        </w:tc>
      </w:tr>
    </w:tbl>
    <w:tbl>
      <w:tblPr>
        <w:tblW w:w="10205" w:type="dxa"/>
        <w:jc w:val="left"/>
        <w:tblInd w:w="0" w:type="dxa"/>
        <w:tblLayout w:type="fixed"/>
        <w:tblCellMar>
          <w:top w:w="28" w:type="dxa"/>
          <w:left w:w="28" w:type="dxa"/>
          <w:bottom w:w="28" w:type="dxa"/>
          <w:right w:w="28" w:type="dxa"/>
        </w:tblCellMar>
      </w:tblPr>
      <w:tblGrid>
        <w:gridCol w:w="1710"/>
        <w:gridCol w:w="692"/>
        <w:gridCol w:w="114"/>
        <w:gridCol w:w="364"/>
        <w:gridCol w:w="109"/>
        <w:gridCol w:w="692"/>
        <w:gridCol w:w="109"/>
        <w:gridCol w:w="783"/>
        <w:gridCol w:w="109"/>
        <w:gridCol w:w="109"/>
        <w:gridCol w:w="601"/>
        <w:gridCol w:w="109"/>
        <w:gridCol w:w="109"/>
        <w:gridCol w:w="151"/>
        <w:gridCol w:w="926"/>
        <w:gridCol w:w="153"/>
        <w:gridCol w:w="109"/>
        <w:gridCol w:w="128"/>
        <w:gridCol w:w="818"/>
        <w:gridCol w:w="129"/>
        <w:gridCol w:w="109"/>
        <w:gridCol w:w="193"/>
        <w:gridCol w:w="829"/>
        <w:gridCol w:w="194"/>
        <w:gridCol w:w="109"/>
        <w:gridCol w:w="747"/>
      </w:tblGrid>
      <w:tr>
        <w:trPr/>
        <w:tc>
          <w:tcPr>
            <w:tcW w:w="171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710" w:type="dxa"/>
            <w:tcBorders>
              <w:top w:val="single" w:sz="16"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 June 30, 2025</w:t>
            </w:r>
          </w:p>
        </w:tc>
        <w:tc>
          <w:tcPr>
            <w:tcW w:w="8495" w:type="dxa"/>
            <w:gridSpan w:val="2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Class A and B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Common Stock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Outstanding</w:t>
            </w:r>
          </w:p>
        </w:tc>
        <w:tc>
          <w:tcPr>
            <w:tcW w:w="91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Additional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Paid-In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78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Treasury</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Retained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Other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Comprehensive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Income (Loss)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Parent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Stockholders’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Noncontrolling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171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(Predecessor)</w:t>
            </w:r>
          </w:p>
        </w:tc>
        <w:tc>
          <w:tcPr>
            <w:tcW w:w="6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(Shares)</w:t>
            </w:r>
          </w:p>
        </w:tc>
        <w:tc>
          <w:tcPr>
            <w:tcW w:w="1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2024</w:t>
            </w:r>
          </w:p>
        </w:tc>
        <w:tc>
          <w:tcPr>
            <w:tcW w:w="692"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671</w:t>
            </w:r>
          </w:p>
        </w:tc>
        <w:tc>
          <w:tcPr>
            <w:tcW w:w="1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$33,394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$(22,958)</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$7,487</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$(1,604)</w:t>
            </w:r>
          </w:p>
        </w:tc>
        <w:tc>
          <w:tcPr>
            <w:tcW w:w="1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$16,320</w:t>
            </w:r>
          </w:p>
        </w:tc>
        <w:tc>
          <w:tcPr>
            <w:tcW w:w="1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$462</w:t>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$16,782</w:t>
            </w:r>
          </w:p>
        </w:tc>
      </w:tr>
      <w:tr>
        <w:trPr/>
        <w:tc>
          <w:tcPr>
            <w:tcW w:w="17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Stock-based compensation activity</w:t>
            </w:r>
          </w:p>
        </w:tc>
        <w:tc>
          <w:tcPr>
            <w:tcW w:w="69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c>
          <w:tcPr>
            <w:tcW w:w="1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61</w:t>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61</w:t>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61</w:t>
            </w:r>
          </w:p>
        </w:tc>
      </w:tr>
      <w:tr>
        <w:trPr/>
        <w:tc>
          <w:tcPr>
            <w:tcW w:w="17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stock dividends</w:t>
            </w:r>
          </w:p>
        </w:tc>
        <w:tc>
          <w:tcPr>
            <w:tcW w:w="69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w:t>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w:t>
            </w:r>
          </w:p>
        </w:tc>
      </w:tr>
      <w:tr>
        <w:trPr/>
        <w:tc>
          <w:tcPr>
            <w:tcW w:w="17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Noncontrolling interests</w:t>
            </w:r>
          </w:p>
        </w:tc>
        <w:tc>
          <w:tcPr>
            <w:tcW w:w="69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w:t>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w:t>
            </w:r>
          </w:p>
        </w:tc>
      </w:tr>
      <w:tr>
        <w:trPr/>
        <w:tc>
          <w:tcPr>
            <w:tcW w:w="17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earnings </w:t>
            </w:r>
          </w:p>
        </w:tc>
        <w:tc>
          <w:tcPr>
            <w:tcW w:w="69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209</w:t>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w:t>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222</w:t>
            </w:r>
          </w:p>
        </w:tc>
      </w:tr>
      <w:tr>
        <w:trPr/>
        <w:tc>
          <w:tcPr>
            <w:tcW w:w="171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comprehensive income</w:t>
            </w:r>
          </w:p>
        </w:tc>
        <w:tc>
          <w:tcPr>
            <w:tcW w:w="69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185</w:t>
            </w:r>
          </w:p>
        </w:tc>
        <w:tc>
          <w:tcPr>
            <w:tcW w:w="1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185</w:t>
            </w:r>
          </w:p>
        </w:tc>
        <w:tc>
          <w:tcPr>
            <w:tcW w:w="12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9"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187</w:t>
            </w:r>
          </w:p>
        </w:tc>
      </w:tr>
      <w:tr>
        <w:trPr/>
        <w:tc>
          <w:tcPr>
            <w:tcW w:w="1710"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692"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674</w:t>
            </w:r>
          </w:p>
        </w:tc>
        <w:tc>
          <w:tcPr>
            <w:tcW w:w="11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$33,455</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$(22,958)</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$7,626</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6"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$(1,419)</w:t>
            </w:r>
          </w:p>
        </w:tc>
        <w:tc>
          <w:tcPr>
            <w:tcW w:w="15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8"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$16,705</w:t>
            </w:r>
          </w:p>
        </w:tc>
        <w:tc>
          <w:tcPr>
            <w:tcW w:w="12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$406</w:t>
            </w:r>
          </w:p>
        </w:tc>
        <w:tc>
          <w:tcPr>
            <w:tcW w:w="19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16"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$17,111</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notes to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trike w:val="false"/>
          <w:dstrike w:val="false"/>
          <w:sz w:val="22"/>
          <w:u w:val="none"/>
          <w:effect w:val="none"/>
        </w:rPr>
      </w:pPr>
      <w:r>
        <w:rPr>
          <w:rFonts w:ascii="Times New Roman;serif" w:hAnsi="Times New Roman;serif"/>
          <w:b/>
          <w:i w:val="false"/>
          <w:caps w:val="false"/>
          <w:smallCaps w:val="false"/>
          <w:strike w:val="false"/>
          <w:dstrike w:val="false"/>
          <w:sz w:val="22"/>
          <w:u w:val="none"/>
          <w:effect w:val="none"/>
        </w:rPr>
        <w:t xml:space="preserve">1) DESCRIPTION OF BUSINESS AND BASIS OF PRESENTATION </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Description of Business</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2"/>
          <w:u w:val="none"/>
          <w:effect w:val="none"/>
        </w:rPr>
        <w:t xml:space="preserve">Paramount Skydance Corporation is a global media and entertainment company with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portfolio that includes Paramount Pictures, Paramount Television, CBS, CBS News, CBS Sports, Nickelodeon,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MTV, BET, Comedy Central, Showtime, Paramount+, Pluto TV, and Skydance Animation, Film, and Television,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Paramount Sports Entertainment and Paramount Games Studio. Beginning in 2026, we transitioned our reporting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structure into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new segments: </w:t>
      </w:r>
      <w:r>
        <w:rPr>
          <w:rFonts w:ascii="Times New Roman;serif" w:hAnsi="Times New Roman;serif"/>
          <w:b w:val="false"/>
          <w:i/>
          <w:strike w:val="false"/>
          <w:dstrike w:val="false"/>
          <w:sz w:val="22"/>
          <w:u w:val="none"/>
          <w:effect w:val="none"/>
        </w:rPr>
        <w:t>Studios</w:t>
      </w:r>
      <w:r>
        <w:rPr>
          <w:rFonts w:ascii="Times New Roman;serif" w:hAnsi="Times New Roman;serif"/>
          <w:b w:val="false"/>
          <w:i w:val="false"/>
          <w:caps w:val="false"/>
          <w:smallCaps w:val="false"/>
          <w:strike w:val="false"/>
          <w:dstrike w:val="false"/>
          <w:sz w:val="22"/>
          <w:u w:val="none"/>
          <w:effect w:val="none"/>
        </w:rPr>
        <w:t xml:space="preserve">, </w:t>
      </w:r>
      <w:r>
        <w:rPr>
          <w:rFonts w:ascii="Times New Roman;serif" w:hAnsi="Times New Roman;serif"/>
          <w:b w:val="false"/>
          <w:i/>
          <w:strike w:val="false"/>
          <w:dstrike w:val="false"/>
          <w:sz w:val="22"/>
          <w:u w:val="none"/>
          <w:effect w:val="none"/>
        </w:rPr>
        <w:t>Direct-to-Consumer</w:t>
      </w:r>
      <w:r>
        <w:rPr>
          <w:rFonts w:ascii="Times New Roman;serif" w:hAnsi="Times New Roman;serif"/>
          <w:b w:val="false"/>
          <w:i w:val="false"/>
          <w:caps w:val="false"/>
          <w:smallCaps w:val="false"/>
          <w:strike w:val="false"/>
          <w:dstrike w:val="false"/>
          <w:sz w:val="22"/>
          <w:u w:val="none"/>
          <w:effect w:val="none"/>
        </w:rPr>
        <w:t>, and</w:t>
      </w:r>
      <w:r>
        <w:rPr>
          <w:strike w:val="false"/>
          <w:dstrike w:val="false"/>
          <w:sz w:val="24"/>
          <w:u w:val="none"/>
          <w:effect w:val="none"/>
        </w:rPr>
        <w:t xml:space="preserve"> </w:t>
      </w:r>
      <w:r>
        <w:rPr>
          <w:rFonts w:ascii="Times New Roman;serif" w:hAnsi="Times New Roman;serif"/>
          <w:b w:val="false"/>
          <w:i/>
          <w:strike w:val="false"/>
          <w:dstrike w:val="false"/>
          <w:sz w:val="22"/>
          <w:u w:val="none"/>
          <w:effect w:val="none"/>
        </w:rPr>
        <w:t>TV Media</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(see Note 13). References to </w:t>
      </w:r>
    </w:p>
    <w:p>
      <w:pPr>
        <w:pStyle w:val="TextBody"/>
        <w:bidi w:val="0"/>
        <w:spacing w:lineRule="atLeast" w:line="22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2"/>
          <w:u w:val="none"/>
          <w:effect w:val="none"/>
        </w:rPr>
        <w:t xml:space="preserve">Paramount,” the “Company,” “we,” “us” and “our” refer to Paramount Skydance Corporation and its consolidated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subsidiaries, unless the context otherwise requires.</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Warner Bros. Discovery Merger</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2"/>
          <w:u w:val="none"/>
          <w:effect w:val="none"/>
        </w:rPr>
        <w:t xml:space="preserve">On February 27, 2026, Paramount and Warner Bros. Discovery, Inc. (“WBD”)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announced a definitive merger agreement (the “WBD Merger Agreement”) under which Paramount will acquire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WBD (the “WBD Merger”). The closing of the WBD Merger is subject to customary closing conditions, including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regulatory clearances.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The anticipated closing of the WBD Merger has been delayed as a result of a lawsuit, with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the parties agreeing to postpone closing until the earlier of five days following the court’s ruling or June 1, 2027.</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Under the terms of the WBD Merger Agreement, Paramount will pay $31.00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WBD share to acquire all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outstanding shares of WBD, which at the time of the WBD Merger Agreement represented an equity value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$80.9 billion, and will assume WBD’s net debt. At March 31, 2026, WBD’s debt (excluding finance leases) was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comprised of $17.7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of senior notes and $15.0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of borrowings from a bridge facility. Furthermore, if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the WBD Merger closes, Paramount will pay WBD stockholders a per share “ticking fee” of $0.00277778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for each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day after September 30, 2026 that the WBD Merger has not closed, up to a maximum of $0.25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WBD share per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90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calendar day period (the “Ticking Consideration”). No Ticking Consideration is payable if the WBD Merger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Agreement is terminated pursuant to its terms.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The WBD Merger Agreement has a termination date of March 4,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2027, subject to one automatic extension to June 4, 2027. Also, under the terms of the WBD Merger Agreement, in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the first quarter of 2026, Paramount paid a termination fee of $2.8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to Netflix, Inc. (“Netflix”) on behalf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WBD in connection with the termination of a prior merger agreement between Netflix and WBD (see Note 15).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This payment was initially funded with cash on hand and a $2.15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borrowing from our credit facility (see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Note 7) and, in accordance with the Subscription Agreements described below, entered into by the Ellison Parties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(as defined below), such amount will ultimately be funded by the $46.7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to be received from the Ellison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Parties.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If the WBD Merger Agreement is terminated because the WBD Merger cannot close due to a failure to obtain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antitrust or regulatory approval, or because a court order prevents the WBD Merger from closing on antitrust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grounds, Paramount will owe WBD a $7.0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Regulatory Termination Fee (as defined in the WBD Merger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Agreement). In accordance with the Subscription Agreements, this termination fee and the previously paid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$2.8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Netflix termination fee described above would be funded by the Ellison Parties in exchange for shares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of Paramount Skydance Corporation Class B Common Stock (as defined below) at $16.02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share.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WBD will owe Paramount a $3.0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termination fee under certain circumstances, including if WBD terminates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the WBD Merger Agreement to enter into a definitive agreement for an alternative acquisition proposal.</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Concurrent with the execution of the WBD Merger Agreement (i) The Lawrence J. Ellison Revocable Trust, u/a/d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1/22/88, as amended (the “Trust”), and Lawrence J. Ellison (together with the Trust, the “Ellison Parties”) and (ii)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RedBird Capital Partners Fund IV (Master), L.P. (“RedBird” and, together with the Trust, the “Equity Investors”)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entered into subscription agreements (collectively, the “Subscription Agreements”) providing for a private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placement investment in Class B common stock of Paramount Skydance Corporation (“Paramount Skydance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Corporation Class B Common Stock”), for an aggregate amount of up to $46.7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(subject to increase if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Ticking Consideration or certain other additional amounts as defined in the WBD Merger Agreement are required)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from the Trust and $250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from RedBird pursuant to the terms of the Subscription Agreements.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April 2026, we announced that the Equity Investors had determined, as permitted under the Subscription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Agreements, to assign their subscription rights thereunder (such assignments, the “Equity Syndication” and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assignees, the “Equity Syndication Parties”) to the Equity Syndication Parties. The Equity Syndication Parties are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composed of affiliates of the Ellison Parties and RedBird, as well as the following institutional investors: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Public Investment Fund, L’Imad 1st SPV 2 Exempt RSC LTD (an investment vehicle of L’Imad Holding, an Abu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Dhabi sovereign wealth fund), QIA TMT Holding LLC (an investment vehicle of the Qatar Investment Authority),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and LionTree Investment Fund, L.P. The aggregate allocations under the Equity Syndication total to the full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amount of the commitments under the Subscription Agreements. At closing of the WBD Merger, Paramount will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issue to each Equity Syndication Party a number of newly issued nonvoting shares of Paramount Skydance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Corporation Class B Common Stock (or securities convertible into shares) equal to its allocated amount divided by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Syndication Purchase Price, defined as the 20-trading-day daily volume-weighted average price of Paramount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Skydance Corporation Class B Common Stock determined as of the third business day prior to the closing of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WBD Merger, subject to a ceiling of $16.02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per share and a floor of $12.00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share. The Equity Syndication does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not relieve the Equity Investors of their contractual commitments made to the Company. To the extent that any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Equity Syndication Party does not perform under its syndication assignment, the obligation of the Equity Investors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to fund the related amount of the commitments would continue to be required under the Subscription Agreements.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Following the closing, the Ellison Family (as defined below) and RedBird will remain the sole holders of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Paramount Class A Common Stock, representing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of the voting shares of Paramount. For the purpose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determining the controlling ownership of Paramount, the Ellison family is comprised of Lawrence J. Ellison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David Ellison (the “Ellison Family”). David Ellison is the son of Lawrence J. Ellison, and Lawrence J. Ellison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David Ellison are accordingly considered immediate family members.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We have also secured commitments for debt financing totaling $54 billion, which include a $49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364-day</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senior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secured bridge loan facility, which we plan, subject to market conditions and other timing considerations,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reduce or replace with permanent financing (which may include issuance of debt securities) on or prior to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closing of the WBD Merger and, in connection with a credit agreement entered into in April 2026 (the “Pro Rata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Credit Agreement”), $2.50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three-year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senior secured term A loans and $2.50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five-year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senior secured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term A loans. The term A loans will be made in a single borrowing on the closing date of the WBD Merger.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Pro Rata Credit Agreement also provides for a $5.00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five-year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senior secured revolving credit facility,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which will be used for general corporate purposes, and will replace our existing revolving credit facility (see Note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7). The availability and initial funding of the facilities under the Pro Rata Credit Agreement and the bridge loan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facility (if not replaced by permanent financing) are subject to the satisfaction or waiver of customary conditions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set forth in the Pro Rata Credit Agreement and the bridge commitment papers, including the closing of the WBD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Merger.</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In addition, following the closing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of the WBD Merger, each holder of Paramount Skydance Corporation Class B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Common Stock (excluding any Equity Investor or affiliate thereof) as of a record date to be determined will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receive, without payment of any consideration,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10-year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warrant (each, a “Warrant”) for each share held,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exercisable at an initial exercise price per share equal to the Syndication Purchase Price and subject to customary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anti-dilution and fundamental change make-whole adjustments. Beginning on the third anniversary of issuance, we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may call the Warrants if the closing price of our Class B Common Stock equals or exceeds $30.00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for at least 20</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trading days during any 30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consecutive trading day period. We intend to apply to list the Warrants for trading 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Nasdaq Stock Market LLC (“Nasdaq”) separate from our Class B Common Stock, subject to applicable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approvals. The planned Warrant issuance is in lieu of a previously planned rights offering at $16.02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share.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connection with the Warrant issuance, existing Paramount restricted stock units (“RSUs”) are expected to be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equitably adjusted pursuant to pre-existing anti-dilution provisions in Paramount equity plans. </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WBD Debt</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2"/>
          <w:u w:val="none"/>
          <w:effect w:val="none"/>
        </w:rPr>
        <w:t xml:space="preserve">In May 2026, we commenced (i) exchange offers, which are expected to result in the exchange of up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to $12.7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aggregate principal amount of certain of WBD’s senior notes for newly issued Paramount notes,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and (ii) tender offers for cash for up to $2.4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aggregate principal amount of other WBD senior notes, in each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case conditioned on the closing of the WBD Merger. In June 2026, WBD entered into a seven-year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$13.0 billion</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term loan (“First Lien Credit Agreement”), and a seven-year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1.7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term loan (the “WBD Term Loans”).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proceeds were used to repay the $15.0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bridge facility WBD had outstanding on March 31, 2026. We plan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replace or refinance the WBD Term Loans, if not refinanced by WBD prior to closing of the WBD Merger. </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The NAI Transaction</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2"/>
          <w:u w:val="none"/>
          <w:effect w:val="none"/>
        </w:rPr>
        <w:t xml:space="preserve">On August 7, 2025, pursuant to a purchase and sale agreement dated July 7, 2024, certain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affiliates of investors in Skydance Media, LLC (“Skydance”), comprised of entities controlled by the Ellison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Family and affiliates of RedBird Capital Partners (collectively the “NAI Equity Investors”), purchased all of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outstanding equity interests of Paramount Global’s controlling stockholder, National Amusements, Inc. (“NAI”)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from the shareholders of NAI (the “NAI Transaction”). </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The Skydance Transactions</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2"/>
          <w:u w:val="none"/>
          <w:effect w:val="none"/>
        </w:rPr>
        <w:t xml:space="preserve">Also on August 7, 2025, following the completion of the NAI Transaction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pursuant to the Transaction Agreement dated as of July 7, 2024, Paramount Global and Skydance became wholly-</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owned subsidiaries of Paramount Skydance Corporation (the transactions contemplated by the Transaction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Agreement, the “Skydance Transactions”). Paramount Skydance Corporation, formerly known as New Pluto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Global, Inc., was formed on June 3, 2024 to consummate the Transactions and was a wholly-owned direct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subsidiary of Paramount Global until, through a series of mergers, it became the holding company of Paramount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Global and Skydance as part of the Skydance Transactions.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Concurrent with the NAI Transaction, the NAI Equity Investors and certain other affiliates of investors in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Skydance made an investment of $6.0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into Paramount Skydance Corporation (the “PIPE Transaction”) in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exchange for 400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newly issued shares of Paramount Skydance Corporation Class B Common Stock for a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purchase price of $15.00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per share, and the NAI Equity Investors also received warrants to purchase 200 million</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shares of Paramount Skydance Corporation Class B Common Stock at an initial exercise price of $30.50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share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(subject to customary anti-dilution adjustments), which expire five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after issuance. $4.45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of the PIPE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Transaction investment was used to fund the cash-stock election discussed below and $1.52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of cash was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provided to the Company.</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Skydance Transactions also included: (1) a transaction pursuant to which each outstanding Skydance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membership unit held by Skydance investors and each Skydance Phantom Unit was converted into the right to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receive the applicable portion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316.7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shares of Paramount Skydance Corporation Class B Common Stock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(313.8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shares after reduction in connection with certain tax withholding requirements),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(2) a cash-stock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election offered to holders of Paramount Global common stock pursuant to which (a) shares of Paramount Global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Class A Common Stock held by stockholders other than NAI or its subsidiaries were converted, at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stockholders’ election, into the right to receive either $23.00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in cash (“Class A Cash Consideration”) or 1.5333</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shares of Paramount Skydance Corporation Class B Common Stock (“Class A Stock Consideration”), and (b)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shares of Paramount Global Class B Common Stock held by stockholders other than NAI or its subsidiaries,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NAI Equity Investors and certain other affiliates of investors in Skydance referred to above were converted, at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stockholders’ election, into the right to receive either $15.00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in cash (“Class B Cash Consideration”), subject to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proration, or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share of Paramount Skydance Corporation Class B Common Stock (“Class B Stock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Consideration”). The shares of Paramount Class A Common Stock held by NAI and its subsidiaries converted into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shares of Class A common stock, par value $0.001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share. Shares of Paramount Global Class A Common Stock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for which elections to receive Class A Cash Consideration or Class A Stock Consideration were not made or were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validly revoked were automatically converted into Class A Stock Consideration. Shares of Paramount Global Class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 Common Stock for which elections to receive Class B Cash Consideration were not made or were validly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revoked were converted automatically into one share of Paramount Skydance Corporation Class B Common Stock.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See Note 10.</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Shares of Paramount Skydance Corporation Class B Common Stock trade on Nasdaq under the ticker symbol </w:t>
      </w:r>
    </w:p>
    <w:p>
      <w:pPr>
        <w:pStyle w:val="TextBody"/>
        <w:bidi w:val="0"/>
        <w:spacing w:lineRule="atLeast" w:line="22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2"/>
          <w:u w:val="none"/>
          <w:effect w:val="none"/>
        </w:rPr>
        <w:t xml:space="preserve">PSKY.” All shares of Paramount Global Class A Common Stock and Class B Common Stock have been delisted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from Nasdaq and have been cancelled and cease to exist.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Holders of shares of Class A common stock of Paramount Skydance Corporation (“Paramount Skydance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Corporation Class A Common Stock”) are entitled to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vote per share with respect to all matters on which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holders of Paramount Skydance Corporation common stock are entitled to vote. Holders of Paramount Skydance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Corporation Class B Common Stock do not have voting rights. Following the closing of the Skydance Transactions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and the NAI Transaction, NAI, which was renamed Harbor Lights Entertainment, Inc., and its subsidiaries held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100.0%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of the Paramount Skydance Corporation Class A Common Stock. Accordingly, entities controlled by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Ellison Family indirectly hold approximately 77.5%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of the Paramount Skydance Corporation Class A Common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Stock through their collective approximate 77.5%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ownership interest in Harbor Lights Entertainment, Inc., and as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result the Ellison Family is the controlling stockholder and the ultimate parent of Paramount (“Ultimate Parent”).</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Pushdown of Ultimate Parent’s Basis</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2"/>
          <w:u w:val="none"/>
          <w:effect w:val="none"/>
        </w:rPr>
        <w:t xml:space="preserve">At the time Paramount Global and Skydance became subsidiaries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Paramount Skydance Corporation, the Ellison Family controlled both Paramount Global and Skydance, and as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result, this transaction has been accounted for as a transaction between entities under common control. As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transaction between entities under common control, the net assets were combined at the Ultimate Parent’s basis,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which for Paramount Global was deemed to be the estimated fair value as of August 7, 2025, the date of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closing of the NAI Transaction, which was the point at which the Ellison Family obtained control of Paramount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Global (see Note 2). As a result, the net assets of Paramount Global were recorded at their fair values as of this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date. Since the net assets of Skydance were already at the Ultimate Parent’s basis, no adjustment to the fair value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of net assets was necessary, and Skydance was combined with Paramount Global’s net assets at the Ultimate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Parent’s basis as of this date.</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Due to the pushdown of the Ultimate Parent’s basis, which resulted in a new basis of accounting, the results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operations, financial position and cash flows are not comparable between the Successor and Predecessor periods.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Accordingly, our consolidated financial statements and footnote disclosures are presented in distinct periods.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periods prior to the closing of the Skydance Transactions and the NAI Transaction include only Paramount Global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and are identified as “Predecessor,” and the periods beginning on August 7, 2025 reflect Paramount Skydance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Corporation and are identified as “Successor.” In addition, we are required to present segment information for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Predecessor period based on our previous segments, Filmed Entertainment, Direct-to-Consumer, and TV Media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(see Note 13). </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Basis of Presentation—</w:t>
      </w:r>
      <w:r>
        <w:rPr>
          <w:rFonts w:ascii="Times New Roman;serif" w:hAnsi="Times New Roman;serif"/>
          <w:b w:val="false"/>
          <w:i w:val="false"/>
          <w:caps w:val="false"/>
          <w:smallCaps w:val="false"/>
          <w:strike w:val="false"/>
          <w:dstrike w:val="false"/>
          <w:sz w:val="22"/>
          <w:u w:val="none"/>
          <w:effect w:val="none"/>
        </w:rPr>
        <w:t xml:space="preserve">The accompanying unaudited consolidated financial statements have been prepared on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basis consistent with accounting principles generally accepted in the United States (“U.S. GAAP” or “GAAP”) for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interim financial information and pursuant to the rules of the Securities and Exchange Commission. These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financial statements should be read in conjunction with the more detailed financial statements and notes thereto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included in our Form 8-K filed with the Securities and Exchange Commission on May 13, 2026, which was filed 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order to recast the financial statements included in our Annual Report on Form 10-K for the year ended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to reflect our new segment presentation.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the opinion of management, the accompanying unaudited consolidated financial statements reflect all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adjustments, consisting only of normal and recurring adjustments, necessary for a fair statement of our financial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position, results of operations and cash flows for the periods presented. Certain previously reported amounts have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been reclassified to conform to the current presentation.</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Use of Estimates—</w:t>
      </w:r>
      <w:r>
        <w:rPr>
          <w:rFonts w:ascii="Times New Roman;serif" w:hAnsi="Times New Roman;serif"/>
          <w:b w:val="false"/>
          <w:i w:val="false"/>
          <w:caps w:val="false"/>
          <w:smallCaps w:val="false"/>
          <w:strike w:val="false"/>
          <w:dstrike w:val="false"/>
          <w:sz w:val="22"/>
          <w:u w:val="none"/>
          <w:effect w:val="none"/>
        </w:rPr>
        <w:t xml:space="preserve">The preparation of our consolidated financial statements in conformity with U.S. GAAP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requires management to make estimates, judgments and assumptions that affect the reported amounts of assets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liabilities, the disclosures of contingent assets and liabilities as of the date of the financial statements and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reported amounts of revenues and expenses during the periods presented. We base our estimates on historical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experience and on various other assumptions that are believed to be reasonable under the circumstances, the results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of which form the basis for making judgments about the carrying values of assets and liabilities that are not readily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apparent from other sources. Actual results may vary from these estimates under different assumptions or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conditions.</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Net Earnings per Common Share—</w:t>
      </w:r>
      <w:r>
        <w:rPr>
          <w:rFonts w:ascii="Times New Roman;serif" w:hAnsi="Times New Roman;serif"/>
          <w:b w:val="false"/>
          <w:i w:val="false"/>
          <w:caps w:val="false"/>
          <w:smallCaps w:val="false"/>
          <w:strike w:val="false"/>
          <w:dstrike w:val="false"/>
          <w:sz w:val="22"/>
          <w:u w:val="none"/>
          <w:effect w:val="none"/>
        </w:rPr>
        <w:t xml:space="preserve">Basic net earnings per share (“EPS”) is based upon net earnings available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common stockholders divided by the weighted average number of common shares outstanding during the period.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Weighted average shares for diluted EPS reflect the effect of the assumed exercise of stock options and warrants,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and vesting of RSUs or performance share units only in the periods in which such effect would have been dilutive.</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table below presents stock options, RSUs, and warrants excluded from the calculations of diluted EPS because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their inclusion would have been antidilutive. </w:t>
      </w:r>
    </w:p>
    <w:tbl>
      <w:tblPr>
        <w:tblW w:w="8789" w:type="dxa"/>
        <w:jc w:val="left"/>
        <w:tblInd w:w="0" w:type="dxa"/>
        <w:tblLayout w:type="fixed"/>
        <w:tblCellMar>
          <w:top w:w="28" w:type="dxa"/>
          <w:left w:w="28" w:type="dxa"/>
          <w:bottom w:w="28" w:type="dxa"/>
          <w:right w:w="28" w:type="dxa"/>
        </w:tblCellMar>
      </w:tblPr>
      <w:tblGrid>
        <w:gridCol w:w="2086"/>
        <w:gridCol w:w="222"/>
        <w:gridCol w:w="858"/>
        <w:gridCol w:w="224"/>
        <w:gridCol w:w="109"/>
        <w:gridCol w:w="1006"/>
        <w:gridCol w:w="251"/>
        <w:gridCol w:w="800"/>
        <w:gridCol w:w="253"/>
        <w:gridCol w:w="109"/>
        <w:gridCol w:w="222"/>
        <w:gridCol w:w="858"/>
        <w:gridCol w:w="224"/>
        <w:gridCol w:w="109"/>
        <w:gridCol w:w="109"/>
        <w:gridCol w:w="241"/>
        <w:gridCol w:w="767"/>
        <w:gridCol w:w="341"/>
      </w:tblGrid>
      <w:tr>
        <w:trPr/>
        <w:tc>
          <w:tcPr>
            <w:tcW w:w="208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08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r>
      <w:tr>
        <w:trPr/>
        <w:tc>
          <w:tcPr>
            <w:tcW w:w="2086"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208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208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 options and RSUs</w:t>
            </w:r>
          </w:p>
        </w:tc>
        <w:tc>
          <w:tcPr>
            <w:tcW w:w="2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2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w:t>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3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Warrants</w:t>
            </w:r>
          </w:p>
        </w:tc>
        <w:tc>
          <w:tcPr>
            <w:tcW w:w="22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8"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w:t>
            </w:r>
          </w:p>
        </w:tc>
        <w:tc>
          <w:tcPr>
            <w:tcW w:w="22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5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8"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w:t>
            </w:r>
          </w:p>
        </w:tc>
        <w:tc>
          <w:tcPr>
            <w:tcW w:w="22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1"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table below presents a reconciliation of weighted average shares used in the calculation of basic and diluted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EPS.</w:t>
      </w:r>
    </w:p>
    <w:tbl>
      <w:tblPr>
        <w:tblW w:w="8599" w:type="dxa"/>
        <w:jc w:val="left"/>
        <w:tblInd w:w="0" w:type="dxa"/>
        <w:tblLayout w:type="fixed"/>
        <w:tblCellMar>
          <w:top w:w="28" w:type="dxa"/>
          <w:left w:w="28" w:type="dxa"/>
          <w:bottom w:w="28" w:type="dxa"/>
          <w:right w:w="28" w:type="dxa"/>
        </w:tblCellMar>
      </w:tblPr>
      <w:tblGrid>
        <w:gridCol w:w="2791"/>
        <w:gridCol w:w="180"/>
        <w:gridCol w:w="944"/>
        <w:gridCol w:w="181"/>
        <w:gridCol w:w="109"/>
        <w:gridCol w:w="109"/>
        <w:gridCol w:w="221"/>
        <w:gridCol w:w="859"/>
        <w:gridCol w:w="224"/>
        <w:gridCol w:w="109"/>
        <w:gridCol w:w="180"/>
        <w:gridCol w:w="944"/>
        <w:gridCol w:w="181"/>
        <w:gridCol w:w="109"/>
        <w:gridCol w:w="109"/>
        <w:gridCol w:w="214"/>
        <w:gridCol w:w="830"/>
        <w:gridCol w:w="305"/>
      </w:tblGrid>
      <w:tr>
        <w:trPr/>
        <w:tc>
          <w:tcPr>
            <w:tcW w:w="279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79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r>
      <w:tr>
        <w:trPr/>
        <w:tc>
          <w:tcPr>
            <w:tcW w:w="279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27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279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Weighted average shares for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basic EPS</w:t>
            </w:r>
          </w:p>
        </w:tc>
        <w:tc>
          <w:tcPr>
            <w:tcW w:w="18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1,117</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675</w:t>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1,113</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673</w:t>
            </w:r>
          </w:p>
        </w:tc>
        <w:tc>
          <w:tcPr>
            <w:tcW w:w="3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Dilutive effect of shares issuable </w:t>
            </w:r>
          </w:p>
          <w:p>
            <w:pPr>
              <w:pStyle w:val="TableContents"/>
              <w:bidi w:val="0"/>
              <w:spacing w:lineRule="atLeast" w:line="200"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0"/>
              </w:rPr>
              <w:t xml:space="preserve">under stock-based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compensation plans</w:t>
            </w:r>
          </w:p>
        </w:tc>
        <w:tc>
          <w:tcPr>
            <w:tcW w:w="18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2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Weighted average shares for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diluted EPS</w:t>
            </w:r>
          </w:p>
        </w:tc>
        <w:tc>
          <w:tcPr>
            <w:tcW w:w="18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1,120</w:t>
            </w:r>
          </w:p>
        </w:tc>
        <w:tc>
          <w:tcPr>
            <w:tcW w:w="18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680</w:t>
            </w:r>
          </w:p>
        </w:tc>
        <w:tc>
          <w:tcPr>
            <w:tcW w:w="22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1,119</w:t>
            </w:r>
          </w:p>
        </w:tc>
        <w:tc>
          <w:tcPr>
            <w:tcW w:w="18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679</w:t>
            </w:r>
          </w:p>
        </w:tc>
        <w:tc>
          <w:tcPr>
            <w:tcW w:w="30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i w:val="false"/>
          <w:caps w:val="false"/>
          <w:smallCaps w:val="false"/>
          <w:strike w:val="false"/>
          <w:dstrike w:val="false"/>
          <w:sz w:val="22"/>
          <w:u w:val="none"/>
          <w:effect w:val="none"/>
        </w:rPr>
      </w:pPr>
      <w:r>
        <w:rPr>
          <w:rFonts w:ascii="Times New Roman;serif" w:hAnsi="Times New Roman;serif"/>
          <w:b/>
          <w:i w:val="false"/>
          <w:caps w:val="false"/>
          <w:smallCaps w:val="false"/>
          <w:strike w:val="false"/>
          <w:dstrike w:val="false"/>
          <w:sz w:val="22"/>
          <w:u w:val="none"/>
          <w:effect w:val="none"/>
        </w:rPr>
        <w:t>Accounting Pronouncements Not Yet Adopted</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Disaggregation of Income Statement Expenses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November 2024, the Financial Accounting Standards Board (“FASB”) issued guidance requiring disclosure 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notes to the financial statements of the disaggregation of relevant expense captions on the income statement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into specified expense categories, including employee compensation, as well as disclosure of total selling expenses.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guidance is effective for us for the year ending December 31, 2027, and for all interim and annual periods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thereafter, and may be applied either prospectively or retrospectively. </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Internal-use Software Costs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September 2025, the FASB issued updated guidance on the recognition and disclosure of internal-use software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costs. This guidance eliminates capitalization based on software development stages and requires that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capitalization of internal-use software development costs begin when (1) management has authorized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committed to funding the software project and (2) it is probable the project will be completed and the software will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be used to perform its intended function. The guidance is effective for us for the year ending December 31, 2028,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including interim periods within that year, and may be adopted prospectively, retrospectively, or using a modified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transition approach for projects in process. We are currently evaluating the impact of this guidance on our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consolidated financial statements.</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Times New Roman;serif" w:hAnsi="Times New Roman;serif"/>
          <w:b/>
          <w:i w:val="false"/>
          <w:caps w:val="false"/>
          <w:smallCaps w:val="false"/>
          <w:strike w:val="false"/>
          <w:dstrike w:val="false"/>
          <w:sz w:val="22"/>
          <w:u w:val="none"/>
          <w:effect w:val="none"/>
        </w:rPr>
        <w:t>2</w:t>
      </w:r>
      <w:r>
        <w:rPr>
          <w:rFonts w:ascii="Times New Roman;serif" w:hAnsi="Times New Roman;serif"/>
          <w:b/>
          <w:i w:val="false"/>
          <w:caps w:val="false"/>
          <w:smallCaps w:val="false"/>
          <w:sz w:val="22"/>
        </w:rPr>
        <w:t>)</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2"/>
          <w:u w:val="none"/>
          <w:effect w:val="none"/>
        </w:rPr>
        <w:t>PUSHDOWN OF ULTIMATE PARENT'S BASIS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NAI Transaction resulted in a change in control of our Predecessor, Paramount Global, that established a new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accounting basis, which reflects the estimated fair value of Paramount Global as indicated by the NAI Transaction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and the Skydance Transactions. The table below presents the calculation of the Ultimate Parent’s basis 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Paramount Global as of the date these transactions closed.</w:t>
      </w:r>
    </w:p>
    <w:tbl>
      <w:tblPr>
        <w:tblW w:w="8167" w:type="dxa"/>
        <w:jc w:val="left"/>
        <w:tblInd w:w="0" w:type="dxa"/>
        <w:tblLayout w:type="fixed"/>
        <w:tblCellMar>
          <w:top w:w="28" w:type="dxa"/>
          <w:left w:w="28" w:type="dxa"/>
          <w:bottom w:w="28" w:type="dxa"/>
          <w:right w:w="28" w:type="dxa"/>
        </w:tblCellMar>
      </w:tblPr>
      <w:tblGrid>
        <w:gridCol w:w="6931"/>
        <w:gridCol w:w="109"/>
        <w:gridCol w:w="781"/>
        <w:gridCol w:w="346"/>
      </w:tblGrid>
      <w:tr>
        <w:trPr/>
        <w:tc>
          <w:tcPr>
            <w:tcW w:w="6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6931" w:type="dxa"/>
            <w:tcBorders>
              <w:top w:val="single" w:sz="16"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Estimated value of NAI Transaction consideration attributable to Paramount Global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common stock</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16"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$2,124</w:t>
            </w:r>
          </w:p>
        </w:tc>
        <w:tc>
          <w:tcPr>
            <w:tcW w:w="346" w:type="dxa"/>
            <w:tcBorders>
              <w:top w:val="single" w:sz="16"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 xml:space="preserve">(a) </w:t>
            </w:r>
          </w:p>
        </w:tc>
      </w:tr>
      <w:tr>
        <w:trPr/>
        <w:tc>
          <w:tcPr>
            <w:tcW w:w="69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paid to stockholders (see Note 10)</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4,454</w:t>
            </w:r>
          </w:p>
        </w:tc>
        <w:tc>
          <w:tcPr>
            <w:tcW w:w="3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 xml:space="preserve">(b) </w:t>
            </w:r>
          </w:p>
        </w:tc>
      </w:tr>
      <w:tr>
        <w:trPr/>
        <w:tc>
          <w:tcPr>
            <w:tcW w:w="69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Proceeds from PIPE Transaction, net of subscription discount</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1,517</w:t>
            </w:r>
          </w:p>
        </w:tc>
        <w:tc>
          <w:tcPr>
            <w:tcW w:w="346" w:type="dxa"/>
            <w:tcBorders/>
            <w:vAlign w:val="center"/>
          </w:tcPr>
          <w:p>
            <w:pPr>
              <w:pStyle w:val="TableContents"/>
              <w:bidi w:val="0"/>
              <w:spacing w:before="0" w:after="283"/>
              <w:jc w:val="left"/>
              <w:rPr>
                <w:sz w:val="4"/>
                <w:szCs w:val="4"/>
              </w:rPr>
            </w:pPr>
            <w:r>
              <w:rPr>
                <w:sz w:val="4"/>
                <w:szCs w:val="4"/>
              </w:rPr>
            </w:r>
          </w:p>
        </w:tc>
      </w:tr>
      <w:tr>
        <w:trPr/>
        <w:tc>
          <w:tcPr>
            <w:tcW w:w="69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Outstanding Paramount Global RSU Awards and Paramount Global PSU Awards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w:t>
            </w:r>
          </w:p>
        </w:tc>
        <w:tc>
          <w:tcPr>
            <w:tcW w:w="3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(c)</w:t>
            </w:r>
          </w:p>
        </w:tc>
      </w:tr>
      <w:tr>
        <w:trPr/>
        <w:tc>
          <w:tcPr>
            <w:tcW w:w="69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Remaining shares of Paramount Skydance Corporation Class B Common Stock</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3,520</w:t>
            </w:r>
          </w:p>
        </w:tc>
        <w:tc>
          <w:tcPr>
            <w:tcW w:w="34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(d)</w:t>
            </w:r>
          </w:p>
        </w:tc>
      </w:tr>
      <w:tr>
        <w:trPr/>
        <w:tc>
          <w:tcPr>
            <w:tcW w:w="693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Paramount Global basis at August 7, 2025</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$11,695</w:t>
            </w:r>
          </w:p>
        </w:tc>
        <w:tc>
          <w:tcPr>
            <w:tcW w:w="34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 </w:t>
      </w:r>
      <w:r>
        <w:rPr>
          <w:rFonts w:ascii="Times New Roman;serif" w:hAnsi="Times New Roman;serif"/>
          <w:b w:val="false"/>
          <w:i w:val="false"/>
          <w:caps w:val="false"/>
          <w:smallCaps w:val="false"/>
          <w:strike w:val="false"/>
          <w:dstrike w:val="false"/>
          <w:sz w:val="18"/>
          <w:u w:val="none"/>
          <w:effect w:val="none"/>
        </w:rPr>
        <w:t xml:space="preserve">In the NAI Transaction, the NAI Equity Investors purchased all of the outstanding equity interests of NAI. Based on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valuation analyses of NAI’s assets and liabilities, the estimated value attributable to the shares of Paramount Global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common stock held by NAI and its subsidiaries is $2.1 billion. This amount increased $107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from the preliminary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estimate included in our quarterly report on Form 10-Q for the third quarter of 2025, which resulted in an increase in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Paramount Global’s basis in this amount.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(b) </w:t>
      </w:r>
      <w:r>
        <w:rPr>
          <w:rFonts w:ascii="Times New Roman;serif" w:hAnsi="Times New Roman;serif"/>
          <w:b w:val="false"/>
          <w:i w:val="false"/>
          <w:caps w:val="false"/>
          <w:smallCaps w:val="false"/>
          <w:strike w:val="false"/>
          <w:dstrike w:val="false"/>
          <w:sz w:val="18"/>
          <w:u w:val="none"/>
          <w:effect w:val="none"/>
        </w:rPr>
        <w:t xml:space="preserve">Reflects cash paid to holders of Paramount Global Class A Common Stock and Paramount Global Class B Common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Stock who elected to receive the Class A Cash Consideration and Class B Cash Consideration of $23.00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per share and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$15.00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per share, respectively, in the Skydance Transactions. Such payout was funded by the $6.0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PIPE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Transaction.</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(c) Reflects the fair value of outstanding Paramount Global RSU Awards and Paramount Global PSU Awards attributable to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employees’ service prior to the Skydance Transactions and the NAI Transaction. The fair value is based on the closing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stock price of Paramount Global Class B Common Stock on August 6,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of $11.04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per share. The remaining fair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value of outstanding Paramount Global RSU Awards and Paramount Global PSU Awards, which were assumed by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Paramount Skydance Corporation and converted into awards of restricted stock units covering an equivalent number of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shares of Paramount Skydance Corporation Class B Common Stock are being expensed over their remaining vesting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periods.</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(d) Reflects 318.8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shares of Paramount Skydance Corporation Class B Common Stock owned by holders of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Paramount Global Class A and Paramount Global Class B Common Stock following the Skydance Transactions, other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than those held directly or indirectly by NAI or its affiliates, not converted into cash, valued at the closing stock price of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Paramount Global Class B Common Stock on August 6,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of $11.04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per share. Certain holders of Paramount Global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Class A Common Stock received the Class A Stock Consideration, which resulted in the conversion of 2.0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shares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of Paramount Global Class A Common Stock into approximately 3.1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shares of Paramount Skydance Corporation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Class B Common Stock, based on the exchange ratio of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share of Paramount Global Class A Common Stock to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1.5333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shares of Paramount Skydance Corporation Class B Common Stock.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table below details the preliminary estimated fair values of Paramount Global’s assets, liabilities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noncontrolling interests at the Ultimate Parent’s basis as of August 7, 2025, including measurement period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adjustments recorded subsequent to the third quarter of 2025. The impact on our statement of operations in 2026</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from the amounts that would have been recognized in the third quarter of 2025 had these measurement period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adjustments been recognized as of the acquisition date were not material. The fair values were determined based 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valuation techniques that use unobservable inputs (Level 3 in the fair value hierarchy). Significant judgments 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these valuations include long-term projections, discount rates, royalty rates, and decay rates. While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determination of the estimated fair values of Paramount Global’s assets, liabilities, and noncontrolling interests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was substantially complete as of June 30, 2026, if within one year of the August 7, 2025 closing date we become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aware of information that existed as of such closing date that affects these fair values, additional measurement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period adjustments may be required.</w:t>
      </w:r>
    </w:p>
    <w:tbl>
      <w:tblPr>
        <w:tblW w:w="8176" w:type="dxa"/>
        <w:jc w:val="left"/>
        <w:tblInd w:w="0" w:type="dxa"/>
        <w:tblLayout w:type="fixed"/>
        <w:tblCellMar>
          <w:top w:w="28" w:type="dxa"/>
          <w:left w:w="28" w:type="dxa"/>
          <w:bottom w:w="28" w:type="dxa"/>
          <w:right w:w="28" w:type="dxa"/>
        </w:tblCellMar>
      </w:tblPr>
      <w:tblGrid>
        <w:gridCol w:w="4096"/>
        <w:gridCol w:w="109"/>
        <w:gridCol w:w="1156"/>
        <w:gridCol w:w="109"/>
        <w:gridCol w:w="1306"/>
        <w:gridCol w:w="109"/>
        <w:gridCol w:w="1291"/>
      </w:tblGrid>
      <w:tr>
        <w:trPr/>
        <w:tc>
          <w:tcPr>
            <w:tcW w:w="4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409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5"/>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Allocation of Ultimate Parent’s Basis</w:t>
            </w:r>
          </w:p>
        </w:tc>
      </w:tr>
      <w:tr>
        <w:trPr/>
        <w:tc>
          <w:tcPr>
            <w:tcW w:w="40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Preliminary</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Measurement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Period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Adjustments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Preliminary,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Revised</w:t>
            </w:r>
          </w:p>
        </w:tc>
      </w:tr>
      <w:tr>
        <w:trPr/>
        <w:tc>
          <w:tcPr>
            <w:tcW w:w="40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$3,977</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$3,977</w:t>
            </w:r>
          </w:p>
        </w:tc>
      </w:tr>
      <w:tr>
        <w:trPr/>
        <w:tc>
          <w:tcPr>
            <w:tcW w:w="40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5,980</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5,961</w:t>
            </w:r>
          </w:p>
        </w:tc>
      </w:tr>
      <w:tr>
        <w:trPr/>
        <w:tc>
          <w:tcPr>
            <w:tcW w:w="40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Programming and other inventory, current</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1,970</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1,904</w:t>
            </w:r>
          </w:p>
        </w:tc>
      </w:tr>
      <w:tr>
        <w:trPr/>
        <w:tc>
          <w:tcPr>
            <w:tcW w:w="40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1,641</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1,641</w:t>
            </w:r>
          </w:p>
        </w:tc>
      </w:tr>
      <w:tr>
        <w:trPr/>
        <w:tc>
          <w:tcPr>
            <w:tcW w:w="409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Property and equipment, net </w:t>
            </w:r>
            <w:r>
              <w:rPr>
                <w:rFonts w:ascii="Times New Roman;serif" w:hAnsi="Times New Roman;serif"/>
                <w:b w:val="false"/>
                <w:i w:val="false"/>
                <w:caps w:val="false"/>
                <w:smallCaps w:val="false"/>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2,118</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2,116</w:t>
            </w:r>
          </w:p>
        </w:tc>
      </w:tr>
      <w:tr>
        <w:trPr/>
        <w:tc>
          <w:tcPr>
            <w:tcW w:w="409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Programming and other inventory, noncurrent </w:t>
            </w:r>
            <w:r>
              <w:rPr>
                <w:rFonts w:ascii="Times New Roman;serif" w:hAnsi="Times New Roman;serif"/>
                <w:b w:val="false"/>
                <w:i w:val="false"/>
                <w:caps w:val="false"/>
                <w:smallCaps w:val="false"/>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13,599</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(456)</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13,143</w:t>
            </w:r>
          </w:p>
        </w:tc>
      </w:tr>
      <w:tr>
        <w:trPr/>
        <w:tc>
          <w:tcPr>
            <w:tcW w:w="409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Goodwill </w:t>
            </w:r>
            <w:r>
              <w:rPr>
                <w:rFonts w:ascii="Times New Roman;serif" w:hAnsi="Times New Roman;serif"/>
                <w:b w:val="false"/>
                <w:i w:val="false"/>
                <w:caps w:val="false"/>
                <w:smallCaps w:val="false"/>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947</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863</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1,810</w:t>
            </w:r>
          </w:p>
        </w:tc>
      </w:tr>
      <w:tr>
        <w:trPr/>
        <w:tc>
          <w:tcPr>
            <w:tcW w:w="409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Intangible assets, net </w:t>
            </w:r>
            <w:r>
              <w:rPr>
                <w:rFonts w:ascii="Times New Roman;serif" w:hAnsi="Times New Roman;serif"/>
                <w:b w:val="false"/>
                <w:i w:val="false"/>
                <w:caps w:val="false"/>
                <w:smallCaps w:val="false"/>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6,748</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6,759</w:t>
            </w:r>
          </w:p>
        </w:tc>
      </w:tr>
      <w:tr>
        <w:trPr/>
        <w:tc>
          <w:tcPr>
            <w:tcW w:w="40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lease assets</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875</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914</w:t>
            </w:r>
          </w:p>
        </w:tc>
      </w:tr>
      <w:tr>
        <w:trPr/>
        <w:tc>
          <w:tcPr>
            <w:tcW w:w="40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income tax assets, net</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1,200</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1,248</w:t>
            </w:r>
          </w:p>
        </w:tc>
      </w:tr>
      <w:tr>
        <w:trPr/>
        <w:tc>
          <w:tcPr>
            <w:tcW w:w="40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noncurrent assets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2,470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2,484</w:t>
            </w:r>
          </w:p>
        </w:tc>
      </w:tr>
      <w:tr>
        <w:trPr/>
        <w:tc>
          <w:tcPr>
            <w:tcW w:w="409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assets</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$41,525</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$432</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$41,957</w:t>
            </w:r>
          </w:p>
        </w:tc>
      </w:tr>
      <w:tr>
        <w:trPr/>
        <w:tc>
          <w:tcPr>
            <w:tcW w:w="409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409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Long-term debt </w:t>
            </w:r>
            <w:r>
              <w:rPr>
                <w:rFonts w:ascii="Times New Roman;serif" w:hAnsi="Times New Roman;serif"/>
                <w:b w:val="false"/>
                <w:i w:val="false"/>
                <w:caps w:val="false"/>
                <w:smallCaps w:val="false"/>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$13,619</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$13,619</w:t>
            </w:r>
          </w:p>
        </w:tc>
      </w:tr>
      <w:tr>
        <w:trPr/>
        <w:tc>
          <w:tcPr>
            <w:tcW w:w="409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Pension and postretirement benefit obligations </w:t>
            </w:r>
            <w:r>
              <w:rPr>
                <w:rFonts w:ascii="Times New Roman;serif" w:hAnsi="Times New Roman;serif"/>
                <w:b w:val="false"/>
                <w:i w:val="false"/>
                <w:caps w:val="false"/>
                <w:smallCaps w:val="false"/>
                <w:sz w:val="13"/>
              </w:rPr>
              <w:t>(f)</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1,390</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1,390</w:t>
            </w:r>
          </w:p>
        </w:tc>
      </w:tr>
      <w:tr>
        <w:trPr/>
        <w:tc>
          <w:tcPr>
            <w:tcW w:w="40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income tax liabilities, net</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306</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(186)</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w:t>
            </w:r>
          </w:p>
        </w:tc>
      </w:tr>
      <w:tr>
        <w:trPr/>
        <w:tc>
          <w:tcPr>
            <w:tcW w:w="40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1,219</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1,216</w:t>
            </w:r>
          </w:p>
        </w:tc>
      </w:tr>
      <w:tr>
        <w:trPr/>
        <w:tc>
          <w:tcPr>
            <w:tcW w:w="409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Programming obligations </w:t>
            </w:r>
            <w:r>
              <w:rPr>
                <w:rFonts w:ascii="Times New Roman;serif" w:hAnsi="Times New Roman;serif"/>
                <w:b w:val="false"/>
                <w:i w:val="false"/>
                <w:caps w:val="false"/>
                <w:smallCaps w:val="false"/>
                <w:sz w:val="13"/>
              </w:rPr>
              <w:t>(g)</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2,017</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2,226</w:t>
            </w:r>
          </w:p>
        </w:tc>
      </w:tr>
      <w:tr>
        <w:trPr/>
        <w:tc>
          <w:tcPr>
            <w:tcW w:w="40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Other liabilities </w:t>
            </w:r>
            <w:r>
              <w:rPr>
                <w:rFonts w:ascii="Times New Roman;serif" w:hAnsi="Times New Roman;serif"/>
                <w:b w:val="false"/>
                <w:i w:val="false"/>
                <w:caps w:val="false"/>
                <w:smallCaps w:val="false"/>
                <w:sz w:val="13"/>
              </w:rPr>
              <w:t>(h)</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10,137</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378</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10,515</w:t>
            </w:r>
          </w:p>
        </w:tc>
      </w:tr>
      <w:tr>
        <w:trPr/>
        <w:tc>
          <w:tcPr>
            <w:tcW w:w="409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liabilities</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$28,688</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$398</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$29,086</w:t>
            </w:r>
          </w:p>
        </w:tc>
      </w:tr>
      <w:tr>
        <w:trPr/>
        <w:tc>
          <w:tcPr>
            <w:tcW w:w="409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Noncontrolling interests </w:t>
            </w:r>
            <w:r>
              <w:rPr>
                <w:rFonts w:ascii="Times New Roman;serif" w:hAnsi="Times New Roman;serif"/>
                <w:b w:val="false"/>
                <w:i w:val="false"/>
                <w:caps w:val="false"/>
                <w:smallCaps w:val="false"/>
                <w:sz w:val="13"/>
              </w:rPr>
              <w:t>(i)</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1,249</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1,176</w:t>
            </w:r>
          </w:p>
        </w:tc>
      </w:tr>
      <w:tr>
        <w:trPr/>
        <w:tc>
          <w:tcPr>
            <w:tcW w:w="40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Paramount Global basis at August 7, 2025</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$11,588</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$11,695</w:t>
            </w:r>
          </w:p>
        </w:tc>
      </w:tr>
    </w:tbl>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(a) The fair value was determined based on the market approach, which estimates the value based on transactions in the market for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comparable assets, or the cost approach, which estimates the value based on the amount required to replace the asset. The fair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value reflects an increase to the book value of $635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principally reflecting incremental fair value of Paramount Global’s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owned land and buildings.</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(b) The fair value was determined based on the income approach, including the multi-period excess earnings method, which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estimates the cash flows generated by the asset over its economic life using a discounted cash flow analysis. For certain content,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fair value was determined to be equivalent to net book value. The fair value reflects a net decrease to the book value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programming assets of $653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principally from reductions for programming at our </w:t>
      </w:r>
      <w:r>
        <w:rPr>
          <w:rFonts w:ascii="Times New Roman;serif" w:hAnsi="Times New Roman;serif"/>
          <w:b w:val="false"/>
          <w:i/>
          <w:strike w:val="false"/>
          <w:dstrike w:val="false"/>
          <w:sz w:val="18"/>
          <w:u w:val="none"/>
          <w:effect w:val="none"/>
        </w:rPr>
        <w:t>TV Media</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and </w:t>
      </w:r>
      <w:r>
        <w:rPr>
          <w:rFonts w:ascii="Times New Roman;serif" w:hAnsi="Times New Roman;serif"/>
          <w:b w:val="false"/>
          <w:i/>
          <w:strike w:val="false"/>
          <w:dstrike w:val="false"/>
          <w:sz w:val="18"/>
          <w:u w:val="none"/>
          <w:effect w:val="none"/>
        </w:rPr>
        <w:t>Direct-to-Consumer</w:t>
      </w:r>
      <w:r>
        <w:rPr>
          <w:caps w:val="false"/>
          <w:smallCaps w:val="false"/>
          <w:strike w:val="false"/>
          <w:dstrike w:val="false"/>
          <w:sz w:val="24"/>
          <w:u w:val="none"/>
          <w:effect w:val="none"/>
        </w:rPr>
        <w:t xml:space="preserve">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segments offset by an increase to the fair value of our film and television libraries.</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 xml:space="preserve">(c) Goodwill relates principally to the </w:t>
      </w:r>
      <w:r>
        <w:rPr>
          <w:rFonts w:ascii="Times New Roman;serif" w:hAnsi="Times New Roman;serif"/>
          <w:b w:val="false"/>
          <w:i/>
          <w:strike w:val="false"/>
          <w:dstrike w:val="false"/>
          <w:sz w:val="18"/>
          <w:u w:val="none"/>
          <w:effect w:val="none"/>
        </w:rPr>
        <w:t xml:space="preserve">Direct-to-Consumer </w:t>
      </w:r>
      <w:r>
        <w:rPr>
          <w:rFonts w:ascii="Times New Roman;serif" w:hAnsi="Times New Roman;serif"/>
          <w:b w:val="false"/>
          <w:i w:val="false"/>
          <w:caps w:val="false"/>
          <w:smallCaps w:val="false"/>
          <w:strike w:val="false"/>
          <w:dstrike w:val="false"/>
          <w:sz w:val="18"/>
          <w:u w:val="none"/>
          <w:effect w:val="none"/>
        </w:rPr>
        <w:t xml:space="preserve">segment and represents the difference between Paramount Global’s basis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and the fair value of its net assets based on the preliminary fair value estimates assumed herein. Goodwill reflects operating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synergies between our businesses, as well as anticipated cost savings and is not deductible for tax purposes. During the first and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second quarters of 2026, in connection with the finalization of our appraisals and other valuation analyses, we recorded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measurement period adjustments that resulted in increases to goodwill of $22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and $411 million, respectively. These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adjustments principally resulted from increases during the year-to-date period of $257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to programming obligations and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$196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to contingent liabilities, and a decrease of $91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to programming assets, partially offset by the related deferred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tax impact of $140 million.</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(d) The table below presents our intangible assets by asset class, as well as the valuation method used to determine the estimated fair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values, and the related estimated weighted average useful lives. The weighted average useful life of the total intangibles below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is 16.6 years.</w:t>
      </w:r>
    </w:p>
    <w:tbl>
      <w:tblPr>
        <w:tblW w:w="7745" w:type="dxa"/>
        <w:jc w:val="left"/>
        <w:tblInd w:w="0" w:type="dxa"/>
        <w:tblLayout w:type="fixed"/>
        <w:tblCellMar>
          <w:top w:w="28" w:type="dxa"/>
          <w:left w:w="28" w:type="dxa"/>
          <w:bottom w:w="28" w:type="dxa"/>
          <w:right w:w="28" w:type="dxa"/>
        </w:tblCellMar>
      </w:tblPr>
      <w:tblGrid>
        <w:gridCol w:w="2716"/>
        <w:gridCol w:w="109"/>
        <w:gridCol w:w="676"/>
        <w:gridCol w:w="109"/>
        <w:gridCol w:w="2161"/>
        <w:gridCol w:w="109"/>
        <w:gridCol w:w="1711"/>
        <w:gridCol w:w="154"/>
      </w:tblGrid>
      <w:tr>
        <w:trPr/>
        <w:tc>
          <w:tcPr>
            <w:tcW w:w="2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Values</w:t>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Valuation Method</w:t>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Estimated weighted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average straight-line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amortization period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FCC and other broadcasting licenses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$2,558</w:t>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Greenfield discounted cash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flow method</w:t>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30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$1,521</w:t>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Relief from Royalty</w:t>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17.3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Affiliate relationships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$1,005</w:t>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Multi-period excess earnings</w:t>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2.6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Subscriber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$1,080</w:t>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Replacement cost</w:t>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2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Franchises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$337</w:t>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Discounted cash flow</w:t>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10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Developed technology</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$258</w:t>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Replacement cost</w:t>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3 years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(e) The fair value was determined based on quoted prices in active markets.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(f) The fair value was determined based on a remeasurement of the obligation using actuarial assumptions. Key valuation inputs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included discount rates and mortality assumptions.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 xml:space="preserve">(g)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18"/>
          <w:u w:val="none"/>
          <w:effect w:val="none"/>
        </w:rPr>
        <w:t>Programming Obligations” include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$777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recorded to establish liabilities for unfavorable contractual arrangements.</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(h) The estimated fair value of Paramount Global’s contingent liabilities as of August 7, 2025 was $1.6 billion, which relates to the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defense and settlement of lawsuits claiming various personal injuries related to exposure to asbestos as well as claims from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federal and state environmental regulatory agencies and other entities asserting liability for environmental cleanup costs and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related damages (see</w:t>
      </w:r>
      <w:r>
        <w:rPr>
          <w:strike w:val="false"/>
          <w:dstrike w:val="false"/>
          <w:sz w:val="24"/>
          <w:u w:val="none"/>
          <w:effect w:val="none"/>
        </w:rPr>
        <w:t xml:space="preserve"> </w:t>
      </w:r>
      <w:r>
        <w:rPr>
          <w:rFonts w:ascii="Times New Roman;serif" w:hAnsi="Times New Roman;serif"/>
          <w:b w:val="false"/>
          <w:i/>
          <w:strike w:val="false"/>
          <w:dstrike w:val="false"/>
          <w:sz w:val="18"/>
          <w:u w:val="none"/>
          <w:effect w:val="none"/>
        </w:rPr>
        <w:t>Claims Related to Former Businesses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in Note 14) and other legal contingencies.</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(i) The fair value was determined based on a discounted cash flow analysis.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Times New Roman;serif" w:hAnsi="Times New Roman;serif"/>
          <w:b/>
          <w:i w:val="false"/>
          <w:caps w:val="false"/>
          <w:smallCaps w:val="false"/>
          <w:strike w:val="false"/>
          <w:dstrike w:val="false"/>
          <w:sz w:val="22"/>
          <w:u w:val="none"/>
          <w:effect w:val="none"/>
        </w:rPr>
        <w:t>3) PROGRAMMING AND OTHER INVENTORY</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The following table presents our programming and other inventory at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December 31, 2025,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grouped by type and predominant monetization strategy. </w:t>
      </w:r>
    </w:p>
    <w:tbl>
      <w:tblPr>
        <w:tblW w:w="7819" w:type="dxa"/>
        <w:jc w:val="left"/>
        <w:tblInd w:w="0" w:type="dxa"/>
        <w:tblLayout w:type="fixed"/>
        <w:tblCellMar>
          <w:top w:w="28" w:type="dxa"/>
          <w:left w:w="28" w:type="dxa"/>
          <w:bottom w:w="28" w:type="dxa"/>
          <w:right w:w="28" w:type="dxa"/>
        </w:tblCellMar>
      </w:tblPr>
      <w:tblGrid>
        <w:gridCol w:w="4666"/>
        <w:gridCol w:w="139"/>
        <w:gridCol w:w="997"/>
        <w:gridCol w:w="139"/>
        <w:gridCol w:w="109"/>
        <w:gridCol w:w="184"/>
        <w:gridCol w:w="1324"/>
        <w:gridCol w:w="261"/>
      </w:tblGrid>
      <w:tr>
        <w:trPr/>
        <w:tc>
          <w:tcPr>
            <w:tcW w:w="466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466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top w:val="single" w:sz="16"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At</w:t>
            </w:r>
          </w:p>
        </w:tc>
        <w:tc>
          <w:tcPr>
            <w:tcW w:w="13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tcBorders>
              <w:top w:val="single" w:sz="16"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At</w:t>
            </w:r>
          </w:p>
        </w:tc>
        <w:tc>
          <w:tcPr>
            <w:tcW w:w="26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 2026</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December 31, 2025</w:t>
            </w:r>
          </w:p>
        </w:tc>
      </w:tr>
      <w:tr>
        <w:trPr/>
        <w:tc>
          <w:tcPr>
            <w:tcW w:w="46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Film Group Monetization:</w:t>
            </w:r>
          </w:p>
        </w:tc>
        <w:tc>
          <w:tcPr>
            <w:tcW w:w="1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Licensed program rights, including prepaid sports rights</w:t>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$3,123</w:t>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$2,877</w:t>
            </w:r>
          </w:p>
        </w:tc>
        <w:tc>
          <w:tcPr>
            <w:tcW w:w="261" w:type="dxa"/>
            <w:tcBorders/>
            <w:vAlign w:val="center"/>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Produced television and film programming:</w:t>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Released</w:t>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9,112</w:t>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9,107</w:t>
            </w:r>
          </w:p>
        </w:tc>
        <w:tc>
          <w:tcPr>
            <w:tcW w:w="261" w:type="dxa"/>
            <w:tcBorders/>
            <w:vAlign w:val="center"/>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 process and other</w:t>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2,273</w:t>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1,935</w:t>
            </w:r>
          </w:p>
        </w:tc>
        <w:tc>
          <w:tcPr>
            <w:tcW w:w="261" w:type="dxa"/>
            <w:tcBorders/>
            <w:vAlign w:val="center"/>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Individual Monetization:</w:t>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Produced television and film programming:</w:t>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Released</w:t>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853</w:t>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1,005</w:t>
            </w:r>
          </w:p>
        </w:tc>
        <w:tc>
          <w:tcPr>
            <w:tcW w:w="261" w:type="dxa"/>
            <w:tcBorders/>
            <w:vAlign w:val="center"/>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Completed, not yet released</w:t>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w:t>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w:t>
            </w:r>
          </w:p>
        </w:tc>
        <w:tc>
          <w:tcPr>
            <w:tcW w:w="261" w:type="dxa"/>
            <w:tcBorders/>
            <w:vAlign w:val="center"/>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 xml:space="preserve">In process and other </w:t>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1,804</w:t>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1,526</w:t>
            </w:r>
          </w:p>
        </w:tc>
        <w:tc>
          <w:tcPr>
            <w:tcW w:w="261" w:type="dxa"/>
            <w:tcBorders/>
            <w:vAlign w:val="center"/>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Home entertainment</w:t>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261" w:type="dxa"/>
            <w:tcBorders/>
            <w:vAlign w:val="center"/>
          </w:tcPr>
          <w:p>
            <w:pPr>
              <w:pStyle w:val="TableContents"/>
              <w:bidi w:val="0"/>
              <w:spacing w:before="0" w:after="283"/>
              <w:jc w:val="left"/>
              <w:rPr>
                <w:sz w:val="4"/>
                <w:szCs w:val="4"/>
              </w:rPr>
            </w:pPr>
            <w:r>
              <w:rPr>
                <w:sz w:val="4"/>
                <w:szCs w:val="4"/>
              </w:rPr>
            </w:r>
          </w:p>
        </w:tc>
      </w:tr>
      <w:tr>
        <w:trPr/>
        <w:tc>
          <w:tcPr>
            <w:tcW w:w="46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Game development</w:t>
            </w:r>
          </w:p>
        </w:tc>
        <w:tc>
          <w:tcPr>
            <w:tcW w:w="1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programming and other inventory</w:t>
            </w:r>
          </w:p>
        </w:tc>
        <w:tc>
          <w:tcPr>
            <w:tcW w:w="1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17,296</w:t>
            </w:r>
          </w:p>
        </w:tc>
        <w:tc>
          <w:tcPr>
            <w:tcW w:w="1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16,489</w:t>
            </w:r>
          </w:p>
        </w:tc>
        <w:tc>
          <w:tcPr>
            <w:tcW w:w="2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Less current portion</w:t>
            </w:r>
          </w:p>
        </w:tc>
        <w:tc>
          <w:tcPr>
            <w:tcW w:w="1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1,655</w:t>
            </w:r>
          </w:p>
        </w:tc>
        <w:tc>
          <w:tcPr>
            <w:tcW w:w="1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1,461</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noncurrent programming and other inventory</w:t>
            </w:r>
          </w:p>
        </w:tc>
        <w:tc>
          <w:tcPr>
            <w:tcW w:w="13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7"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$15,641</w:t>
            </w:r>
          </w:p>
        </w:tc>
        <w:tc>
          <w:tcPr>
            <w:tcW w:w="13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$15,028</w:t>
            </w:r>
          </w:p>
        </w:tc>
        <w:tc>
          <w:tcPr>
            <w:tcW w:w="26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following table presents amortization of our television and film programming and production costs, which is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included within “Operating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on the Consolidated Statements of Operations.</w:t>
      </w:r>
    </w:p>
    <w:tbl>
      <w:tblPr>
        <w:tblW w:w="9169" w:type="dxa"/>
        <w:jc w:val="left"/>
        <w:tblInd w:w="0" w:type="dxa"/>
        <w:tblLayout w:type="fixed"/>
        <w:tblCellMar>
          <w:top w:w="28" w:type="dxa"/>
          <w:left w:w="28" w:type="dxa"/>
          <w:bottom w:w="28" w:type="dxa"/>
          <w:right w:w="28" w:type="dxa"/>
        </w:tblCellMar>
      </w:tblPr>
      <w:tblGrid>
        <w:gridCol w:w="3361"/>
        <w:gridCol w:w="159"/>
        <w:gridCol w:w="987"/>
        <w:gridCol w:w="159"/>
        <w:gridCol w:w="109"/>
        <w:gridCol w:w="109"/>
        <w:gridCol w:w="158"/>
        <w:gridCol w:w="986"/>
        <w:gridCol w:w="160"/>
        <w:gridCol w:w="109"/>
        <w:gridCol w:w="159"/>
        <w:gridCol w:w="987"/>
        <w:gridCol w:w="159"/>
        <w:gridCol w:w="109"/>
        <w:gridCol w:w="109"/>
        <w:gridCol w:w="156"/>
        <w:gridCol w:w="971"/>
        <w:gridCol w:w="222"/>
      </w:tblGrid>
      <w:tr>
        <w:trPr/>
        <w:tc>
          <w:tcPr>
            <w:tcW w:w="33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r>
      <w:tr>
        <w:trPr/>
        <w:tc>
          <w:tcPr>
            <w:tcW w:w="336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33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336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Licensed program rights</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$1,000</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$1,117</w:t>
            </w:r>
          </w:p>
        </w:tc>
        <w:tc>
          <w:tcPr>
            <w:tcW w:w="1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$2,681</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$2,628</w:t>
            </w:r>
          </w:p>
        </w:tc>
        <w:tc>
          <w:tcPr>
            <w:tcW w:w="2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Produced television and film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programming, and acquired libraries:</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Individual monetization</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$405</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$316</w:t>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$805</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$685</w:t>
            </w:r>
          </w:p>
        </w:tc>
        <w:tc>
          <w:tcPr>
            <w:tcW w:w="222"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Film group monetization</w:t>
            </w:r>
          </w:p>
        </w:tc>
        <w:tc>
          <w:tcPr>
            <w:tcW w:w="15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$1,171</w:t>
            </w:r>
          </w:p>
        </w:tc>
        <w:tc>
          <w:tcPr>
            <w:tcW w:w="15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$1,371</w:t>
            </w:r>
          </w:p>
        </w:tc>
        <w:tc>
          <w:tcPr>
            <w:tcW w:w="16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$2,208</w:t>
            </w:r>
          </w:p>
        </w:tc>
        <w:tc>
          <w:tcPr>
            <w:tcW w:w="15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$2,670</w:t>
            </w:r>
          </w:p>
        </w:tc>
        <w:tc>
          <w:tcPr>
            <w:tcW w:w="22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Times New Roman;serif" w:hAnsi="Times New Roman;serif"/>
          <w:b/>
          <w:i w:val="false"/>
          <w:caps w:val="false"/>
          <w:smallCaps w:val="false"/>
          <w:strike w:val="false"/>
          <w:dstrike w:val="false"/>
          <w:sz w:val="22"/>
          <w:u w:val="none"/>
          <w:effect w:val="none"/>
        </w:rPr>
        <w:t>4) RESTRUCTURING AND TRANSACTION-RELATED ITEMS</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During 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three and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June 30, 2026 and 2025, we recorded the following within “Restructuring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and transaction-related items” on the Consolidated Statements of Operations.</w:t>
      </w:r>
    </w:p>
    <w:tbl>
      <w:tblPr>
        <w:tblW w:w="10205" w:type="dxa"/>
        <w:jc w:val="left"/>
        <w:tblInd w:w="0" w:type="dxa"/>
        <w:tblLayout w:type="fixed"/>
        <w:tblCellMar>
          <w:top w:w="28" w:type="dxa"/>
          <w:left w:w="28" w:type="dxa"/>
          <w:bottom w:w="28" w:type="dxa"/>
          <w:right w:w="28" w:type="dxa"/>
        </w:tblCellMar>
      </w:tblPr>
      <w:tblGrid>
        <w:gridCol w:w="3554"/>
        <w:gridCol w:w="187"/>
        <w:gridCol w:w="912"/>
        <w:gridCol w:w="189"/>
        <w:gridCol w:w="109"/>
        <w:gridCol w:w="109"/>
        <w:gridCol w:w="188"/>
        <w:gridCol w:w="916"/>
        <w:gridCol w:w="190"/>
        <w:gridCol w:w="109"/>
        <w:gridCol w:w="187"/>
        <w:gridCol w:w="912"/>
        <w:gridCol w:w="189"/>
        <w:gridCol w:w="109"/>
        <w:gridCol w:w="1006"/>
        <w:gridCol w:w="183"/>
        <w:gridCol w:w="888"/>
        <w:gridCol w:w="268"/>
      </w:tblGrid>
      <w:tr>
        <w:trPr/>
        <w:tc>
          <w:tcPr>
            <w:tcW w:w="355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55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39"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tcBorders/>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35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355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Severance</w:t>
            </w:r>
            <w:r>
              <w:rPr>
                <w:caps w:val="false"/>
                <w:smallCaps w:val="false"/>
              </w:rPr>
              <w:t xml:space="preserve"> </w:t>
            </w:r>
            <w:r>
              <w:rPr>
                <w:rFonts w:ascii="Times New Roman;serif" w:hAnsi="Times New Roman;serif"/>
                <w:b w:val="false"/>
                <w:i w:val="false"/>
                <w:caps w:val="false"/>
                <w:smallCaps w:val="false"/>
                <w:sz w:val="13"/>
              </w:rPr>
              <w:t>(a)</w:t>
            </w:r>
          </w:p>
        </w:tc>
        <w:tc>
          <w:tcPr>
            <w:tcW w:w="1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8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8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w:t>
            </w:r>
          </w:p>
        </w:tc>
        <w:tc>
          <w:tcPr>
            <w:tcW w:w="2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Exit costs</w:t>
            </w:r>
          </w:p>
        </w:tc>
        <w:tc>
          <w:tcPr>
            <w:tcW w:w="1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w:t>
            </w:r>
          </w:p>
        </w:tc>
        <w:tc>
          <w:tcPr>
            <w:tcW w:w="26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Restructuring charges </w:t>
            </w:r>
          </w:p>
        </w:tc>
        <w:tc>
          <w:tcPr>
            <w:tcW w:w="1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8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8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242</w:t>
            </w:r>
          </w:p>
        </w:tc>
        <w:tc>
          <w:tcPr>
            <w:tcW w:w="2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Transaction-related items</w:t>
            </w:r>
          </w:p>
        </w:tc>
        <w:tc>
          <w:tcPr>
            <w:tcW w:w="1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26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Restructuring and transaction-related items</w:t>
            </w:r>
          </w:p>
        </w:tc>
        <w:tc>
          <w:tcPr>
            <w:tcW w:w="18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$188</w:t>
            </w:r>
          </w:p>
        </w:tc>
        <w:tc>
          <w:tcPr>
            <w:tcW w:w="18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$181</w:t>
            </w:r>
          </w:p>
        </w:tc>
        <w:tc>
          <w:tcPr>
            <w:tcW w:w="19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$291</w:t>
            </w:r>
          </w:p>
        </w:tc>
        <w:tc>
          <w:tcPr>
            <w:tcW w:w="18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$266</w:t>
            </w:r>
          </w:p>
        </w:tc>
        <w:tc>
          <w:tcPr>
            <w:tcW w:w="26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(a) Severance costs include the accelerated vesting of stock-based compensation.</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Restructuring Charges</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During the second quarter of 2026, we recorded restructuring severance costs of $35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associated with</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changes in management and aligning the business around our strategic priorities following the Skydance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Transactions, including costs related to a plan under which severance payments are being provided to certain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eligible employees who voluntarily elected to participate.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Restructuring charges for the three and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included severance costs of $177 million</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associated with strategic changes in our global workforce in order to streamline our organization. In addition,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during the six months ended June 30, 2025, we recorded exit costs of $65 million, primarily for the impairment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lease assets that we ceased use of in connection with initiatives to reduce our real estate footprint. The impairments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were primarily the result of a decline in market conditions since the inception of these leases and reflect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difference between the estimated fair values, which were determined based on the expected future cash flows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lease assets, and the carrying values.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following is a rollforward of our restructuring severance liability, which is recorded in “Other current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liabilities” and “Other liabilities” on the Consolidated Balance Sheets, and is expected to be substantially paid by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the end of 2027.</w:t>
      </w:r>
    </w:p>
    <w:tbl>
      <w:tblPr>
        <w:tblW w:w="7093" w:type="dxa"/>
        <w:jc w:val="left"/>
        <w:tblInd w:w="0" w:type="dxa"/>
        <w:tblLayout w:type="fixed"/>
        <w:tblCellMar>
          <w:top w:w="28" w:type="dxa"/>
          <w:left w:w="28" w:type="dxa"/>
          <w:bottom w:w="28" w:type="dxa"/>
          <w:right w:w="28" w:type="dxa"/>
        </w:tblCellMar>
      </w:tblPr>
      <w:tblGrid>
        <w:gridCol w:w="1726"/>
        <w:gridCol w:w="251"/>
        <w:gridCol w:w="1219"/>
        <w:gridCol w:w="254"/>
        <w:gridCol w:w="109"/>
        <w:gridCol w:w="1021"/>
        <w:gridCol w:w="109"/>
        <w:gridCol w:w="132"/>
        <w:gridCol w:w="710"/>
        <w:gridCol w:w="133"/>
        <w:gridCol w:w="109"/>
        <w:gridCol w:w="182"/>
        <w:gridCol w:w="879"/>
        <w:gridCol w:w="259"/>
      </w:tblGrid>
      <w:tr>
        <w:trPr/>
        <w:tc>
          <w:tcPr>
            <w:tcW w:w="17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7" w:type="dxa"/>
            <w:gridSpan w:val="1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r>
      <w:tr>
        <w:trPr/>
        <w:tc>
          <w:tcPr>
            <w:tcW w:w="1726"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i w:val="false"/>
                <w:caps w:val="false"/>
                <w:smallCaps w:val="false"/>
                <w:sz w:val="20"/>
              </w:rPr>
              <w:t>Activity</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Balance at </w:t>
            </w:r>
          </w:p>
          <w:p>
            <w:pPr>
              <w:pStyle w:val="TableContents"/>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December 31, 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rPr>
              <w:t xml:space="preserve">Charges </w:t>
            </w:r>
            <w:r>
              <w:rPr>
                <w:rFonts w:ascii="Times New Roman;serif" w:hAnsi="Times New Roman;serif"/>
                <w:b/>
                <w:i w:val="false"/>
                <w:caps w:val="false"/>
                <w:smallCaps w:val="false"/>
                <w:sz w:val="13"/>
              </w:rPr>
              <w:t>(a)</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Payments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and other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Balance at </w:t>
            </w:r>
          </w:p>
          <w:p>
            <w:pPr>
              <w:pStyle w:val="TableContents"/>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June 30, 2026</w:t>
            </w:r>
          </w:p>
        </w:tc>
      </w:tr>
      <w:tr>
        <w:trPr/>
        <w:tc>
          <w:tcPr>
            <w:tcW w:w="172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Studios</w:t>
            </w:r>
          </w:p>
        </w:tc>
        <w:tc>
          <w:tcPr>
            <w:tcW w:w="2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w:t>
            </w:r>
          </w:p>
        </w:tc>
        <w:tc>
          <w:tcPr>
            <w:tcW w:w="2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c>
          <w:tcPr>
            <w:tcW w:w="13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w:t>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Direct-to-Consumer</w:t>
            </w:r>
          </w:p>
        </w:tc>
        <w:tc>
          <w:tcPr>
            <w:tcW w:w="25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w:t>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w:t>
            </w:r>
          </w:p>
        </w:tc>
        <w:tc>
          <w:tcPr>
            <w:tcW w:w="259" w:type="dxa"/>
            <w:tcBorders/>
            <w:vAlign w:val="center"/>
          </w:tcPr>
          <w:p>
            <w:pPr>
              <w:pStyle w:val="TableContents"/>
              <w:bidi w:val="0"/>
              <w:spacing w:before="0" w:after="283"/>
              <w:jc w:val="left"/>
              <w:rPr>
                <w:sz w:val="4"/>
                <w:szCs w:val="4"/>
              </w:rPr>
            </w:pPr>
            <w:r>
              <w:rPr>
                <w:sz w:val="4"/>
                <w:szCs w:val="4"/>
              </w:rPr>
            </w:r>
          </w:p>
        </w:tc>
      </w:tr>
      <w:tr>
        <w:trPr/>
        <w:tc>
          <w:tcPr>
            <w:tcW w:w="172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TV Media</w:t>
            </w:r>
          </w:p>
        </w:tc>
        <w:tc>
          <w:tcPr>
            <w:tcW w:w="25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384</w:t>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(168)</w:t>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231</w:t>
            </w:r>
          </w:p>
        </w:tc>
        <w:tc>
          <w:tcPr>
            <w:tcW w:w="259"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Corporate</w:t>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3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w:t>
            </w:r>
          </w:p>
        </w:tc>
        <w:tc>
          <w:tcPr>
            <w:tcW w:w="25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$705</w:t>
            </w:r>
          </w:p>
        </w:tc>
        <w:tc>
          <w:tcPr>
            <w:tcW w:w="25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$(261)</w:t>
            </w:r>
          </w:p>
        </w:tc>
        <w:tc>
          <w:tcPr>
            <w:tcW w:w="13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$470</w:t>
            </w:r>
          </w:p>
        </w:tc>
        <w:tc>
          <w:tcPr>
            <w:tcW w:w="25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(a) Excludes stock-based compensation expense of $9 million.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Transaction-Related Items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Transaction-related items include costs directly associated with prospective and completed mergers and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acquisitions, as well as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related integration activities. During the three and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June 30, 2026, we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recorded transaction-related costs of $153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$256 million, respectively, principally for legal, advisory,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and other professional fees associated with the planned WBD Merger and related integration. During the three and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June 30, 2025, we recorded legal, advisory, and other professional fees relating to the Skydance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Transactions of $4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and $24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Times New Roman;serif" w:hAnsi="Times New Roman;serif"/>
          <w:b/>
          <w:i w:val="false"/>
          <w:caps w:val="false"/>
          <w:smallCaps w:val="false"/>
          <w:strike w:val="false"/>
          <w:dstrike w:val="false"/>
          <w:sz w:val="22"/>
          <w:u w:val="none"/>
          <w:effect w:val="none"/>
        </w:rPr>
        <w:t>5) RELATED PARTIES</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The Ellison Family (Successor)</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At June 30, 2026, the Ellison Family, the controlling stockholder of Paramount, indirectly held approximately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77.5%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of our voting Class A Common Stock through their collective approximate 77.5%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ownership interest in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Harbor Lights Entertainment, Inc. (f/k/a National Amusements, Inc.) and 47.2%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of our Class A and non-voting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Class B Common Stock on a combined basis. In addition, in connection with the PIPE Transaction, the NAI Equity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Investors (including entities controlled by the Ellison Family) received warrants to purchase a total of 200 million</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shares of Paramount Skydance Corporation Class B Common Stock (of which entities controlled by the Ellison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Family received warrants to purchase a total of 155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shares) at an initial exercise price of $30.50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share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(subject to customary anti-dilution adjustments), which expire five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after issuance. The Ellison Family is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comprised of Lawrence J. Ellison and David Ellison. David Ellison is the son of Lawrence J. Ellison,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Lawrence J. Ellison and David Ellison are accordingly considered immediate family members. David Ellison is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CEO of Paramount and the Chairman of our Board of Directors.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Lawrence J. Ellison is the Chairman and a significant stockholder of Oracle Corporation (“Oracle”). We have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several multi-year software as a service agreements with Oracle, principally for finance and human resources, as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well as software support agreements and database licenses used by various applications. During the three and six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June 30, 2026, we made payments to Oracle totaling $44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$46 million, respectively. In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February 2026, we executed a six-year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cloud infrastructure services agreement with Oracle with a total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commitment of $300 million, under which payments escalate over the term, in connection with our anticipated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enterprise, data, and streaming workloads.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addition, we have a lease agreement with a term that expires in 2034 under which the lessor is an entity owned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and controlled by Lawrence J. Ellison. At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December 31, 2025, the total liability associated with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these leases was $166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and $174 million, respectively. During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the three and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June 30,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2026, we recorded lease costs associated with these leases totaling $10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$14 million, respectively.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Ellison Family has investments in other entities over which they have control or can exert significant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influence, which as a result, are related parties to us. We did not have any material transactions with these entities.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 xml:space="preserve">RedBird (Successor)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December 2025, RedBird BD LLC, an affiliate of RB Maverick LLC and RB Tentpole, was engaged as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financial advisor to the Company in connection with the evaluation of the WBD Merger. Pursuant to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agreement, RedBird BD LLC is entitled to receive an aggregate transaction fee of $80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upon closing,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comprised of $60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for mergers and acquisitions advisory services and $20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for capital raising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advisory services. If a termination fee is paid to us in connection with the WBD Merger, RedBird BD LLC is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entitled to receive 20%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of such fee (subject to a cap of 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of the aggregate fee that would have otherwise been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payable to RedBird BD LLC had the WBD Merger been consummated).</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In the second quarter of 2026, we entered into a three-year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agreement with RedBird Development Group LLC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(“RedBird Development”), an affiliate of RedBird, for media strategy and operations transformation services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related to branded media initiatives. Under the agreement, RedBird Development is compensated through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structured quarterly commission fees, subject to an annual cap of $12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year plus reimbursable travel and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business expenses of up to $300,000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annually.</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Warner Bros. Discovery Merger</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As further described in Note 1, in connection with the WBD Merger, the Ellison Parties and RedBird entered into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Subscription Agreements and the Equity Syndication. In addition, we are required to reimburse the Ellison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Trust and RedBird for reasonable and documented out-of-pocket expenses, each subject to a cap of $5 million. </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Other Related Parties</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the ordinary course of business, we are involved in transactions with our equity method investees, primarily for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licensing of television and film programming. We earned revenue from an equity method investee of $55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and $147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during the three and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(Successor), respectively, and $98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and $164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during the three and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(Predecessor), respectively.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Receivables from this equity method investee are included in “Receivables, net” and “Other assets” on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Consolidated Balance Sheets. These totaled $185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$90 million, respectively, at June 30, 2026, and $201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$87 million, respectively, at December 31, 2025.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Through the normal course of business, we are involved in other transactions with related parties, including other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equity method investees, that have not been material in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Times New Roman;serif" w:hAnsi="Times New Roman;serif"/>
          <w:b/>
          <w:i w:val="false"/>
          <w:caps w:val="false"/>
          <w:smallCaps w:val="false"/>
          <w:strike w:val="false"/>
          <w:dstrike w:val="false"/>
          <w:sz w:val="22"/>
          <w:u w:val="none"/>
          <w:effect w:val="none"/>
        </w:rPr>
        <w:t>6) REVENUES</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table below presents our revenues disaggregated into categories based on the nature of such revenues. See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Note 13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for revenues by segment disaggregated into these categories.  </w:t>
      </w:r>
    </w:p>
    <w:tbl>
      <w:tblPr>
        <w:tblW w:w="8897" w:type="dxa"/>
        <w:jc w:val="left"/>
        <w:tblInd w:w="0" w:type="dxa"/>
        <w:tblLayout w:type="fixed"/>
        <w:tblCellMar>
          <w:top w:w="28" w:type="dxa"/>
          <w:left w:w="28" w:type="dxa"/>
          <w:bottom w:w="28" w:type="dxa"/>
          <w:right w:w="28" w:type="dxa"/>
        </w:tblCellMar>
      </w:tblPr>
      <w:tblGrid>
        <w:gridCol w:w="2191"/>
        <w:gridCol w:w="159"/>
        <w:gridCol w:w="987"/>
        <w:gridCol w:w="159"/>
        <w:gridCol w:w="109"/>
        <w:gridCol w:w="109"/>
        <w:gridCol w:w="158"/>
        <w:gridCol w:w="986"/>
        <w:gridCol w:w="160"/>
        <w:gridCol w:w="109"/>
        <w:gridCol w:w="142"/>
        <w:gridCol w:w="1021"/>
        <w:gridCol w:w="142"/>
        <w:gridCol w:w="109"/>
        <w:gridCol w:w="1006"/>
        <w:gridCol w:w="141"/>
        <w:gridCol w:w="1010"/>
        <w:gridCol w:w="199"/>
      </w:tblGrid>
      <w:tr>
        <w:trPr/>
        <w:tc>
          <w:tcPr>
            <w:tcW w:w="21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9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50"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2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3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Revenues by Type:</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Advertising </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$1,959</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$2,152</w:t>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$4,401</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$4,665</w:t>
            </w:r>
          </w:p>
        </w:tc>
        <w:tc>
          <w:tcPr>
            <w:tcW w:w="199"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and subscription</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3,520</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3,445</w:t>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7,021</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6,842</w:t>
            </w:r>
          </w:p>
        </w:tc>
        <w:tc>
          <w:tcPr>
            <w:tcW w:w="199"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Theatrical</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254</w:t>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w:t>
            </w:r>
          </w:p>
        </w:tc>
        <w:tc>
          <w:tcPr>
            <w:tcW w:w="199"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1,296</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998</w:t>
            </w:r>
          </w:p>
        </w:tc>
        <w:tc>
          <w:tcPr>
            <w:tcW w:w="16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2,548</w:t>
            </w:r>
          </w:p>
        </w:tc>
        <w:tc>
          <w:tcPr>
            <w:tcW w:w="1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2,132</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Revenues</w:t>
            </w:r>
          </w:p>
        </w:tc>
        <w:tc>
          <w:tcPr>
            <w:tcW w:w="15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$6,913</w:t>
            </w:r>
          </w:p>
        </w:tc>
        <w:tc>
          <w:tcPr>
            <w:tcW w:w="15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$6,849</w:t>
            </w:r>
          </w:p>
        </w:tc>
        <w:tc>
          <w:tcPr>
            <w:tcW w:w="16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$14,260</w:t>
            </w:r>
          </w:p>
        </w:tc>
        <w:tc>
          <w:tcPr>
            <w:tcW w:w="14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$14,041</w:t>
            </w:r>
          </w:p>
        </w:tc>
        <w:tc>
          <w:tcPr>
            <w:tcW w:w="19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 xml:space="preserve">Receivables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Reserves for accounts receivable reflect our expected credit losses based on historical experience as well as current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and expected economic conditions and industry trends. At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December 31, 2025, our allowance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for credit losses was $16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$10 million, respectively.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Included in “Other assets” on the Consolidated Balance Sheets are noncurrent receivables of $782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w:t>
      </w:r>
    </w:p>
    <w:p>
      <w:pPr>
        <w:pStyle w:val="TextBody"/>
        <w:bidi w:val="0"/>
        <w:spacing w:lineRule="atLeast" w:line="240" w:before="0" w:after="0"/>
        <w:jc w:val="left"/>
        <w:rPr>
          <w:sz w:val="24"/>
        </w:rPr>
      </w:pPr>
      <w:r>
        <w:rPr>
          <w:rFonts w:ascii="Times New Roman;serif" w:hAnsi="Times New Roman;serif"/>
          <w:b w:val="false"/>
          <w:i w:val="false"/>
          <w:caps w:val="false"/>
          <w:smallCaps w:val="false"/>
          <w:strike w:val="false"/>
          <w:dstrike w:val="false"/>
          <w:sz w:val="22"/>
          <w:u w:val="none"/>
          <w:effect w:val="none"/>
        </w:rPr>
        <w:t>$835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4"/>
          <w:u w:val="none"/>
          <w:effect w:val="none"/>
        </w:rPr>
        <w:t xml:space="preserve">and </w:t>
      </w:r>
      <w:r>
        <w:rPr>
          <w:rFonts w:ascii="Times New Roman;serif" w:hAnsi="Times New Roman;serif"/>
          <w:b w:val="false"/>
          <w:i w:val="false"/>
          <w:caps w:val="false"/>
          <w:smallCaps w:val="false"/>
          <w:strike w:val="false"/>
          <w:dstrike w:val="false"/>
          <w:sz w:val="22"/>
          <w:u w:val="none"/>
          <w:effect w:val="none"/>
        </w:rPr>
        <w:t xml:space="preserve">December 31, 2025, respectively. Noncurrent receivables primarily relate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revenues recognized under long-term content licensing arrangements. Revenues from the licensing of content are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recognized at the beginning of the license period in which programs are made available to the licensee for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exhibition, while the related cash is generally collected over the term of the license period. </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Contract Liabilities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Contract liabilities are included within “Deferred revenues” and “Other liabilities” on the Consolidated Balance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Sheets and were $1.6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and $1.5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at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December 31, 2025, respectively. We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recognized revenues of $0.9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and $0.6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for the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(Successor) and 2025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(Predecessor), respectively, that were included in the opening balance of deferred revenues for the respective year.</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Unrecognized Revenues Under Contract</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At June 30, 2026, unrecognized revenues attributable to unsatisfied performance obligations under our long-term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contracts were approximately $6 billion, of which $2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is expected to be recognized during the remainder of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2026, $2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in 2027, $1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in 2028, and $1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thereafter. These amounts only include contracts subject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to a guaranteed fixed amount or the guaranteed minimum under variable contracts, primarily consisting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television and film licensing contracts and affiliate agreements that are subject to a fixed or guaranteed minimum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fee. Such amounts change on a regular basis as we renew existing agreements or enter into new agreements. 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addition, the timing of satisfying certain performance obligations under these long-term contracts is uncertain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therefore, is also subject to change. Unrecognized revenues under contracts disclosed above do not include (i)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contracts with an original expected term of one year or less, mainly consisting of advertising contracts, (ii)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contracts for which variable consideration is determined based on the customer’s subsequent sale or usage, mainly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consisting of affiliate agreements and (iii) long-term licensing agreements for multiple programs for which variable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consideration is determined based on the value of the programs delivered to the customer and our right to invoice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corresponds with the value delivered.  </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Performance Obligations Satisfied in Previous Periods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Under certain revenue arrangements, the amount and timing of our revenue recognition is determined based on our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licensees’ subsequent sale to its end customers. As a result, under such arrangements we often satisfy our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performance obligation of delivery of our content in advance of revenue recognition. We recognized revenues of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$0.1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for each of the three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(Successor) and 2025 (Predecessor)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and $0.2 billion</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and $0.3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for the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(Successor) and 2025 (Predecessor), respectively,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principally relating to content licensing arrangements for which the performance obligation was satisfied prior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the periods indicated, including agreements with distributors of transactional video-on-demand and electronic sell-</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through services, other licensing arrangements, and theatrical distribution of our films.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Times New Roman;serif" w:hAnsi="Times New Roman;serif"/>
          <w:b/>
          <w:i w:val="false"/>
          <w:caps w:val="false"/>
          <w:smallCaps w:val="false"/>
          <w:strike w:val="false"/>
          <w:dstrike w:val="false"/>
          <w:sz w:val="22"/>
          <w:u w:val="none"/>
          <w:effect w:val="none"/>
        </w:rPr>
        <w:t>7) DEBT</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Our debt consists of the following:</w:t>
      </w:r>
    </w:p>
    <w:tbl>
      <w:tblPr>
        <w:tblW w:w="6697" w:type="dxa"/>
        <w:jc w:val="left"/>
        <w:tblInd w:w="0" w:type="dxa"/>
        <w:tblLayout w:type="fixed"/>
        <w:tblCellMar>
          <w:top w:w="28" w:type="dxa"/>
          <w:left w:w="28" w:type="dxa"/>
          <w:bottom w:w="28" w:type="dxa"/>
          <w:right w:w="28" w:type="dxa"/>
        </w:tblCellMar>
      </w:tblPr>
      <w:tblGrid>
        <w:gridCol w:w="3736"/>
        <w:gridCol w:w="138"/>
        <w:gridCol w:w="878"/>
        <w:gridCol w:w="138"/>
        <w:gridCol w:w="109"/>
        <w:gridCol w:w="109"/>
        <w:gridCol w:w="181"/>
        <w:gridCol w:w="1152"/>
        <w:gridCol w:w="256"/>
      </w:tblGrid>
      <w:tr>
        <w:trPr/>
        <w:tc>
          <w:tcPr>
            <w:tcW w:w="37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At</w:t>
            </w:r>
          </w:p>
        </w:tc>
        <w:tc>
          <w:tcPr>
            <w:tcW w:w="109" w:type="dxa"/>
            <w:tcBorders>
              <w:top w:val="single" w:sz="16"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At</w:t>
            </w:r>
          </w:p>
        </w:tc>
      </w:tr>
      <w:tr>
        <w:trPr/>
        <w:tc>
          <w:tcPr>
            <w:tcW w:w="37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 2026</w:t>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December 31, 2025</w:t>
            </w:r>
          </w:p>
        </w:tc>
      </w:tr>
      <w:tr>
        <w:trPr/>
        <w:tc>
          <w:tcPr>
            <w:tcW w:w="373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4.0%</w:t>
            </w:r>
            <w:r>
              <w:rPr>
                <w:caps w:val="false"/>
                <w:smallCaps w:val="false"/>
                <w:sz w:val="24"/>
              </w:rPr>
              <w:t xml:space="preserve"> </w:t>
            </w:r>
            <w:r>
              <w:rPr>
                <w:rFonts w:ascii="Times New Roman;serif" w:hAnsi="Times New Roman;serif"/>
                <w:b w:val="false"/>
                <w:i w:val="false"/>
                <w:caps w:val="false"/>
                <w:smallCaps w:val="false"/>
                <w:sz w:val="18"/>
              </w:rPr>
              <w:t>Senior Notes due 2026</w:t>
            </w:r>
          </w:p>
        </w:tc>
        <w:tc>
          <w:tcPr>
            <w:tcW w:w="1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c>
          <w:tcPr>
            <w:tcW w:w="1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$347</w:t>
            </w:r>
          </w:p>
        </w:tc>
        <w:tc>
          <w:tcPr>
            <w:tcW w:w="2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3.70%</w:t>
            </w:r>
            <w:r>
              <w:rPr>
                <w:caps w:val="false"/>
                <w:smallCaps w:val="false"/>
                <w:sz w:val="24"/>
              </w:rPr>
              <w:t xml:space="preserve"> </w:t>
            </w:r>
            <w:r>
              <w:rPr>
                <w:rFonts w:ascii="Times New Roman;serif" w:hAnsi="Times New Roman;serif"/>
                <w:b w:val="false"/>
                <w:i w:val="false"/>
                <w:caps w:val="false"/>
                <w:smallCaps w:val="false"/>
                <w:sz w:val="18"/>
              </w:rPr>
              <w:t>Senior Notes due 2026</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86</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85</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2.90%</w:t>
            </w:r>
            <w:r>
              <w:rPr>
                <w:caps w:val="false"/>
                <w:smallCaps w:val="false"/>
                <w:sz w:val="24"/>
              </w:rPr>
              <w:t xml:space="preserve"> </w:t>
            </w:r>
            <w:r>
              <w:rPr>
                <w:rFonts w:ascii="Times New Roman;serif" w:hAnsi="Times New Roman;serif"/>
                <w:b w:val="false"/>
                <w:i w:val="false"/>
                <w:caps w:val="false"/>
                <w:smallCaps w:val="false"/>
                <w:sz w:val="18"/>
              </w:rPr>
              <w:t>Senior Notes due 2027</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578</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573</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3.375%</w:t>
            </w:r>
            <w:r>
              <w:rPr>
                <w:caps w:val="false"/>
                <w:smallCaps w:val="false"/>
                <w:sz w:val="24"/>
              </w:rPr>
              <w:t xml:space="preserve"> </w:t>
            </w:r>
            <w:r>
              <w:rPr>
                <w:rFonts w:ascii="Times New Roman;serif" w:hAnsi="Times New Roman;serif"/>
                <w:b w:val="false"/>
                <w:i w:val="false"/>
                <w:caps w:val="false"/>
                <w:smallCaps w:val="false"/>
                <w:sz w:val="18"/>
              </w:rPr>
              <w:t>Senior Notes due 2028</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490</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487</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3.70%</w:t>
            </w:r>
            <w:r>
              <w:rPr>
                <w:caps w:val="false"/>
                <w:smallCaps w:val="false"/>
                <w:sz w:val="24"/>
              </w:rPr>
              <w:t xml:space="preserve"> </w:t>
            </w:r>
            <w:r>
              <w:rPr>
                <w:rFonts w:ascii="Times New Roman;serif" w:hAnsi="Times New Roman;serif"/>
                <w:b w:val="false"/>
                <w:i w:val="false"/>
                <w:caps w:val="false"/>
                <w:smallCaps w:val="false"/>
                <w:sz w:val="18"/>
              </w:rPr>
              <w:t>Senior Notes due 2028</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492</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489</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4.20%</w:t>
            </w:r>
            <w:r>
              <w:rPr>
                <w:caps w:val="false"/>
                <w:smallCaps w:val="false"/>
                <w:sz w:val="24"/>
              </w:rPr>
              <w:t xml:space="preserve"> </w:t>
            </w:r>
            <w:r>
              <w:rPr>
                <w:rFonts w:ascii="Times New Roman;serif" w:hAnsi="Times New Roman;serif"/>
                <w:b w:val="false"/>
                <w:i w:val="false"/>
                <w:caps w:val="false"/>
                <w:smallCaps w:val="false"/>
                <w:sz w:val="18"/>
              </w:rPr>
              <w:t>Senior Notes due 2029</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491</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489</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7.875%</w:t>
            </w:r>
            <w:r>
              <w:rPr>
                <w:caps w:val="false"/>
                <w:smallCaps w:val="false"/>
                <w:sz w:val="24"/>
              </w:rPr>
              <w:t xml:space="preserve"> </w:t>
            </w:r>
            <w:r>
              <w:rPr>
                <w:rFonts w:ascii="Times New Roman;serif" w:hAnsi="Times New Roman;serif"/>
                <w:b w:val="false"/>
                <w:i w:val="false"/>
                <w:caps w:val="false"/>
                <w:smallCaps w:val="false"/>
                <w:sz w:val="18"/>
              </w:rPr>
              <w:t>Senior Debentures due 2030</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905</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915</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4.95%</w:t>
            </w:r>
            <w:r>
              <w:rPr>
                <w:caps w:val="false"/>
                <w:smallCaps w:val="false"/>
                <w:sz w:val="24"/>
              </w:rPr>
              <w:t xml:space="preserve"> </w:t>
            </w:r>
            <w:r>
              <w:rPr>
                <w:rFonts w:ascii="Times New Roman;serif" w:hAnsi="Times New Roman;serif"/>
                <w:b w:val="false"/>
                <w:i w:val="false"/>
                <w:caps w:val="false"/>
                <w:smallCaps w:val="false"/>
                <w:sz w:val="18"/>
              </w:rPr>
              <w:t>Senior Notes due 2031</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1,224</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1,221</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4.20%</w:t>
            </w:r>
            <w:r>
              <w:rPr>
                <w:caps w:val="false"/>
                <w:smallCaps w:val="false"/>
                <w:sz w:val="24"/>
              </w:rPr>
              <w:t xml:space="preserve"> </w:t>
            </w:r>
            <w:r>
              <w:rPr>
                <w:rFonts w:ascii="Times New Roman;serif" w:hAnsi="Times New Roman;serif"/>
                <w:b w:val="false"/>
                <w:i w:val="false"/>
                <w:caps w:val="false"/>
                <w:smallCaps w:val="false"/>
                <w:sz w:val="18"/>
              </w:rPr>
              <w:t>Senior Notes due 2032</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927</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921</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5.50%</w:t>
            </w:r>
            <w:r>
              <w:rPr>
                <w:caps w:val="false"/>
                <w:smallCaps w:val="false"/>
                <w:sz w:val="24"/>
              </w:rPr>
              <w:t xml:space="preserve"> </w:t>
            </w:r>
            <w:r>
              <w:rPr>
                <w:rFonts w:ascii="Times New Roman;serif" w:hAnsi="Times New Roman;serif"/>
                <w:b w:val="false"/>
                <w:i w:val="false"/>
                <w:caps w:val="false"/>
                <w:smallCaps w:val="false"/>
                <w:sz w:val="18"/>
              </w:rPr>
              <w:t>Senior Debentures due 2033</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418</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417</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4.85%</w:t>
            </w:r>
            <w:r>
              <w:rPr>
                <w:caps w:val="false"/>
                <w:smallCaps w:val="false"/>
                <w:sz w:val="24"/>
              </w:rPr>
              <w:t xml:space="preserve"> </w:t>
            </w:r>
            <w:r>
              <w:rPr>
                <w:rFonts w:ascii="Times New Roman;serif" w:hAnsi="Times New Roman;serif"/>
                <w:b w:val="false"/>
                <w:i w:val="false"/>
                <w:caps w:val="false"/>
                <w:smallCaps w:val="false"/>
                <w:sz w:val="18"/>
              </w:rPr>
              <w:t>Senior Debentures due 2034</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76</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76</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6.875%</w:t>
            </w:r>
            <w:r>
              <w:rPr>
                <w:caps w:val="false"/>
                <w:smallCaps w:val="false"/>
                <w:sz w:val="24"/>
              </w:rPr>
              <w:t xml:space="preserve"> </w:t>
            </w:r>
            <w:r>
              <w:rPr>
                <w:rFonts w:ascii="Times New Roman;serif" w:hAnsi="Times New Roman;serif"/>
                <w:b w:val="false"/>
                <w:i w:val="false"/>
                <w:caps w:val="false"/>
                <w:smallCaps w:val="false"/>
                <w:sz w:val="18"/>
              </w:rPr>
              <w:t>Senior Debentures due 2036</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1,117</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1,119</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6.75%</w:t>
            </w:r>
            <w:r>
              <w:rPr>
                <w:caps w:val="false"/>
                <w:smallCaps w:val="false"/>
                <w:sz w:val="24"/>
              </w:rPr>
              <w:t xml:space="preserve"> </w:t>
            </w:r>
            <w:r>
              <w:rPr>
                <w:rFonts w:ascii="Times New Roman;serif" w:hAnsi="Times New Roman;serif"/>
                <w:b w:val="false"/>
                <w:i w:val="false"/>
                <w:caps w:val="false"/>
                <w:smallCaps w:val="false"/>
                <w:sz w:val="18"/>
              </w:rPr>
              <w:t>Senior Debentures due 2037</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75</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75</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5.90%</w:t>
            </w:r>
            <w:r>
              <w:rPr>
                <w:caps w:val="false"/>
                <w:smallCaps w:val="false"/>
                <w:sz w:val="24"/>
              </w:rPr>
              <w:t xml:space="preserve"> </w:t>
            </w:r>
            <w:r>
              <w:rPr>
                <w:rFonts w:ascii="Times New Roman;serif" w:hAnsi="Times New Roman;serif"/>
                <w:b w:val="false"/>
                <w:i w:val="false"/>
                <w:caps w:val="false"/>
                <w:smallCaps w:val="false"/>
                <w:sz w:val="18"/>
              </w:rPr>
              <w:t>Senior Notes due 2040</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273</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272</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4.50%</w:t>
            </w:r>
            <w:r>
              <w:rPr>
                <w:caps w:val="false"/>
                <w:smallCaps w:val="false"/>
                <w:sz w:val="24"/>
              </w:rPr>
              <w:t xml:space="preserve"> </w:t>
            </w:r>
            <w:r>
              <w:rPr>
                <w:rFonts w:ascii="Times New Roman;serif" w:hAnsi="Times New Roman;serif"/>
                <w:b w:val="false"/>
                <w:i w:val="false"/>
                <w:caps w:val="false"/>
                <w:smallCaps w:val="false"/>
                <w:sz w:val="18"/>
              </w:rPr>
              <w:t>Senior Debentures due 2042</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4.85%</w:t>
            </w:r>
            <w:r>
              <w:rPr>
                <w:caps w:val="false"/>
                <w:smallCaps w:val="false"/>
                <w:sz w:val="24"/>
              </w:rPr>
              <w:t xml:space="preserve"> </w:t>
            </w:r>
            <w:r>
              <w:rPr>
                <w:rFonts w:ascii="Times New Roman;serif" w:hAnsi="Times New Roman;serif"/>
                <w:b w:val="false"/>
                <w:i w:val="false"/>
                <w:caps w:val="false"/>
                <w:smallCaps w:val="false"/>
                <w:sz w:val="18"/>
              </w:rPr>
              <w:t>Senior Notes due 2042</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404</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400</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4.375%</w:t>
            </w:r>
            <w:r>
              <w:rPr>
                <w:caps w:val="false"/>
                <w:smallCaps w:val="false"/>
                <w:sz w:val="24"/>
              </w:rPr>
              <w:t xml:space="preserve"> </w:t>
            </w:r>
            <w:r>
              <w:rPr>
                <w:rFonts w:ascii="Times New Roman;serif" w:hAnsi="Times New Roman;serif"/>
                <w:b w:val="false"/>
                <w:i w:val="false"/>
                <w:caps w:val="false"/>
                <w:smallCaps w:val="false"/>
                <w:sz w:val="18"/>
              </w:rPr>
              <w:t>Senior Debentures due 2043</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1,090</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1,079</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4.875%</w:t>
            </w:r>
            <w:r>
              <w:rPr>
                <w:caps w:val="false"/>
                <w:smallCaps w:val="false"/>
                <w:sz w:val="24"/>
              </w:rPr>
              <w:t xml:space="preserve"> </w:t>
            </w:r>
            <w:r>
              <w:rPr>
                <w:rFonts w:ascii="Times New Roman;serif" w:hAnsi="Times New Roman;serif"/>
                <w:b w:val="false"/>
                <w:i w:val="false"/>
                <w:caps w:val="false"/>
                <w:smallCaps w:val="false"/>
                <w:sz w:val="18"/>
              </w:rPr>
              <w:t>Senior Debentures due 2043</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5.85%</w:t>
            </w:r>
            <w:r>
              <w:rPr>
                <w:caps w:val="false"/>
                <w:smallCaps w:val="false"/>
                <w:sz w:val="24"/>
              </w:rPr>
              <w:t xml:space="preserve"> </w:t>
            </w:r>
            <w:r>
              <w:rPr>
                <w:rFonts w:ascii="Times New Roman;serif" w:hAnsi="Times New Roman;serif"/>
                <w:b w:val="false"/>
                <w:i w:val="false"/>
                <w:caps w:val="false"/>
                <w:smallCaps w:val="false"/>
                <w:sz w:val="18"/>
              </w:rPr>
              <w:t>Senior Debentures due 2043</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1,107</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1,103</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5.25%</w:t>
            </w:r>
            <w:r>
              <w:rPr>
                <w:caps w:val="false"/>
                <w:smallCaps w:val="false"/>
                <w:sz w:val="24"/>
              </w:rPr>
              <w:t xml:space="preserve"> </w:t>
            </w:r>
            <w:r>
              <w:rPr>
                <w:rFonts w:ascii="Times New Roman;serif" w:hAnsi="Times New Roman;serif"/>
                <w:b w:val="false"/>
                <w:i w:val="false"/>
                <w:caps w:val="false"/>
                <w:smallCaps w:val="false"/>
                <w:sz w:val="18"/>
              </w:rPr>
              <w:t>Senior Debentures due 2044</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277</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275</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4.90%</w:t>
            </w:r>
            <w:r>
              <w:rPr>
                <w:caps w:val="false"/>
                <w:smallCaps w:val="false"/>
                <w:sz w:val="24"/>
              </w:rPr>
              <w:t xml:space="preserve"> </w:t>
            </w:r>
            <w:r>
              <w:rPr>
                <w:rFonts w:ascii="Times New Roman;serif" w:hAnsi="Times New Roman;serif"/>
                <w:b w:val="false"/>
                <w:i w:val="false"/>
                <w:caps w:val="false"/>
                <w:smallCaps w:val="false"/>
                <w:sz w:val="18"/>
              </w:rPr>
              <w:t>Senior Notes due 2044</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435</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432</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4.60%</w:t>
            </w:r>
            <w:r>
              <w:rPr>
                <w:caps w:val="false"/>
                <w:smallCaps w:val="false"/>
                <w:sz w:val="24"/>
              </w:rPr>
              <w:t xml:space="preserve"> </w:t>
            </w:r>
            <w:r>
              <w:rPr>
                <w:rFonts w:ascii="Times New Roman;serif" w:hAnsi="Times New Roman;serif"/>
                <w:b w:val="false"/>
                <w:i w:val="false"/>
                <w:caps w:val="false"/>
                <w:smallCaps w:val="false"/>
                <w:sz w:val="18"/>
              </w:rPr>
              <w:t>Senior Notes due 2045</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456</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452</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4.95%</w:t>
            </w:r>
            <w:r>
              <w:rPr>
                <w:caps w:val="false"/>
                <w:smallCaps w:val="false"/>
                <w:sz w:val="24"/>
              </w:rPr>
              <w:t xml:space="preserve"> </w:t>
            </w:r>
            <w:r>
              <w:rPr>
                <w:rFonts w:ascii="Times New Roman;serif" w:hAnsi="Times New Roman;serif"/>
                <w:b w:val="false"/>
                <w:i w:val="false"/>
                <w:caps w:val="false"/>
                <w:smallCaps w:val="false"/>
                <w:sz w:val="18"/>
              </w:rPr>
              <w:t>Senior Notes due 2050</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768</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763</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6.25%</w:t>
            </w:r>
            <w:r>
              <w:rPr>
                <w:caps w:val="false"/>
                <w:smallCaps w:val="false"/>
                <w:sz w:val="24"/>
              </w:rPr>
              <w:t xml:space="preserve"> </w:t>
            </w:r>
            <w:r>
              <w:rPr>
                <w:rFonts w:ascii="Times New Roman;serif" w:hAnsi="Times New Roman;serif"/>
                <w:b w:val="false"/>
                <w:i w:val="false"/>
                <w:caps w:val="false"/>
                <w:smallCaps w:val="false"/>
                <w:sz w:val="18"/>
              </w:rPr>
              <w:t>Junior Subordinated Debentures due 2057</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628</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628</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6.375%</w:t>
            </w:r>
            <w:r>
              <w:rPr>
                <w:caps w:val="false"/>
                <w:smallCaps w:val="false"/>
                <w:sz w:val="24"/>
              </w:rPr>
              <w:t xml:space="preserve"> </w:t>
            </w:r>
            <w:r>
              <w:rPr>
                <w:rFonts w:ascii="Times New Roman;serif" w:hAnsi="Times New Roman;serif"/>
                <w:b w:val="false"/>
                <w:i w:val="false"/>
                <w:caps w:val="false"/>
                <w:smallCaps w:val="false"/>
                <w:sz w:val="18"/>
              </w:rPr>
              <w:t>Junior Subordinated Debentures due 2062</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989</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989</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Borrowings under credit facility</w:t>
            </w:r>
          </w:p>
        </w:tc>
        <w:tc>
          <w:tcPr>
            <w:tcW w:w="1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1,800</w:t>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56"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Obligations under finance leases</w:t>
            </w:r>
          </w:p>
        </w:tc>
        <w:tc>
          <w:tcPr>
            <w:tcW w:w="1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1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Total debt </w:t>
            </w:r>
            <w:r>
              <w:rPr>
                <w:rFonts w:ascii="Times New Roman;serif" w:hAnsi="Times New Roman;serif"/>
                <w:b w:val="false"/>
                <w:i w:val="false"/>
                <w:caps w:val="false"/>
                <w:smallCaps w:val="false"/>
                <w:sz w:val="12"/>
              </w:rPr>
              <w:t>(a)</w:t>
            </w:r>
          </w:p>
        </w:tc>
        <w:tc>
          <w:tcPr>
            <w:tcW w:w="1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15,156</w:t>
            </w:r>
          </w:p>
        </w:tc>
        <w:tc>
          <w:tcPr>
            <w:tcW w:w="1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13,658</w:t>
            </w:r>
          </w:p>
        </w:tc>
        <w:tc>
          <w:tcPr>
            <w:tcW w:w="2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Less current portion </w:t>
            </w:r>
          </w:p>
        </w:tc>
        <w:tc>
          <w:tcPr>
            <w:tcW w:w="1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665</w:t>
            </w:r>
          </w:p>
        </w:tc>
        <w:tc>
          <w:tcPr>
            <w:tcW w:w="1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433</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long-term debt, net of current portion</w:t>
            </w:r>
          </w:p>
        </w:tc>
        <w:tc>
          <w:tcPr>
            <w:tcW w:w="13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$14,491</w:t>
            </w:r>
          </w:p>
        </w:tc>
        <w:tc>
          <w:tcPr>
            <w:tcW w:w="13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$13,225</w:t>
            </w:r>
          </w:p>
        </w:tc>
        <w:tc>
          <w:tcPr>
            <w:tcW w:w="25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(a) At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and December 31, 2025, our total senior and junior debt was net of unamortized fair value adjustments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of $1.28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and $1.32 billion, respectively, recorded in connection with the pushdown of the Ultimate Parent’s basis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(see Note 2). The face value of our total debt at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and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was $16.43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(including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8"/>
          <w:u w:val="none"/>
          <w:effect w:val="none"/>
        </w:rPr>
        <w:t>credit facility borrowings discussed below) and $14.98 billion</w:t>
      </w:r>
      <w:r>
        <w:rPr>
          <w:rFonts w:ascii="Times New Roman;serif" w:hAnsi="Times New Roman;serif"/>
          <w:b w:val="false"/>
          <w:i w:val="false"/>
          <w:caps w:val="false"/>
          <w:smallCaps w:val="false"/>
          <w:strike w:val="false"/>
          <w:dstrike w:val="false"/>
          <w:sz w:val="20"/>
          <w:u w:val="none"/>
          <w:effect w:val="none"/>
        </w:rPr>
        <w:t xml:space="preserve">, </w:t>
      </w:r>
      <w:r>
        <w:rPr>
          <w:rFonts w:ascii="Times New Roman;serif" w:hAnsi="Times New Roman;serif"/>
          <w:b w:val="false"/>
          <w:i w:val="false"/>
          <w:caps w:val="false"/>
          <w:smallCaps w:val="false"/>
          <w:strike w:val="false"/>
          <w:dstrike w:val="false"/>
          <w:sz w:val="18"/>
          <w:u w:val="none"/>
          <w:effect w:val="none"/>
        </w:rPr>
        <w:t>respectively.</w:t>
      </w:r>
      <w:r>
        <w:rPr>
          <w:caps w:val="false"/>
          <w:smallCaps w:val="false"/>
          <w:strike w:val="false"/>
          <w:dstrike w:val="false"/>
          <w:sz w:val="24"/>
          <w:u w:val="none"/>
          <w:effect w:val="none"/>
        </w:rPr>
        <w:t xml:space="preserve"> </w:t>
      </w:r>
    </w:p>
    <w:p>
      <w:pPr>
        <w:pStyle w:val="TextBody"/>
        <w:bidi w:val="0"/>
        <w:spacing w:lineRule="atLeast" w:line="220" w:before="0" w:after="0"/>
        <w:jc w:val="both"/>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Senior Debt</w:t>
      </w:r>
    </w:p>
    <w:p>
      <w:pPr>
        <w:pStyle w:val="TextBody"/>
        <w:bidi w:val="0"/>
        <w:spacing w:lineRule="atLeast" w:line="220" w:before="0" w:after="0"/>
        <w:jc w:val="both"/>
        <w:rPr>
          <w:sz w:val="24"/>
          <w:u w:val="single"/>
        </w:rPr>
      </w:pPr>
      <w:r>
        <w:rPr>
          <w:rFonts w:ascii="Times New Roman;serif" w:hAnsi="Times New Roman;serif"/>
          <w:b w:val="false"/>
          <w:i w:val="false"/>
          <w:caps w:val="false"/>
          <w:smallCaps w:val="false"/>
          <w:strike w:val="false"/>
          <w:dstrike w:val="false"/>
          <w:sz w:val="22"/>
          <w:u w:val="none"/>
          <w:effect w:val="none"/>
        </w:rPr>
        <w:t>In January 2026, we repaid our $347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of 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senior notes at maturity.</w:t>
      </w:r>
    </w:p>
    <w:p>
      <w:pPr>
        <w:pStyle w:val="TextBody"/>
        <w:bidi w:val="0"/>
        <w:spacing w:lineRule="atLeast" w:line="220" w:before="0" w:after="0"/>
        <w:jc w:val="both"/>
        <w:rPr>
          <w:sz w:val="24"/>
          <w:u w:val="single"/>
        </w:rPr>
      </w:pPr>
      <w:r>
        <w:rPr>
          <w:rFonts w:ascii="Times New Roman;serif" w:hAnsi="Times New Roman;serif"/>
          <w:b w:val="false"/>
          <w:i/>
          <w:strike w:val="false"/>
          <w:dstrike w:val="false"/>
          <w:sz w:val="22"/>
          <w:u w:val="none"/>
          <w:effect w:val="none"/>
        </w:rPr>
        <w:t>Commercial Paper</w:t>
      </w:r>
      <w:r>
        <w:rPr>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At both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and December 31, 2025, we had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outstanding commercial paper borrowings.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Credit Facility</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April 2026, we entered into an amendment to our revolving credit facility (the “Credit Facility”), increasing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commitments from $3.50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to $5.00 billion, which will be reduced to $4.94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in January 2027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through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maturity in January 2028. The Credit Facility is used for general corporate purposes and to support commercial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paper borrowings, if any. We may, at our option, also borrow in certain foreign currencies up to specified limits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under the Credit Facility. Borrowing rates under the Credit Facility are determined at the time of each borrowing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and are generally based on either the prime rate in the U.S. or an applicable benchmark rate plus a margin (based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on our senior unsecured debt rating), depending on the type and tenor of the loans entered into. The benchmark rate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for loans denominated in U.S. dollars is Term SOFR, and for loans denominated in euros, sterling and yen is based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on EURIBOR, SONIA and TIBOR, respectively. In the first quarter of 2026, in connection with the $2.8 billion</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termination fee paid to Netflix (see Note 15), we borrowed $2.15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under the Credit Facility. As of June 30,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2026, outstanding borrowings under the Credit Facility totaled $1.8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at a weighted average interest rate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6.13%. The remaining availability under the Credit Facility at June 30, 2026, was $3.2 billion. At August 3, 2026,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outstanding borrowings under the Credit Facility totaled $1.75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at a weighted average interest rate of 6.13%.</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Credit facility borrowings outstanding at the closing of the WBD Merger are expected to be repaid with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funding from the private placement described in Note 1.</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Credit Facility has one principal financial covenant which sets a maximum Consolidated Total Leverage Ratio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(“Leverage Ratio”) at the end of each quarter. The maximum Leverage Ratio was 4.50x for the quarter ended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will remain at this level until maturity. The Leverage Ratio reflects the ratio of our Consolidated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Indebtedness, net of a maximum of $3.0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of unrestricted cash and cash equivalents at the end of a quarter,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our Consolidated EBITDA (each as defined in the credit agreement) for the trailing twelve-month period. We met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covenant as of June 30, 2026. </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Other Bank Borrowings</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At both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and December 31, 2025, there were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outstanding bank borrowings under Miramax’s $50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credit facility that matures in November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Times New Roman;serif" w:hAnsi="Times New Roman;serif"/>
          <w:b/>
          <w:i w:val="false"/>
          <w:caps w:val="false"/>
          <w:smallCaps w:val="false"/>
          <w:strike w:val="false"/>
          <w:dstrike w:val="false"/>
          <w:sz w:val="22"/>
          <w:u w:val="none"/>
          <w:effect w:val="none"/>
        </w:rPr>
        <w:t>8) FINANCIAL INSTRUMENTS AND FAIR VALUE MEASUREMENTS</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carrying value of our financial instruments approximates fair value, except for notes and debentures. At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December 31, 2025, the carrying value of our outstanding notes and debentures was $13.35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$13.65 billion, respectively, and the fair value, which is determined based on quoted prices in active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markets (Level 1 in the fair value hierarchy), was $12.1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$13.2 billion, respectively. </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Investments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Our investments without a readily determinable fair value for which we have no significant influence had a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carrying value of $55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and $58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at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December 31, 2025, respectively. These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investments are included in “Other assets” on the Consolidated Balance Sheets.</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Foreign Exchange Contracts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Foreign currency forward contracts have principally been used to manage our exposure to currencies such as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British pound, the euro, the Canadian dollar and the Australian dollar. We designate forward contracts used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hedge committed and forecasted foreign currency transactions, including for the production and licensing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content, as cash flow hedges. We also enter into non-designated forward contracts to hedge non-U.S. dollar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denominated assets, liabilities, and cash flows. The maximum period we are hedging our exposure to variability 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future cash flows is 4.6 years.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and December 31, 2025, the notional amount of all foreign exchange contracts was $6.84 billion</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and $3.14 billion, respectively. At June 30, 2026, $6.28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related to future production and licensing of content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and $562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related to our foreign currency assets and liabilities. At December 31, 2025, $2.74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related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to future production costs and $407 million</w:t>
      </w:r>
      <w:r>
        <w:rPr>
          <w:caps w:val="false"/>
          <w:smallCaps w:val="false"/>
          <w:strike w:val="false"/>
          <w:dstrike w:val="false"/>
          <w:color w:val="FF0000"/>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related to our foreign currency assets and liabilities. </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Interest Rate Contracts</w:t>
      </w:r>
    </w:p>
    <w:p>
      <w:pPr>
        <w:pStyle w:val="TextBody"/>
        <w:bidi w:val="0"/>
        <w:spacing w:lineRule="atLeast" w:line="240" w:before="0" w:after="0"/>
        <w:jc w:val="left"/>
        <w:rPr>
          <w:sz w:val="24"/>
        </w:rPr>
      </w:pPr>
      <w:r>
        <w:rPr>
          <w:rFonts w:ascii="Times New Roman;serif" w:hAnsi="Times New Roman;serif"/>
          <w:b w:val="false"/>
          <w:i w:val="false"/>
          <w:caps w:val="false"/>
          <w:smallCaps w:val="false"/>
          <w:strike w:val="false"/>
          <w:dstrike w:val="false"/>
          <w:sz w:val="24"/>
          <w:u w:val="none"/>
          <w:effect w:val="none"/>
        </w:rPr>
        <w:t>I</w:t>
      </w:r>
      <w:r>
        <w:rPr>
          <w:rFonts w:ascii="Times New Roman;serif" w:hAnsi="Times New Roman;serif"/>
          <w:b w:val="false"/>
          <w:i w:val="false"/>
          <w:caps w:val="false"/>
          <w:smallCaps w:val="false"/>
          <w:strike w:val="false"/>
          <w:dstrike w:val="false"/>
          <w:sz w:val="22"/>
          <w:u w:val="none"/>
          <w:effect w:val="none"/>
        </w:rPr>
        <w:t>n the second quarter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2026, we entered into interest rate contracts with an aggregate notional amount of $10.0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in connection with anticipated debt issuances associated with the WBD Merger and future debt refinancing,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of which</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$3.0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were designated as cash flow hedges. These instruments are intended to hedge exposure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changes in benchmark U.S. Treasury rates from the execution date of the agreements through the issuance of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related debt.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table below presents gains (losses) recognized on derivative financial instruments. Amounts for cash flow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hedges are recognized in other comprehensive income (loss) and for non-designated hedges are included within </w:t>
      </w:r>
    </w:p>
    <w:p>
      <w:pPr>
        <w:pStyle w:val="TextBody"/>
        <w:bidi w:val="0"/>
        <w:spacing w:lineRule="atLeast" w:line="22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2"/>
          <w:u w:val="none"/>
          <w:effect w:val="none"/>
        </w:rPr>
        <w:t>Other items, net” on the Consolidated Statements of Operations.</w:t>
      </w:r>
    </w:p>
    <w:tbl>
      <w:tblPr>
        <w:tblW w:w="9059" w:type="dxa"/>
        <w:jc w:val="left"/>
        <w:tblInd w:w="0" w:type="dxa"/>
        <w:tblLayout w:type="fixed"/>
        <w:tblCellMar>
          <w:top w:w="28" w:type="dxa"/>
          <w:left w:w="28" w:type="dxa"/>
          <w:bottom w:w="28" w:type="dxa"/>
          <w:right w:w="28" w:type="dxa"/>
        </w:tblCellMar>
      </w:tblPr>
      <w:tblGrid>
        <w:gridCol w:w="2356"/>
        <w:gridCol w:w="202"/>
        <w:gridCol w:w="898"/>
        <w:gridCol w:w="204"/>
        <w:gridCol w:w="109"/>
        <w:gridCol w:w="1006"/>
        <w:gridCol w:w="187"/>
        <w:gridCol w:w="930"/>
        <w:gridCol w:w="187"/>
        <w:gridCol w:w="109"/>
        <w:gridCol w:w="202"/>
        <w:gridCol w:w="898"/>
        <w:gridCol w:w="204"/>
        <w:gridCol w:w="109"/>
        <w:gridCol w:w="109"/>
        <w:gridCol w:w="196"/>
        <w:gridCol w:w="872"/>
        <w:gridCol w:w="281"/>
      </w:tblGrid>
      <w:tr>
        <w:trPr/>
        <w:tc>
          <w:tcPr>
            <w:tcW w:w="23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35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r>
      <w:tr>
        <w:trPr/>
        <w:tc>
          <w:tcPr>
            <w:tcW w:w="2356"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23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235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Cash flow hedges</w:t>
            </w:r>
          </w:p>
        </w:tc>
        <w:tc>
          <w:tcPr>
            <w:tcW w:w="20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exchange contracts</w:t>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w:t>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281"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rate contracts</w:t>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20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20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w:t>
            </w:r>
          </w:p>
        </w:tc>
        <w:tc>
          <w:tcPr>
            <w:tcW w:w="20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20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8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20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28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Non-designated hedges</w:t>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exchange contracts</w:t>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281"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rate contracts</w:t>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20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20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w:t>
            </w:r>
          </w:p>
        </w:tc>
        <w:tc>
          <w:tcPr>
            <w:tcW w:w="20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20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8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20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28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Fair Value Measurements</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The table below presents our assets and liabilities measured at fair value on a recurring basis at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December 31, 2025. These assets and liabilities have been categorized according to the three-level fair value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hierarchy established by the FASB, which prioritizes the inputs used in measuring fair value. Level 1 is based 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publicly quoted prices for the asset or liability in active markets. Level 2 is based on inputs that are observable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other than quoted market prices in active markets, such as quoted prices for the asset or liability in inactive markets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or quoted prices for similar assets or liabilities. Level 3 is based on unobservable inputs reflecting our own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assumptions about the assumptions that market participants would use in pricing the asset or liability. All of our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assets and liabilities that are measured at fair value on a recurring basis use Level 2 inputs. The fair value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foreign currency hedges is determined based on the present value of future cash flows using observable inputs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including foreign currency exchange rates. The fair value of deferred compensation liabilities is determined based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on the fair value of the investments elected by employees.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tbl>
      <w:tblPr>
        <w:tblW w:w="5508" w:type="dxa"/>
        <w:jc w:val="left"/>
        <w:tblInd w:w="0" w:type="dxa"/>
        <w:tblLayout w:type="fixed"/>
        <w:tblCellMar>
          <w:top w:w="28" w:type="dxa"/>
          <w:left w:w="28" w:type="dxa"/>
          <w:bottom w:w="28" w:type="dxa"/>
          <w:right w:w="28" w:type="dxa"/>
        </w:tblCellMar>
      </w:tblPr>
      <w:tblGrid>
        <w:gridCol w:w="2356"/>
        <w:gridCol w:w="186"/>
        <w:gridCol w:w="902"/>
        <w:gridCol w:w="186"/>
        <w:gridCol w:w="109"/>
        <w:gridCol w:w="242"/>
        <w:gridCol w:w="1179"/>
        <w:gridCol w:w="348"/>
      </w:tblGrid>
      <w:tr>
        <w:trPr/>
        <w:tc>
          <w:tcPr>
            <w:tcW w:w="23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35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16"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At</w:t>
            </w:r>
          </w:p>
        </w:tc>
        <w:tc>
          <w:tcPr>
            <w:tcW w:w="18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tcBorders>
              <w:top w:val="single" w:sz="16"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At</w:t>
            </w:r>
          </w:p>
        </w:tc>
        <w:tc>
          <w:tcPr>
            <w:tcW w:w="34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 2026</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December 31, 2025</w:t>
            </w:r>
          </w:p>
        </w:tc>
      </w:tr>
      <w:tr>
        <w:trPr/>
        <w:tc>
          <w:tcPr>
            <w:tcW w:w="235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Assets:</w:t>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exchange contracts</w:t>
            </w:r>
          </w:p>
        </w:tc>
        <w:tc>
          <w:tcPr>
            <w:tcW w:w="18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348"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rate contracts</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Assets</w:t>
            </w:r>
          </w:p>
        </w:tc>
        <w:tc>
          <w:tcPr>
            <w:tcW w:w="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w:t>
            </w:r>
          </w:p>
        </w:tc>
        <w:tc>
          <w:tcPr>
            <w:tcW w:w="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3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Liabilities:</w:t>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compensation</w:t>
            </w:r>
          </w:p>
        </w:tc>
        <w:tc>
          <w:tcPr>
            <w:tcW w:w="18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$286</w:t>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w:t>
            </w:r>
          </w:p>
        </w:tc>
        <w:tc>
          <w:tcPr>
            <w:tcW w:w="348"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exchange contracts</w:t>
            </w:r>
          </w:p>
        </w:tc>
        <w:tc>
          <w:tcPr>
            <w:tcW w:w="18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w:t>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348"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rate contracts</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Liabilities</w:t>
            </w:r>
          </w:p>
        </w:tc>
        <w:tc>
          <w:tcPr>
            <w:tcW w:w="18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$388</w:t>
            </w:r>
          </w:p>
        </w:tc>
        <w:tc>
          <w:tcPr>
            <w:tcW w:w="18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$340</w:t>
            </w:r>
          </w:p>
        </w:tc>
        <w:tc>
          <w:tcPr>
            <w:tcW w:w="34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Level 3 inputs were used in determining Paramount Global’s net assets at the Ultimate Parent’s basis (see Note 2)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and the estimated fair value of FCC licenses that were impaired in the second quarter of 2025 (see Note 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Times New Roman;serif" w:hAnsi="Times New Roman;serif"/>
          <w:b/>
          <w:i w:val="false"/>
          <w:caps w:val="false"/>
          <w:smallCaps w:val="false"/>
          <w:strike w:val="false"/>
          <w:dstrike w:val="false"/>
          <w:sz w:val="22"/>
          <w:u w:val="none"/>
          <w:effect w:val="none"/>
        </w:rPr>
        <w:t>9</w:t>
      </w:r>
      <w:r>
        <w:rPr>
          <w:rFonts w:ascii="Times New Roman;serif" w:hAnsi="Times New Roman;serif"/>
          <w:b/>
          <w:i w:val="false"/>
          <w:caps w:val="false"/>
          <w:smallCaps w:val="false"/>
          <w:sz w:val="22"/>
        </w:rPr>
        <w:t xml:space="preserve">) </w:t>
      </w:r>
      <w:r>
        <w:rPr>
          <w:rFonts w:ascii="Times New Roman;serif" w:hAnsi="Times New Roman;serif"/>
          <w:b/>
          <w:i w:val="false"/>
          <w:caps w:val="false"/>
          <w:smallCaps w:val="false"/>
          <w:strike w:val="false"/>
          <w:dstrike w:val="false"/>
          <w:sz w:val="22"/>
          <w:u w:val="none"/>
          <w:effect w:val="none"/>
        </w:rPr>
        <w:t>VARIABLE INTEREST ENTITIES</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the normal course of business, we enter into joint ventures or make investments with business partners that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support our underlying business strategy and provide us the ability to enter new markets to expand the reach of our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brands, develop new programming and/or distribute our existing content. In certain instances, an entity in which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we make an investment may qualify as a variable interest entity (“VIE”). In determining whether we are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primary beneficiary of a VIE, we assess whether we have the power to direct matters that most significantly impact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activities of the VIE, and have the obligation to absorb losses or the right to receive benefits from the VIE that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could potentially be significant to the VIE.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following tables present the amounts recorded in our consolidated financial statements related to our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consolidated VIEs. During the first quarter of 2026, we acquired our minority partner’s interest in one of our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consolidated VIEs, which increased our ownership interest to 100%. Accordingly, for periods subsequent to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acquisition, this entity is not included in the amounts disclosed.  </w:t>
      </w:r>
    </w:p>
    <w:tbl>
      <w:tblPr>
        <w:tblW w:w="4234" w:type="dxa"/>
        <w:jc w:val="left"/>
        <w:tblInd w:w="0" w:type="dxa"/>
        <w:tblLayout w:type="fixed"/>
        <w:tblCellMar>
          <w:top w:w="28" w:type="dxa"/>
          <w:left w:w="28" w:type="dxa"/>
          <w:bottom w:w="28" w:type="dxa"/>
          <w:right w:w="28" w:type="dxa"/>
        </w:tblCellMar>
      </w:tblPr>
      <w:tblGrid>
        <w:gridCol w:w="1381"/>
        <w:gridCol w:w="169"/>
        <w:gridCol w:w="817"/>
        <w:gridCol w:w="169"/>
        <w:gridCol w:w="109"/>
        <w:gridCol w:w="184"/>
        <w:gridCol w:w="1145"/>
        <w:gridCol w:w="260"/>
      </w:tblGrid>
      <w:tr>
        <w:trPr/>
        <w:tc>
          <w:tcPr>
            <w:tcW w:w="13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At</w:t>
            </w:r>
          </w:p>
        </w:tc>
        <w:tc>
          <w:tcPr>
            <w:tcW w:w="16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At</w:t>
            </w:r>
          </w:p>
        </w:tc>
        <w:tc>
          <w:tcPr>
            <w:tcW w:w="260"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 2026</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December 31, 2025</w:t>
            </w:r>
          </w:p>
        </w:tc>
      </w:tr>
      <w:tr>
        <w:trPr/>
        <w:tc>
          <w:tcPr>
            <w:tcW w:w="138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assets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$829</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$1,193</w:t>
            </w:r>
          </w:p>
        </w:tc>
        <w:tc>
          <w:tcPr>
            <w:tcW w:w="2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38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liabilities</w:t>
            </w:r>
          </w:p>
        </w:tc>
        <w:tc>
          <w:tcPr>
            <w:tcW w:w="16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7"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w:t>
            </w:r>
          </w:p>
        </w:tc>
        <w:tc>
          <w:tcPr>
            <w:tcW w:w="16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5"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$311</w:t>
            </w:r>
          </w:p>
        </w:tc>
        <w:tc>
          <w:tcPr>
            <w:tcW w:w="26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763" w:type="dxa"/>
        <w:jc w:val="left"/>
        <w:tblInd w:w="0" w:type="dxa"/>
        <w:tblLayout w:type="fixed"/>
        <w:tblCellMar>
          <w:top w:w="28" w:type="dxa"/>
          <w:left w:w="28" w:type="dxa"/>
          <w:bottom w:w="28" w:type="dxa"/>
          <w:right w:w="28" w:type="dxa"/>
        </w:tblCellMar>
      </w:tblPr>
      <w:tblGrid>
        <w:gridCol w:w="2056"/>
        <w:gridCol w:w="190"/>
        <w:gridCol w:w="923"/>
        <w:gridCol w:w="192"/>
        <w:gridCol w:w="109"/>
        <w:gridCol w:w="109"/>
        <w:gridCol w:w="190"/>
        <w:gridCol w:w="923"/>
        <w:gridCol w:w="192"/>
        <w:gridCol w:w="109"/>
        <w:gridCol w:w="190"/>
        <w:gridCol w:w="923"/>
        <w:gridCol w:w="192"/>
        <w:gridCol w:w="109"/>
        <w:gridCol w:w="1006"/>
        <w:gridCol w:w="183"/>
        <w:gridCol w:w="909"/>
        <w:gridCol w:w="258"/>
      </w:tblGrid>
      <w:tr>
        <w:trPr/>
        <w:tc>
          <w:tcPr>
            <w:tcW w:w="20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50"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20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205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Revenues</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w:t>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w:t>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$221</w:t>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$242</w:t>
            </w:r>
          </w:p>
        </w:tc>
        <w:tc>
          <w:tcPr>
            <w:tcW w:w="25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income (loss)</w:t>
            </w:r>
          </w:p>
        </w:tc>
        <w:tc>
          <w:tcPr>
            <w:tcW w:w="19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3"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9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3"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w:t>
            </w:r>
          </w:p>
        </w:tc>
        <w:tc>
          <w:tcPr>
            <w:tcW w:w="19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3"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19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9"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w:t>
            </w:r>
          </w:p>
        </w:tc>
        <w:tc>
          <w:tcPr>
            <w:tcW w:w="25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Times New Roman;serif" w:hAnsi="Times New Roman;serif"/>
          <w:b/>
          <w:i w:val="false"/>
          <w:caps w:val="false"/>
          <w:smallCaps w:val="false"/>
          <w:strike w:val="false"/>
          <w:dstrike w:val="false"/>
          <w:sz w:val="22"/>
          <w:u w:val="none"/>
          <w:effect w:val="none"/>
        </w:rPr>
        <w:t>10) STOCKHOLDERS’ EQUITY</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Impact from the Skydance Transactions</w:t>
      </w:r>
      <w:r>
        <w:rPr>
          <w:caps w:val="false"/>
          <w:smallCaps w:val="false"/>
          <w:strike w:val="false"/>
          <w:dstrike w:val="false"/>
          <w:sz w:val="24"/>
          <w:u w:val="none"/>
          <w:effect w:val="none"/>
        </w:rPr>
        <w:t>—</w:t>
      </w:r>
      <w:r>
        <w:rPr>
          <w:rFonts w:ascii="Times New Roman;serif" w:hAnsi="Times New Roman;serif"/>
          <w:b w:val="false"/>
          <w:i/>
          <w:strike w:val="false"/>
          <w:dstrike w:val="false"/>
          <w:sz w:val="22"/>
          <w:u w:val="none"/>
          <w:effect w:val="none"/>
        </w:rPr>
        <w:t>Common Stock</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On August 6, 2025, each share of Paramount Global common stock that was owned by Paramount Global as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treasury stock was cancelled and ceased to exist, and each issued and outstanding share of Paramount Global Class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 Common Stock and Paramount Global Class B Common Stock was converted automatically into the right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receive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share of Paramount Skydance Corporation Class A Common Stock and Paramount Skydance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Corporation Class B Common Stock, respectively. Additionally, at the closing of the Skydance Transactions, all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outstanding Paramount Global RSU awards and PSU awards were converted to Paramount RSU awards.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Skydance Transactions included a cash-stock election offered to holders of Paramount Global pursuant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which (a) shares of Paramount Global Class A Common Stock held by stockholders other than NAI or its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subsidiaries were converted, at the stockholders’ election, into the right to receive either the Class A Cash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Consideration or the Class A Stock Consideration and (b) shares of Paramount Global Class B Common Stock held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by stockholders other than NAI or its subsidiaries, the NAI Equity Investors and certain other affiliates of investors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Skydance were converted, at the stockholders’ election, into the right to receive the Class B Cash Consideration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(subject to proration) or the Class B Stock Consideration. The elections resulted in cash settlement of 7.2 million</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shares of Paramount Global Class A Common Stock at a price of $23.00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share and cash settlement of 285.9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shares of Paramount Global Class B Common Stock at a price of $15.00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share for which holders of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shares elected to receive the Class A Cash Consideration and Class B Cash Consideration, respectively. In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addition, holders of 2.0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shares of Paramount Global Class A Common Stock elected to receive the Class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Stock Consideration or made no election, and as such received shares of Paramount Skydance Corporation Class B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Common Stock at a conversion rate of 1.5333, resulting in the issuance of 3.1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shares of Paramount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Skydance Corporation Class B Common Stock. Elections made for the Class B Cash Consideration were subject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 proration mechanism. Shares of Paramount Global Class B Common Stock for which elections to receive Class B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Cash Consideration were not made or were validly revoked remained issued and outstanding as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share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Paramount Skydance Corporation Class B Common Stock. Shares of Paramount Global Class A Common Stock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and Paramount Global Class B Common Stock were cancelled 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ceased to exist upon completion of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Skydance Transactions.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The cash elections were funded by $4.45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of the PIPE Transaction proceeds, and the remaining $1.52 billion</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was provided to Paramount. In exchange for these proceeds, the NAI Equity Investors and certain other affiliates of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investors in Skydance received 400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newly issued shares of Paramount Skydance Corporation Class B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Common Stock for a purchase price of $15.00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share, and the NAI Equity Investors also received warrants to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purchase 200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shares of Paramount Skydance Corporation Class B Common Stock at an initial exercise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price of $30.50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per share (subject to customary anti-dilution adjustments), which expire five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after issuance.</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In addition, 316.7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shares (313.8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shares after reduction in connection with certain tax withholding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requirements) of Paramount Skydance Corporation Class B Common Stock were issued to holders of Skydance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Membership Units and Skydance Phantom Unit awards.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table below details the activity described above and calculates shares of Paramount Skydance Corporation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Class A Common Stock and Class B Common Stock issued and outstanding after completion of the Skydance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Transactions on August 7, 2025.</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tbl>
      <w:tblPr>
        <w:tblW w:w="7556" w:type="dxa"/>
        <w:jc w:val="left"/>
        <w:tblInd w:w="0" w:type="dxa"/>
        <w:tblLayout w:type="fixed"/>
        <w:tblCellMar>
          <w:top w:w="28" w:type="dxa"/>
          <w:left w:w="28" w:type="dxa"/>
          <w:bottom w:w="28" w:type="dxa"/>
          <w:right w:w="28" w:type="dxa"/>
        </w:tblCellMar>
      </w:tblPr>
      <w:tblGrid>
        <w:gridCol w:w="5821"/>
        <w:gridCol w:w="109"/>
        <w:gridCol w:w="736"/>
        <w:gridCol w:w="109"/>
        <w:gridCol w:w="781"/>
      </w:tblGrid>
      <w:tr>
        <w:trPr/>
        <w:tc>
          <w:tcPr>
            <w:tcW w:w="5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5821" w:type="dxa"/>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c>
          <w:tcPr>
            <w:tcW w:w="10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 A</w:t>
            </w:r>
          </w:p>
        </w:tc>
        <w:tc>
          <w:tcPr>
            <w:tcW w:w="10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 B</w:t>
            </w:r>
          </w:p>
        </w:tc>
      </w:tr>
      <w:tr>
        <w:trPr/>
        <w:tc>
          <w:tcPr>
            <w:tcW w:w="582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Each share of Paramount Global Class A Common Stock converted </w:t>
            </w:r>
          </w:p>
          <w:p>
            <w:pPr>
              <w:pStyle w:val="TableContents"/>
              <w:bidi w:val="0"/>
              <w:spacing w:lineRule="atLeast" w:line="200" w:before="0" w:after="0"/>
              <w:jc w:val="left"/>
              <w:rPr/>
            </w:pPr>
            <w:r>
              <w:rPr>
                <w:caps w:val="false"/>
                <w:smallCaps w:val="false"/>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one</w:t>
            </w:r>
            <w:r>
              <w:rPr>
                <w:caps w:val="false"/>
                <w:smallCaps w:val="false"/>
                <w:sz w:val="24"/>
              </w:rPr>
              <w:t xml:space="preserve"> </w:t>
            </w:r>
            <w:r>
              <w:rPr>
                <w:rFonts w:ascii="Times New Roman;serif" w:hAnsi="Times New Roman;serif"/>
                <w:b w:val="false"/>
                <w:i w:val="false"/>
                <w:caps w:val="false"/>
                <w:smallCaps w:val="false"/>
                <w:sz w:val="20"/>
              </w:rPr>
              <w:t xml:space="preserve">share of Paramount Skydance Corporation Class A Common </w:t>
            </w:r>
          </w:p>
          <w:p>
            <w:pPr>
              <w:pStyle w:val="TableContents"/>
              <w:bidi w:val="0"/>
              <w:spacing w:lineRule="atLeast" w:line="200"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0"/>
              </w:rPr>
              <w:t>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40.7</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share of Paramount Global Class B Common Stock converted</w:t>
            </w:r>
          </w:p>
          <w:p>
            <w:pPr>
              <w:pStyle w:val="TableContents"/>
              <w:bidi w:val="0"/>
              <w:spacing w:lineRule="atLeast" w:line="200" w:before="0" w:after="0"/>
              <w:jc w:val="left"/>
              <w:rPr/>
            </w:pPr>
            <w:r>
              <w:rPr>
                <w:caps w:val="false"/>
                <w:smallCaps w:val="false"/>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one</w:t>
            </w:r>
            <w:r>
              <w:rPr>
                <w:caps w:val="false"/>
                <w:smallCaps w:val="false"/>
                <w:sz w:val="24"/>
              </w:rPr>
              <w:t xml:space="preserve"> </w:t>
            </w:r>
            <w:r>
              <w:rPr>
                <w:rFonts w:ascii="Times New Roman;serif" w:hAnsi="Times New Roman;serif"/>
                <w:b w:val="false"/>
                <w:i w:val="false"/>
                <w:caps w:val="false"/>
                <w:smallCaps w:val="false"/>
                <w:sz w:val="20"/>
              </w:rPr>
              <w:t xml:space="preserve">share of Paramount Skydance Corporation Class B Common </w:t>
            </w:r>
          </w:p>
          <w:p>
            <w:pPr>
              <w:pStyle w:val="TableContents"/>
              <w:bidi w:val="0"/>
              <w:spacing w:lineRule="atLeast" w:line="200"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0"/>
              </w:rPr>
              <w:t xml:space="preserve">Stock </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633.6</w:t>
            </w:r>
          </w:p>
        </w:tc>
      </w:tr>
      <w:tr>
        <w:trPr/>
        <w:tc>
          <w:tcPr>
            <w:tcW w:w="58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Issuance of Paramount Skydance Corporation Class B Common Stock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 xml:space="preserve">to the NAI Equity Investors and certain other affiliates of investors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in Skydance in exchange for proceeds from the PIPE Transaction</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400.0</w:t>
            </w:r>
          </w:p>
        </w:tc>
      </w:tr>
      <w:tr>
        <w:trPr/>
        <w:tc>
          <w:tcPr>
            <w:tcW w:w="58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Cancellation of cash-settled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58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Cancellation of cash-settled 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(285.9)</w:t>
            </w:r>
          </w:p>
        </w:tc>
      </w:tr>
      <w:tr>
        <w:trPr/>
        <w:tc>
          <w:tcPr>
            <w:tcW w:w="58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Conversion of one share of stock-settled Class A Common Stock to </w:t>
            </w:r>
          </w:p>
          <w:p>
            <w:pPr>
              <w:pStyle w:val="TableContents"/>
              <w:bidi w:val="0"/>
              <w:spacing w:lineRule="atLeast" w:line="200" w:before="0" w:after="0"/>
              <w:jc w:val="left"/>
              <w:rPr/>
            </w:pPr>
            <w:r>
              <w:rPr>
                <w:caps w:val="false"/>
                <w:smallCaps w:val="false"/>
              </w:rPr>
              <w:t xml:space="preserve">  </w:t>
            </w:r>
            <w:r>
              <w:rPr>
                <w:rFonts w:ascii="Times New Roman;serif" w:hAnsi="Times New Roman;serif"/>
                <w:b w:val="false"/>
                <w:i w:val="false"/>
                <w:caps w:val="false"/>
                <w:smallCaps w:val="false"/>
                <w:strike w:val="false"/>
                <w:dstrike w:val="false"/>
                <w:sz w:val="20"/>
                <w:u w:val="none"/>
                <w:effect w:val="none"/>
              </w:rPr>
              <w:t>1.5333</w:t>
            </w:r>
            <w:r>
              <w:rPr>
                <w:caps w:val="false"/>
                <w:smallCaps w:val="false"/>
                <w:sz w:val="24"/>
              </w:rPr>
              <w:t xml:space="preserve"> </w:t>
            </w:r>
            <w:r>
              <w:rPr>
                <w:rFonts w:ascii="Times New Roman;serif" w:hAnsi="Times New Roman;serif"/>
                <w:b w:val="false"/>
                <w:i w:val="false"/>
                <w:caps w:val="false"/>
                <w:smallCaps w:val="false"/>
                <w:sz w:val="20"/>
              </w:rPr>
              <w:t>shares of 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r>
      <w:tr>
        <w:trPr/>
        <w:tc>
          <w:tcPr>
            <w:tcW w:w="582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Issuance of Paramount Skydance Corporation Class B Common Stock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 xml:space="preserve">to holders of Skydance Membership Units and Skydance Phantom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Unit awards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313.8</w:t>
            </w:r>
          </w:p>
        </w:tc>
      </w:tr>
      <w:tr>
        <w:trPr/>
        <w:tc>
          <w:tcPr>
            <w:tcW w:w="58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share issuance, net of cancellations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431.0</w:t>
            </w:r>
          </w:p>
        </w:tc>
      </w:tr>
      <w:tr>
        <w:trPr/>
        <w:tc>
          <w:tcPr>
            <w:tcW w:w="582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Total shares of Paramount Skydance Corporation Class A and Class B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 xml:space="preserve">Common Stock issued and outstanding after the Skydance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Transactions on August 7, 2025</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31.5</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1,064.6</w:t>
            </w:r>
          </w:p>
        </w:tc>
      </w:tr>
    </w:tbl>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Paramount Skydance Corporation is authorized to issue up to 55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shares of Paramount Skydance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Corporation Class A Common Stock, par value of $.001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per share; 100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shares of preferred stock, par value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of $.001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per share; and, effective April 2026, 7.0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shares of Paramount Skydance Corporation Class B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Common Stock, par value of $.001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per share, which increased from 5.50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shares. The Certificate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Amendment to the amended and restated certificate of incorporation that increased this authorization also permits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Paramount Skydance Corporation Board of Directors to declare and pay a dividend to holders of Paramount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Skydance Corporation Class B Common Stock without being required to declare and pay a corresponding dividend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to the holders of Paramount Skydance Corporation Class A Common Stock, subject to the prior written consent or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approval of the holders of all of the outstanding shares of Paramount Skydance Corporation Class A Common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Stock.</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Common Stock Dividends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following table presents dividends declared per share and total dividends for Paramount Skydance Corporation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Class A and B Common Stock for the Successor period and Paramount Global’s Class A and Class B Common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Stock for the Predecessor period.</w:t>
      </w:r>
    </w:p>
    <w:tbl>
      <w:tblPr>
        <w:tblW w:w="9916" w:type="dxa"/>
        <w:jc w:val="left"/>
        <w:tblInd w:w="0" w:type="dxa"/>
        <w:tblLayout w:type="fixed"/>
        <w:tblCellMar>
          <w:top w:w="28" w:type="dxa"/>
          <w:left w:w="28" w:type="dxa"/>
          <w:bottom w:w="28" w:type="dxa"/>
          <w:right w:w="28" w:type="dxa"/>
        </w:tblCellMar>
      </w:tblPr>
      <w:tblGrid>
        <w:gridCol w:w="3211"/>
        <w:gridCol w:w="222"/>
        <w:gridCol w:w="858"/>
        <w:gridCol w:w="224"/>
        <w:gridCol w:w="109"/>
        <w:gridCol w:w="109"/>
        <w:gridCol w:w="221"/>
        <w:gridCol w:w="859"/>
        <w:gridCol w:w="224"/>
        <w:gridCol w:w="109"/>
        <w:gridCol w:w="190"/>
        <w:gridCol w:w="923"/>
        <w:gridCol w:w="192"/>
        <w:gridCol w:w="109"/>
        <w:gridCol w:w="1006"/>
        <w:gridCol w:w="201"/>
        <w:gridCol w:w="863"/>
        <w:gridCol w:w="286"/>
      </w:tblGrid>
      <w:tr>
        <w:trPr/>
        <w:tc>
          <w:tcPr>
            <w:tcW w:w="3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21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50"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9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3"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2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Class A and Class B Common Stock</w:t>
            </w:r>
          </w:p>
        </w:tc>
        <w:tc>
          <w:tcPr>
            <w:tcW w:w="2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Dividends declared per common share</w:t>
            </w:r>
          </w:p>
        </w:tc>
        <w:tc>
          <w:tcPr>
            <w:tcW w:w="2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286" w:type="dxa"/>
            <w:tcBorders/>
            <w:vAlign w:val="center"/>
          </w:tcPr>
          <w:p>
            <w:pPr>
              <w:pStyle w:val="TableContents"/>
              <w:bidi w:val="0"/>
              <w:spacing w:before="0" w:after="283"/>
              <w:jc w:val="left"/>
              <w:rPr>
                <w:sz w:val="4"/>
                <w:szCs w:val="4"/>
              </w:rPr>
            </w:pPr>
            <w:r>
              <w:rPr>
                <w:sz w:val="4"/>
                <w:szCs w:val="4"/>
              </w:rPr>
            </w:r>
          </w:p>
        </w:tc>
      </w:tr>
      <w:tr>
        <w:trPr/>
        <w:tc>
          <w:tcPr>
            <w:tcW w:w="3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common stock dividends</w:t>
            </w:r>
          </w:p>
        </w:tc>
        <w:tc>
          <w:tcPr>
            <w:tcW w:w="22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8"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w:t>
            </w:r>
          </w:p>
        </w:tc>
        <w:tc>
          <w:tcPr>
            <w:tcW w:w="22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9"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2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3"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w:t>
            </w:r>
          </w:p>
        </w:tc>
        <w:tc>
          <w:tcPr>
            <w:tcW w:w="19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1"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3"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28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Accumulated Other Comprehensive Income (Loss)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following tables summarize the changes in the components of accumulated other comprehensive income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(loss).</w:t>
      </w:r>
    </w:p>
    <w:tbl>
      <w:tblPr>
        <w:tblW w:w="8217" w:type="dxa"/>
        <w:jc w:val="left"/>
        <w:tblInd w:w="0" w:type="dxa"/>
        <w:tblLayout w:type="fixed"/>
        <w:tblCellMar>
          <w:top w:w="28" w:type="dxa"/>
          <w:left w:w="28" w:type="dxa"/>
          <w:bottom w:w="28" w:type="dxa"/>
          <w:right w:w="28" w:type="dxa"/>
        </w:tblCellMar>
      </w:tblPr>
      <w:tblGrid>
        <w:gridCol w:w="2806"/>
        <w:gridCol w:w="194"/>
        <w:gridCol w:w="751"/>
        <w:gridCol w:w="196"/>
        <w:gridCol w:w="109"/>
        <w:gridCol w:w="237"/>
        <w:gridCol w:w="918"/>
        <w:gridCol w:w="239"/>
        <w:gridCol w:w="109"/>
        <w:gridCol w:w="148"/>
        <w:gridCol w:w="738"/>
        <w:gridCol w:w="148"/>
        <w:gridCol w:w="109"/>
        <w:gridCol w:w="241"/>
        <w:gridCol w:w="932"/>
        <w:gridCol w:w="342"/>
      </w:tblGrid>
      <w:tr>
        <w:trPr/>
        <w:tc>
          <w:tcPr>
            <w:tcW w:w="280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806" w:type="dxa"/>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(Successor)</w:t>
            </w:r>
          </w:p>
        </w:tc>
        <w:tc>
          <w:tcPr>
            <w:tcW w:w="1141"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Cumulative</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Translation</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Adjustments</w:t>
            </w:r>
          </w:p>
        </w:tc>
        <w:tc>
          <w:tcPr>
            <w:tcW w:w="10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Net Actuarial</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Gain and Prior</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Service Cost</w:t>
            </w:r>
          </w:p>
        </w:tc>
        <w:tc>
          <w:tcPr>
            <w:tcW w:w="10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Cash Flow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Hedges</w:t>
            </w:r>
          </w:p>
        </w:tc>
        <w:tc>
          <w:tcPr>
            <w:tcW w:w="10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Accumulated</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Other</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Comprehensive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(Loss)</w:t>
            </w:r>
          </w:p>
        </w:tc>
      </w:tr>
      <w:tr>
        <w:trPr/>
        <w:tc>
          <w:tcPr>
            <w:tcW w:w="280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At December 31, 2025</w:t>
            </w:r>
          </w:p>
        </w:tc>
        <w:tc>
          <w:tcPr>
            <w:tcW w:w="1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w:t>
            </w:r>
          </w:p>
        </w:tc>
        <w:tc>
          <w:tcPr>
            <w:tcW w:w="19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w:t>
            </w:r>
          </w:p>
        </w:tc>
        <w:tc>
          <w:tcPr>
            <w:tcW w:w="3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Other comprehensive loss before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reclassifications</w:t>
            </w:r>
          </w:p>
        </w:tc>
        <w:tc>
          <w:tcPr>
            <w:tcW w:w="1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9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w:t>
            </w:r>
          </w:p>
        </w:tc>
        <w:tc>
          <w:tcPr>
            <w:tcW w:w="3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At June 30, 2026</w:t>
            </w:r>
          </w:p>
        </w:tc>
        <w:tc>
          <w:tcPr>
            <w:tcW w:w="19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9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23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4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34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8472" w:type="dxa"/>
        <w:jc w:val="left"/>
        <w:tblInd w:w="0" w:type="dxa"/>
        <w:tblLayout w:type="fixed"/>
        <w:tblCellMar>
          <w:top w:w="28" w:type="dxa"/>
          <w:left w:w="28" w:type="dxa"/>
          <w:bottom w:w="28" w:type="dxa"/>
          <w:right w:w="28" w:type="dxa"/>
        </w:tblCellMar>
      </w:tblPr>
      <w:tblGrid>
        <w:gridCol w:w="3091"/>
        <w:gridCol w:w="154"/>
        <w:gridCol w:w="831"/>
        <w:gridCol w:w="156"/>
        <w:gridCol w:w="109"/>
        <w:gridCol w:w="147"/>
        <w:gridCol w:w="872"/>
        <w:gridCol w:w="345"/>
        <w:gridCol w:w="109"/>
        <w:gridCol w:w="175"/>
        <w:gridCol w:w="682"/>
        <w:gridCol w:w="178"/>
        <w:gridCol w:w="109"/>
        <w:gridCol w:w="164"/>
        <w:gridCol w:w="1116"/>
        <w:gridCol w:w="234"/>
      </w:tblGrid>
      <w:tr>
        <w:trPr/>
        <w:tc>
          <w:tcPr>
            <w:tcW w:w="30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091" w:type="dxa"/>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(Predecessor)</w:t>
            </w:r>
          </w:p>
        </w:tc>
        <w:tc>
          <w:tcPr>
            <w:tcW w:w="1141"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Cumulative</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Translation</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Adjustments</w:t>
            </w:r>
          </w:p>
        </w:tc>
        <w:tc>
          <w:tcPr>
            <w:tcW w:w="10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Net Actuarial</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Loss and Prior</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Service Cost</w:t>
            </w:r>
          </w:p>
        </w:tc>
        <w:tc>
          <w:tcPr>
            <w:tcW w:w="10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Cash Flow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Hedges</w:t>
            </w:r>
          </w:p>
        </w:tc>
        <w:tc>
          <w:tcPr>
            <w:tcW w:w="10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Accumulated</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Other</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Comprehensive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(Loss)</w:t>
            </w:r>
          </w:p>
        </w:tc>
      </w:tr>
      <w:tr>
        <w:trPr/>
        <w:tc>
          <w:tcPr>
            <w:tcW w:w="30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At December 31, 2024</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$(670)</w:t>
            </w:r>
          </w:p>
        </w:tc>
        <w:tc>
          <w:tcPr>
            <w:tcW w:w="1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$(947)</w:t>
            </w:r>
          </w:p>
        </w:tc>
        <w:tc>
          <w:tcPr>
            <w:tcW w:w="3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7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$(1,604)</w:t>
            </w:r>
          </w:p>
        </w:tc>
        <w:tc>
          <w:tcPr>
            <w:tcW w:w="2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Other comprehensive income before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reclassifications</w:t>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w:t>
            </w:r>
          </w:p>
        </w:tc>
        <w:tc>
          <w:tcPr>
            <w:tcW w:w="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7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164</w:t>
            </w:r>
          </w:p>
        </w:tc>
        <w:tc>
          <w:tcPr>
            <w:tcW w:w="23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Reclassifications to net earnings</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34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(a)</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7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23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comprehensive income</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w:t>
            </w:r>
          </w:p>
        </w:tc>
        <w:tc>
          <w:tcPr>
            <w:tcW w:w="1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3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7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w:t>
            </w:r>
          </w:p>
        </w:tc>
        <w:tc>
          <w:tcPr>
            <w:tcW w:w="2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At June 30, 2025</w:t>
            </w:r>
          </w:p>
        </w:tc>
        <w:tc>
          <w:tcPr>
            <w:tcW w:w="15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$(520)</w:t>
            </w:r>
          </w:p>
        </w:tc>
        <w:tc>
          <w:tcPr>
            <w:tcW w:w="15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$(926)</w:t>
            </w:r>
          </w:p>
        </w:tc>
        <w:tc>
          <w:tcPr>
            <w:tcW w:w="34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w:t>
            </w:r>
          </w:p>
        </w:tc>
        <w:tc>
          <w:tcPr>
            <w:tcW w:w="17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$(1,419)</w:t>
            </w:r>
          </w:p>
        </w:tc>
        <w:tc>
          <w:tcPr>
            <w:tcW w:w="23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6"/>
          <w:u w:val="none"/>
          <w:effect w:val="none"/>
        </w:rPr>
        <w:t>(</w:t>
      </w:r>
      <w:r>
        <w:rPr>
          <w:rFonts w:ascii="Times New Roman;serif" w:hAnsi="Times New Roman;serif"/>
          <w:b w:val="false"/>
          <w:i w:val="false"/>
          <w:caps w:val="false"/>
          <w:smallCaps w:val="false"/>
          <w:strike w:val="false"/>
          <w:dstrike w:val="false"/>
          <w:sz w:val="18"/>
          <w:u w:val="none"/>
          <w:effect w:val="none"/>
        </w:rPr>
        <w:t>a) Reflects amortization of net actuarial losses (see Note 12).</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The cash flow hedges included in other comprehensive income (loss) are net of a tax benefit of $10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tax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expense of $5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for the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(Successor) and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(Predecessor),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respectively. The net actuarial loss and prior service cost related to pension and other postretirement benefit plans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included in other comprehensive income (loss) is net of a tax benefit of $7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for the six months ended</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(Predecessor).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Times New Roman;serif" w:hAnsi="Times New Roman;serif"/>
          <w:b/>
          <w:i w:val="false"/>
          <w:caps w:val="false"/>
          <w:smallCaps w:val="false"/>
          <w:strike w:val="false"/>
          <w:dstrike w:val="false"/>
          <w:sz w:val="22"/>
          <w:u w:val="none"/>
          <w:effect w:val="none"/>
        </w:rPr>
        <w:t>11) INCOME TAXES</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income tax provision represents federal, state and local, and foreign taxes on earnings before income taxes and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equity in loss of investee companies. For the three and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(Successor), we recorded a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provision for income taxes of $120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and $275 million, reflecting an effective income tax rate of 55.8%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45.3%, respectively. Included in the provision for income taxes are the following items identified as affecting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comparability of our results, which in aggregate increased our effective income tax rate by 20.1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percentage points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10.9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percentage points for their respective periods.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tbl>
      <w:tblPr>
        <w:tblW w:w="9519" w:type="dxa"/>
        <w:jc w:val="left"/>
        <w:tblInd w:w="0" w:type="dxa"/>
        <w:tblLayout w:type="fixed"/>
        <w:tblCellMar>
          <w:top w:w="28" w:type="dxa"/>
          <w:left w:w="28" w:type="dxa"/>
          <w:bottom w:w="28" w:type="dxa"/>
          <w:right w:w="28" w:type="dxa"/>
        </w:tblCellMar>
      </w:tblPr>
      <w:tblGrid>
        <w:gridCol w:w="2881"/>
        <w:gridCol w:w="209"/>
        <w:gridCol w:w="1238"/>
        <w:gridCol w:w="209"/>
        <w:gridCol w:w="209"/>
        <w:gridCol w:w="238"/>
        <w:gridCol w:w="919"/>
        <w:gridCol w:w="238"/>
        <w:gridCol w:w="120"/>
        <w:gridCol w:w="120"/>
        <w:gridCol w:w="190"/>
        <w:gridCol w:w="1129"/>
        <w:gridCol w:w="190"/>
        <w:gridCol w:w="190"/>
        <w:gridCol w:w="229"/>
        <w:gridCol w:w="887"/>
        <w:gridCol w:w="323"/>
      </w:tblGrid>
      <w:tr>
        <w:trPr/>
        <w:tc>
          <w:tcPr>
            <w:tcW w:w="288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88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8" w:type="dxa"/>
            <w:gridSpan w:val="16"/>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Impact from Items Affecting Comparability</w:t>
            </w:r>
          </w:p>
        </w:tc>
      </w:tr>
      <w:tr>
        <w:trPr/>
        <w:tc>
          <w:tcPr>
            <w:tcW w:w="2881" w:type="dxa"/>
            <w:tcBorders/>
            <w:vAlign w:val="center"/>
          </w:tcPr>
          <w:p>
            <w:pPr>
              <w:pStyle w:val="TableContents"/>
              <w:bidi w:val="0"/>
              <w:spacing w:before="0" w:after="283"/>
              <w:jc w:val="left"/>
              <w:rPr>
                <w:sz w:val="4"/>
                <w:szCs w:val="4"/>
              </w:rPr>
            </w:pPr>
            <w:r>
              <w:rPr>
                <w:sz w:val="4"/>
                <w:szCs w:val="4"/>
              </w:rPr>
            </w:r>
          </w:p>
        </w:tc>
        <w:tc>
          <w:tcPr>
            <w:tcW w:w="6638" w:type="dxa"/>
            <w:gridSpan w:val="16"/>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r>
      <w:tr>
        <w:trPr/>
        <w:tc>
          <w:tcPr>
            <w:tcW w:w="2881" w:type="dxa"/>
            <w:tcBorders/>
            <w:vAlign w:val="center"/>
          </w:tcPr>
          <w:p>
            <w:pPr>
              <w:pStyle w:val="TableContents"/>
              <w:bidi w:val="0"/>
              <w:spacing w:before="0" w:after="283"/>
              <w:jc w:val="left"/>
              <w:rPr>
                <w:sz w:val="4"/>
                <w:szCs w:val="4"/>
              </w:rPr>
            </w:pPr>
            <w:r>
              <w:rPr>
                <w:sz w:val="4"/>
                <w:szCs w:val="4"/>
              </w:rPr>
            </w:r>
          </w:p>
        </w:tc>
        <w:tc>
          <w:tcPr>
            <w:tcW w:w="3260"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June 30, 2026</w:t>
            </w:r>
          </w:p>
        </w:tc>
        <w:tc>
          <w:tcPr>
            <w:tcW w:w="1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Six Months Ended June 30, 2026</w:t>
            </w:r>
          </w:p>
        </w:tc>
      </w:tr>
      <w:tr>
        <w:trPr/>
        <w:tc>
          <w:tcPr>
            <w:tcW w:w="28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Earnings (Loss)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Before Income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Taxes</w:t>
            </w:r>
          </w:p>
        </w:tc>
        <w:tc>
          <w:tcPr>
            <w:tcW w:w="2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Benefit from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(Provision for)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c>
          <w:tcPr>
            <w:tcW w:w="1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Earnings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(Loss) Before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c>
          <w:tcPr>
            <w:tcW w:w="1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Benefit from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(Provision for)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r>
      <w:tr>
        <w:trPr/>
        <w:tc>
          <w:tcPr>
            <w:tcW w:w="288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Restructuring charges (Note </w:t>
            </w:r>
            <w:r>
              <w:rPr>
                <w:rFonts w:ascii="Times New Roman;serif" w:hAnsi="Times New Roman;serif"/>
                <w:b w:val="false"/>
                <w:i w:val="false"/>
                <w:caps w:val="false"/>
                <w:smallCaps w:val="false"/>
                <w:strike w:val="false"/>
                <w:dstrike w:val="false"/>
                <w:sz w:val="20"/>
                <w:u w:val="none"/>
                <w:effect w:val="none"/>
              </w:rPr>
              <w:t>4</w:t>
            </w:r>
            <w:r>
              <w:rPr>
                <w:rFonts w:ascii="Times New Roman;serif" w:hAnsi="Times New Roman;serif"/>
                <w:b w:val="false"/>
                <w:i w:val="false"/>
                <w:caps w:val="false"/>
                <w:smallCaps w:val="false"/>
                <w:sz w:val="20"/>
              </w:rPr>
              <w:t>)</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32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Transaction-related items (Note </w:t>
            </w:r>
            <w:r>
              <w:rPr>
                <w:rFonts w:ascii="Times New Roman;serif" w:hAnsi="Times New Roman;serif"/>
                <w:b w:val="false"/>
                <w:i w:val="false"/>
                <w:caps w:val="false"/>
                <w:smallCaps w:val="false"/>
                <w:strike w:val="false"/>
                <w:dstrike w:val="false"/>
                <w:sz w:val="20"/>
                <w:u w:val="none"/>
                <w:effect w:val="none"/>
              </w:rPr>
              <w:t>4</w:t>
            </w:r>
            <w:r>
              <w:rPr>
                <w:rFonts w:ascii="Times New Roman;serif" w:hAnsi="Times New Roman;serif"/>
                <w:b w:val="false"/>
                <w:i w:val="false"/>
                <w:caps w:val="false"/>
                <w:smallCaps w:val="false"/>
                <w:sz w:val="20"/>
              </w:rPr>
              <w:t>)</w:t>
            </w:r>
          </w:p>
        </w:tc>
        <w:tc>
          <w:tcPr>
            <w:tcW w:w="2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w:t>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2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w:t>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323"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discrete tax benefit</w:t>
            </w:r>
          </w:p>
        </w:tc>
        <w:tc>
          <w:tcPr>
            <w:tcW w:w="2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8"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c>
          <w:tcPr>
            <w:tcW w:w="2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23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9"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c>
          <w:tcPr>
            <w:tcW w:w="19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32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n/a - not applicable</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For the three and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(Predecessor), we recorded a provision for income taxes of $50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and $150 million, reflecting an effective income tax rate of 28.1%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29.3%, respectively. Included in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provision for income taxes are the following items identified as affecting the comparability of our results, which in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aggregate increased our effective income tax rate by 2.9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percentage points and 3.0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percentage points for their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respective periods.</w:t>
      </w:r>
    </w:p>
    <w:tbl>
      <w:tblPr>
        <w:tblW w:w="9367" w:type="dxa"/>
        <w:jc w:val="left"/>
        <w:tblInd w:w="0" w:type="dxa"/>
        <w:tblLayout w:type="fixed"/>
        <w:tblCellMar>
          <w:top w:w="28" w:type="dxa"/>
          <w:left w:w="28" w:type="dxa"/>
          <w:bottom w:w="28" w:type="dxa"/>
          <w:right w:w="28" w:type="dxa"/>
        </w:tblCellMar>
      </w:tblPr>
      <w:tblGrid>
        <w:gridCol w:w="2881"/>
        <w:gridCol w:w="206"/>
        <w:gridCol w:w="1230"/>
        <w:gridCol w:w="206"/>
        <w:gridCol w:w="206"/>
        <w:gridCol w:w="231"/>
        <w:gridCol w:w="932"/>
        <w:gridCol w:w="231"/>
        <w:gridCol w:w="122"/>
        <w:gridCol w:w="187"/>
        <w:gridCol w:w="1121"/>
        <w:gridCol w:w="187"/>
        <w:gridCol w:w="187"/>
        <w:gridCol w:w="222"/>
        <w:gridCol w:w="901"/>
        <w:gridCol w:w="317"/>
      </w:tblGrid>
      <w:tr>
        <w:trPr/>
        <w:tc>
          <w:tcPr>
            <w:tcW w:w="28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88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6" w:type="dxa"/>
            <w:gridSpan w:val="15"/>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Impact from Items Affecting Comparability</w:t>
            </w:r>
          </w:p>
        </w:tc>
      </w:tr>
      <w:tr>
        <w:trPr/>
        <w:tc>
          <w:tcPr>
            <w:tcW w:w="2881" w:type="dxa"/>
            <w:tcBorders/>
            <w:vAlign w:val="center"/>
          </w:tcPr>
          <w:p>
            <w:pPr>
              <w:pStyle w:val="TableContents"/>
              <w:bidi w:val="0"/>
              <w:spacing w:before="0" w:after="283"/>
              <w:jc w:val="left"/>
              <w:rPr>
                <w:sz w:val="4"/>
                <w:szCs w:val="4"/>
              </w:rPr>
            </w:pPr>
            <w:r>
              <w:rPr>
                <w:sz w:val="4"/>
                <w:szCs w:val="4"/>
              </w:rPr>
            </w:r>
          </w:p>
        </w:tc>
        <w:tc>
          <w:tcPr>
            <w:tcW w:w="6486" w:type="dxa"/>
            <w:gridSpan w:val="15"/>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r>
      <w:tr>
        <w:trPr/>
        <w:tc>
          <w:tcPr>
            <w:tcW w:w="2881" w:type="dxa"/>
            <w:tcBorders/>
            <w:vAlign w:val="center"/>
          </w:tcPr>
          <w:p>
            <w:pPr>
              <w:pStyle w:val="TableContents"/>
              <w:bidi w:val="0"/>
              <w:spacing w:before="0" w:after="283"/>
              <w:jc w:val="left"/>
              <w:rPr>
                <w:sz w:val="4"/>
                <w:szCs w:val="4"/>
              </w:rPr>
            </w:pPr>
            <w:r>
              <w:rPr>
                <w:sz w:val="4"/>
                <w:szCs w:val="4"/>
              </w:rPr>
            </w:r>
          </w:p>
        </w:tc>
        <w:tc>
          <w:tcPr>
            <w:tcW w:w="3242"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June 30, 2025</w:t>
            </w:r>
          </w:p>
        </w:tc>
        <w:tc>
          <w:tcPr>
            <w:tcW w:w="1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Six Months Ended June 30, 2025</w:t>
            </w:r>
          </w:p>
        </w:tc>
      </w:tr>
      <w:tr>
        <w:trPr/>
        <w:tc>
          <w:tcPr>
            <w:tcW w:w="28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Earnings (Loss)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Before Income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Taxes</w:t>
            </w:r>
          </w:p>
        </w:tc>
        <w:tc>
          <w:tcPr>
            <w:tcW w:w="2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Benefit from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(Provision for)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c>
          <w:tcPr>
            <w:tcW w:w="12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Earnings (Loss)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Before Income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Taxes</w:t>
            </w:r>
          </w:p>
        </w:tc>
        <w:tc>
          <w:tcPr>
            <w:tcW w:w="18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Benefit from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(Provision for)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r>
      <w:tr>
        <w:trPr/>
        <w:tc>
          <w:tcPr>
            <w:tcW w:w="288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Impairment charges (Note 15)</w:t>
            </w:r>
          </w:p>
        </w:tc>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w:t>
            </w:r>
          </w:p>
        </w:tc>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w:t>
            </w:r>
          </w:p>
        </w:tc>
        <w:tc>
          <w:tcPr>
            <w:tcW w:w="1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31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Restructuring charges (Note </w:t>
            </w:r>
            <w:r>
              <w:rPr>
                <w:rFonts w:ascii="Times New Roman;serif" w:hAnsi="Times New Roman;serif"/>
                <w:b w:val="false"/>
                <w:i w:val="false"/>
                <w:caps w:val="false"/>
                <w:smallCaps w:val="false"/>
                <w:strike w:val="false"/>
                <w:dstrike w:val="false"/>
                <w:sz w:val="20"/>
                <w:u w:val="none"/>
                <w:effect w:val="none"/>
              </w:rPr>
              <w:t>4</w:t>
            </w:r>
            <w:r>
              <w:rPr>
                <w:rFonts w:ascii="Times New Roman;serif" w:hAnsi="Times New Roman;serif"/>
                <w:b w:val="false"/>
                <w:i w:val="false"/>
                <w:caps w:val="false"/>
                <w:smallCaps w:val="false"/>
                <w:sz w:val="20"/>
              </w:rPr>
              <w:t>)</w:t>
            </w:r>
          </w:p>
        </w:tc>
        <w:tc>
          <w:tcPr>
            <w:tcW w:w="20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2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$(242)</w:t>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w:t>
            </w:r>
          </w:p>
        </w:tc>
        <w:tc>
          <w:tcPr>
            <w:tcW w:w="317" w:type="dxa"/>
            <w:tcBorders/>
            <w:vAlign w:val="center"/>
          </w:tcPr>
          <w:p>
            <w:pPr>
              <w:pStyle w:val="TableContents"/>
              <w:bidi w:val="0"/>
              <w:spacing w:before="0" w:after="283"/>
              <w:jc w:val="left"/>
              <w:rPr>
                <w:sz w:val="4"/>
                <w:szCs w:val="4"/>
              </w:rPr>
            </w:pPr>
            <w:r>
              <w:rPr>
                <w:sz w:val="4"/>
                <w:szCs w:val="4"/>
              </w:rPr>
            </w:r>
          </w:p>
        </w:tc>
      </w:tr>
      <w:tr>
        <w:trPr/>
        <w:tc>
          <w:tcPr>
            <w:tcW w:w="28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Transaction-related items (Note 4)</w:t>
            </w:r>
          </w:p>
        </w:tc>
        <w:tc>
          <w:tcPr>
            <w:tcW w:w="20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2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317" w:type="dxa"/>
            <w:tcBorders/>
            <w:vAlign w:val="center"/>
          </w:tcPr>
          <w:p>
            <w:pPr>
              <w:pStyle w:val="TableContents"/>
              <w:bidi w:val="0"/>
              <w:spacing w:before="0" w:after="283"/>
              <w:jc w:val="left"/>
              <w:rPr>
                <w:sz w:val="4"/>
                <w:szCs w:val="4"/>
              </w:rPr>
            </w:pPr>
            <w:r>
              <w:rPr>
                <w:sz w:val="4"/>
                <w:szCs w:val="4"/>
              </w:rPr>
            </w:r>
          </w:p>
        </w:tc>
      </w:tr>
      <w:tr>
        <w:trPr/>
        <w:tc>
          <w:tcPr>
            <w:tcW w:w="28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Gain from dispositions</w:t>
            </w:r>
          </w:p>
        </w:tc>
        <w:tc>
          <w:tcPr>
            <w:tcW w:w="20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2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317"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discrete tax provision</w:t>
            </w:r>
          </w:p>
        </w:tc>
        <w:tc>
          <w:tcPr>
            <w:tcW w:w="20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c>
          <w:tcPr>
            <w:tcW w:w="20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231"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c>
          <w:tcPr>
            <w:tcW w:w="187"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317"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n/a - not applicable</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On July 10, 2026, the Company received Notices of Proposed Adjustment (“NOPAs”) from the Internal Revenue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Service for legacy Viacom Inc.’s 2017, 2018, and 2019 tax years regarding the tax treatment of certain transactions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between our subsidiaries.  The proposed adjustments could increase taxes, including the one-time transition tax 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cumulative foreign earnings, by up to approximately $400 million, excluding any penalties and interest that may be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due.  The Company disagrees with the proposed adjustments and is evaluating its options, including contesting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NOPAs through all available administrative and, if necessary, judicial proceedings.  As the NOPAs were received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after the balance sheet date, changes in measurement of the tax position, if any, will be accounted for in the third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quarter of 2026.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Times New Roman;serif" w:hAnsi="Times New Roman;serif"/>
          <w:b/>
          <w:i w:val="false"/>
          <w:caps w:val="false"/>
          <w:smallCaps w:val="false"/>
          <w:strike w:val="false"/>
          <w:dstrike w:val="false"/>
          <w:sz w:val="22"/>
          <w:u w:val="none"/>
          <w:effect w:val="none"/>
        </w:rPr>
        <w:t>12) PENSION AND OTHER POSTRETIREMENT BENEFITS</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following tables present the components of net periodic cost for our pension and postretirement benefit plans,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which are included within “Other items, net” on the Consolidated Statements of Operations.</w:t>
      </w:r>
    </w:p>
    <w:tbl>
      <w:tblPr>
        <w:tblW w:w="10032" w:type="dxa"/>
        <w:jc w:val="left"/>
        <w:tblInd w:w="0" w:type="dxa"/>
        <w:tblLayout w:type="fixed"/>
        <w:tblCellMar>
          <w:top w:w="28" w:type="dxa"/>
          <w:left w:w="28" w:type="dxa"/>
          <w:bottom w:w="28" w:type="dxa"/>
          <w:right w:w="28" w:type="dxa"/>
        </w:tblCellMar>
      </w:tblPr>
      <w:tblGrid>
        <w:gridCol w:w="2431"/>
        <w:gridCol w:w="222"/>
        <w:gridCol w:w="858"/>
        <w:gridCol w:w="224"/>
        <w:gridCol w:w="109"/>
        <w:gridCol w:w="1006"/>
        <w:gridCol w:w="207"/>
        <w:gridCol w:w="887"/>
        <w:gridCol w:w="210"/>
        <w:gridCol w:w="109"/>
        <w:gridCol w:w="251"/>
        <w:gridCol w:w="800"/>
        <w:gridCol w:w="253"/>
        <w:gridCol w:w="109"/>
        <w:gridCol w:w="1006"/>
        <w:gridCol w:w="201"/>
        <w:gridCol w:w="863"/>
        <w:gridCol w:w="286"/>
      </w:tblGrid>
      <w:tr>
        <w:trPr/>
        <w:tc>
          <w:tcPr>
            <w:tcW w:w="24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43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Pension Benefits</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9"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Postretirement Benefits</w:t>
            </w:r>
          </w:p>
        </w:tc>
      </w:tr>
      <w:tr>
        <w:trPr/>
        <w:tc>
          <w:tcPr>
            <w:tcW w:w="2431"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24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2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3"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2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Components of net periodic </w:t>
            </w:r>
          </w:p>
          <w:p>
            <w:pPr>
              <w:pStyle w:val="TableContents"/>
              <w:bidi w:val="0"/>
              <w:spacing w:lineRule="atLeast" w:line="200" w:before="0" w:after="0"/>
              <w:jc w:val="left"/>
              <w:rPr/>
            </w:pPr>
            <w:r>
              <w:rPr>
                <w:caps w:val="false"/>
                <w:smallCaps w:val="false"/>
              </w:rPr>
              <w:t xml:space="preserve">  </w:t>
            </w:r>
            <w:r>
              <w:rPr>
                <w:rFonts w:ascii="Times New Roman;serif" w:hAnsi="Times New Roman;serif"/>
                <w:b w:val="false"/>
                <w:i w:val="false"/>
                <w:caps w:val="false"/>
                <w:smallCaps w:val="false"/>
                <w:sz w:val="20"/>
              </w:rPr>
              <w:t xml:space="preserve">cost </w:t>
            </w:r>
            <w:r>
              <w:rPr>
                <w:rFonts w:ascii="Times New Roman;serif" w:hAnsi="Times New Roman;serif"/>
                <w:b w:val="false"/>
                <w:i w:val="false"/>
                <w:caps w:val="false"/>
                <w:smallCaps w:val="false"/>
                <w:sz w:val="13"/>
              </w:rPr>
              <w:t>(a)</w:t>
            </w:r>
            <w:r>
              <w:rPr>
                <w:rFonts w:ascii="Times New Roman;serif" w:hAnsi="Times New Roman;serif"/>
                <w:b w:val="false"/>
                <w:i w:val="false"/>
                <w:caps w:val="false"/>
                <w:smallCaps w:val="false"/>
                <w:sz w:val="20"/>
              </w:rPr>
              <w:t>:</w:t>
            </w:r>
          </w:p>
        </w:tc>
        <w:tc>
          <w:tcPr>
            <w:tcW w:w="2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cost</w:t>
            </w:r>
          </w:p>
        </w:tc>
        <w:tc>
          <w:tcPr>
            <w:tcW w:w="2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w:t>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286"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Expected return on plan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assets</w:t>
            </w:r>
          </w:p>
        </w:tc>
        <w:tc>
          <w:tcPr>
            <w:tcW w:w="2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86"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Amortization of actuarial </w:t>
            </w:r>
          </w:p>
          <w:p>
            <w:pPr>
              <w:pStyle w:val="TableContents"/>
              <w:bidi w:val="0"/>
              <w:spacing w:lineRule="atLeast" w:line="200" w:before="0" w:after="0"/>
              <w:jc w:val="left"/>
              <w:rPr/>
            </w:pPr>
            <w:r>
              <w:rPr>
                <w:caps w:val="false"/>
                <w:smallCaps w:val="false"/>
              </w:rPr>
              <w:t xml:space="preserve">  </w:t>
            </w:r>
            <w:r>
              <w:rPr>
                <w:rFonts w:ascii="Times New Roman;serif" w:hAnsi="Times New Roman;serif"/>
                <w:b w:val="false"/>
                <w:i w:val="false"/>
                <w:caps w:val="false"/>
                <w:smallCaps w:val="false"/>
                <w:sz w:val="20"/>
              </w:rPr>
              <w:t>loss (gain) </w:t>
            </w:r>
            <w:r>
              <w:rPr>
                <w:rFonts w:ascii="Times New Roman;serif" w:hAnsi="Times New Roman;serif"/>
                <w:b w:val="false"/>
                <w:i w:val="false"/>
                <w:caps w:val="false"/>
                <w:smallCaps w:val="false"/>
                <w:sz w:val="13"/>
              </w:rPr>
              <w:t>(b)</w:t>
            </w:r>
          </w:p>
        </w:tc>
        <w:tc>
          <w:tcPr>
            <w:tcW w:w="22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2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3"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2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periodic cost</w:t>
            </w:r>
          </w:p>
        </w:tc>
        <w:tc>
          <w:tcPr>
            <w:tcW w:w="22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22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w:t>
            </w:r>
          </w:p>
        </w:tc>
        <w:tc>
          <w:tcPr>
            <w:tcW w:w="21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25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3"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28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824"/>
        <w:gridCol w:w="183"/>
        <w:gridCol w:w="889"/>
        <w:gridCol w:w="185"/>
        <w:gridCol w:w="109"/>
        <w:gridCol w:w="1006"/>
        <w:gridCol w:w="210"/>
        <w:gridCol w:w="818"/>
        <w:gridCol w:w="212"/>
        <w:gridCol w:w="109"/>
        <w:gridCol w:w="241"/>
        <w:gridCol w:w="770"/>
        <w:gridCol w:w="243"/>
        <w:gridCol w:w="109"/>
        <w:gridCol w:w="1006"/>
        <w:gridCol w:w="219"/>
        <w:gridCol w:w="755"/>
        <w:gridCol w:w="317"/>
      </w:tblGrid>
      <w:tr>
        <w:trPr/>
        <w:tc>
          <w:tcPr>
            <w:tcW w:w="282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82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Pension Benefits</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Postretirement Benefits</w:t>
            </w:r>
          </w:p>
        </w:tc>
      </w:tr>
      <w:tr>
        <w:trPr/>
        <w:tc>
          <w:tcPr>
            <w:tcW w:w="2824" w:type="dxa"/>
            <w:tcBorders/>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24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2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tcBorders/>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28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282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Components of net periodic cost </w:t>
            </w:r>
            <w:r>
              <w:rPr>
                <w:rFonts w:ascii="Times New Roman;serif" w:hAnsi="Times New Roman;serif"/>
                <w:b w:val="false"/>
                <w:i w:val="false"/>
                <w:caps w:val="false"/>
                <w:smallCaps w:val="false"/>
                <w:sz w:val="13"/>
              </w:rPr>
              <w:t>(a)</w:t>
            </w:r>
            <w:r>
              <w:rPr>
                <w:rFonts w:ascii="Times New Roman;serif" w:hAnsi="Times New Roman;serif"/>
                <w:b w:val="false"/>
                <w:i w:val="false"/>
                <w:caps w:val="false"/>
                <w:smallCaps w:val="false"/>
                <w:sz w:val="20"/>
              </w:rPr>
              <w:t>:</w:t>
            </w:r>
          </w:p>
        </w:tc>
        <w:tc>
          <w:tcPr>
            <w:tcW w:w="1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cost</w:t>
            </w:r>
          </w:p>
        </w:tc>
        <w:tc>
          <w:tcPr>
            <w:tcW w:w="1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w:t>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317" w:type="dxa"/>
            <w:tcBorders/>
            <w:vAlign w:val="center"/>
          </w:tcPr>
          <w:p>
            <w:pPr>
              <w:pStyle w:val="TableContents"/>
              <w:bidi w:val="0"/>
              <w:spacing w:before="0" w:after="283"/>
              <w:jc w:val="left"/>
              <w:rPr>
                <w:sz w:val="4"/>
                <w:szCs w:val="4"/>
              </w:rPr>
            </w:pPr>
            <w:r>
              <w:rPr>
                <w:sz w:val="4"/>
                <w:szCs w:val="4"/>
              </w:rPr>
            </w:r>
          </w:p>
        </w:tc>
      </w:tr>
      <w:tr>
        <w:trPr/>
        <w:tc>
          <w:tcPr>
            <w:tcW w:w="28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Expected return on plan assets</w:t>
            </w:r>
          </w:p>
        </w:tc>
        <w:tc>
          <w:tcPr>
            <w:tcW w:w="1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w:t>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17" w:type="dxa"/>
            <w:tcBorders/>
            <w:vAlign w:val="center"/>
          </w:tcPr>
          <w:p>
            <w:pPr>
              <w:pStyle w:val="TableContents"/>
              <w:bidi w:val="0"/>
              <w:spacing w:before="0" w:after="283"/>
              <w:jc w:val="left"/>
              <w:rPr>
                <w:sz w:val="4"/>
                <w:szCs w:val="4"/>
              </w:rPr>
            </w:pPr>
            <w:r>
              <w:rPr>
                <w:sz w:val="4"/>
                <w:szCs w:val="4"/>
              </w:rPr>
            </w:r>
          </w:p>
        </w:tc>
      </w:tr>
      <w:tr>
        <w:trPr/>
        <w:tc>
          <w:tcPr>
            <w:tcW w:w="282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Amortization of actuarial </w:t>
            </w:r>
          </w:p>
          <w:p>
            <w:pPr>
              <w:pStyle w:val="TableContents"/>
              <w:bidi w:val="0"/>
              <w:spacing w:lineRule="atLeast" w:line="200" w:before="0" w:after="0"/>
              <w:jc w:val="left"/>
              <w:rPr/>
            </w:pPr>
            <w:r>
              <w:rPr>
                <w:caps w:val="false"/>
                <w:smallCaps w:val="false"/>
              </w:rPr>
              <w:t xml:space="preserve">  </w:t>
            </w:r>
            <w:r>
              <w:rPr>
                <w:rFonts w:ascii="Times New Roman;serif" w:hAnsi="Times New Roman;serif"/>
                <w:b w:val="false"/>
                <w:i w:val="false"/>
                <w:caps w:val="false"/>
                <w:smallCaps w:val="false"/>
                <w:sz w:val="20"/>
              </w:rPr>
              <w:t>loss (gain) </w:t>
            </w:r>
            <w:r>
              <w:rPr>
                <w:rFonts w:ascii="Times New Roman;serif" w:hAnsi="Times New Roman;serif"/>
                <w:b w:val="false"/>
                <w:i w:val="false"/>
                <w:caps w:val="false"/>
                <w:smallCaps w:val="false"/>
                <w:sz w:val="13"/>
              </w:rPr>
              <w:t>(b)</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21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31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periodic cost</w:t>
            </w:r>
          </w:p>
        </w:tc>
        <w:tc>
          <w:tcPr>
            <w:tcW w:w="18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c>
          <w:tcPr>
            <w:tcW w:w="18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w:t>
            </w:r>
          </w:p>
        </w:tc>
        <w:tc>
          <w:tcPr>
            <w:tcW w:w="21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24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31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(a) Amounts reflect our domestic plans only.</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(b) Reflects amounts reclassified from accumulated other comprehensive loss to net earnings (loss).</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Times New Roman;serif" w:hAnsi="Times New Roman;serif"/>
          <w:b/>
          <w:i w:val="false"/>
          <w:caps w:val="false"/>
          <w:smallCaps w:val="false"/>
          <w:strike w:val="false"/>
          <w:dstrike w:val="false"/>
          <w:sz w:val="22"/>
          <w:u w:val="none"/>
          <w:effect w:val="none"/>
        </w:rPr>
        <w:t>13) SEGMENT INFORMATION</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tables below set forth our financial information by reportable segment that is regularly reviewed by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Company’s chief operating decision maker (“CODM”), who is the Company’s Chief Strategy Officer and Chief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Operating Officer, Andrew Brandon-Gordon. Beginning in 2026, we transitioned our reporting structure into three</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 xml:space="preserve">new segments: </w:t>
      </w:r>
      <w:r>
        <w:rPr>
          <w:rFonts w:ascii="Times New Roman;serif" w:hAnsi="Times New Roman;serif"/>
          <w:b w:val="false"/>
          <w:i/>
          <w:strike w:val="false"/>
          <w:dstrike w:val="false"/>
          <w:sz w:val="22"/>
          <w:u w:val="none"/>
          <w:effect w:val="none"/>
        </w:rPr>
        <w:t>Studios</w:t>
      </w:r>
      <w:r>
        <w:rPr>
          <w:rFonts w:ascii="Times New Roman;serif" w:hAnsi="Times New Roman;serif"/>
          <w:b w:val="false"/>
          <w:i w:val="false"/>
          <w:caps w:val="false"/>
          <w:smallCaps w:val="false"/>
          <w:strike w:val="false"/>
          <w:dstrike w:val="false"/>
          <w:sz w:val="22"/>
          <w:u w:val="none"/>
          <w:effect w:val="none"/>
        </w:rPr>
        <w:t>,</w:t>
      </w:r>
      <w:r>
        <w:rPr>
          <w:strike w:val="false"/>
          <w:dstrike w:val="false"/>
          <w:sz w:val="24"/>
          <w:u w:val="none"/>
          <w:effect w:val="none"/>
        </w:rPr>
        <w:t xml:space="preserve"> </w:t>
      </w:r>
      <w:r>
        <w:rPr>
          <w:rFonts w:ascii="Times New Roman;serif" w:hAnsi="Times New Roman;serif"/>
          <w:b w:val="false"/>
          <w:i/>
          <w:strike w:val="false"/>
          <w:dstrike w:val="false"/>
          <w:sz w:val="22"/>
          <w:u w:val="none"/>
          <w:effect w:val="none"/>
        </w:rPr>
        <w:t>Direct-to-Consumer</w:t>
      </w:r>
      <w:r>
        <w:rPr>
          <w:rFonts w:ascii="Times New Roman;serif" w:hAnsi="Times New Roman;serif"/>
          <w:b w:val="false"/>
          <w:i w:val="false"/>
          <w:caps w:val="false"/>
          <w:smallCaps w:val="false"/>
          <w:strike w:val="false"/>
          <w:dstrike w:val="false"/>
          <w:sz w:val="22"/>
          <w:u w:val="none"/>
          <w:effect w:val="none"/>
        </w:rPr>
        <w:t xml:space="preserve">, and </w:t>
      </w:r>
      <w:r>
        <w:rPr>
          <w:rFonts w:ascii="Times New Roman;serif" w:hAnsi="Times New Roman;serif"/>
          <w:b w:val="false"/>
          <w:i/>
          <w:strike w:val="false"/>
          <w:dstrike w:val="false"/>
          <w:sz w:val="22"/>
          <w:u w:val="none"/>
          <w:effect w:val="none"/>
        </w:rPr>
        <w:t>TV Media</w:t>
      </w:r>
      <w:r>
        <w:rPr>
          <w:rFonts w:ascii="Times New Roman;serif" w:hAnsi="Times New Roman;serif"/>
          <w:b w:val="false"/>
          <w:i w:val="false"/>
          <w:caps w:val="false"/>
          <w:smallCaps w:val="false"/>
          <w:strike w:val="false"/>
          <w:dstrike w:val="false"/>
          <w:sz w:val="22"/>
          <w:u w:val="none"/>
          <w:effect w:val="none"/>
        </w:rPr>
        <w:t xml:space="preserve">. Under the new segment structure, our </w:t>
      </w:r>
      <w:r>
        <w:rPr>
          <w:rFonts w:ascii="Times New Roman;serif" w:hAnsi="Times New Roman;serif"/>
          <w:b w:val="false"/>
          <w:i/>
          <w:strike w:val="false"/>
          <w:dstrike w:val="false"/>
          <w:sz w:val="22"/>
          <w:u w:val="none"/>
          <w:effect w:val="none"/>
        </w:rPr>
        <w:t>Studios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segment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 xml:space="preserve">reflects the combination of the historical </w:t>
      </w:r>
      <w:r>
        <w:rPr>
          <w:rFonts w:ascii="Times New Roman;serif" w:hAnsi="Times New Roman;serif"/>
          <w:b w:val="false"/>
          <w:i/>
          <w:strike w:val="false"/>
          <w:dstrike w:val="false"/>
          <w:sz w:val="22"/>
          <w:u w:val="none"/>
          <w:effect w:val="none"/>
        </w:rPr>
        <w:t>Filmed Entertainment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segment with the historical </w:t>
      </w:r>
      <w:r>
        <w:rPr>
          <w:rFonts w:ascii="Times New Roman;serif" w:hAnsi="Times New Roman;serif"/>
          <w:b w:val="false"/>
          <w:i/>
          <w:strike w:val="false"/>
          <w:dstrike w:val="false"/>
          <w:sz w:val="22"/>
          <w:u w:val="none"/>
          <w:effect w:val="none"/>
        </w:rPr>
        <w:t>TV Media</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studio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operations, consolidating our content creation activities. Additionally, our premium cable channel, Paramount+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 xml:space="preserve">with Showtime, which was previously under the </w:t>
      </w:r>
      <w:r>
        <w:rPr>
          <w:rFonts w:ascii="Times New Roman;serif" w:hAnsi="Times New Roman;serif"/>
          <w:b w:val="false"/>
          <w:i/>
          <w:strike w:val="false"/>
          <w:dstrike w:val="false"/>
          <w:sz w:val="22"/>
          <w:u w:val="none"/>
          <w:effect w:val="none"/>
        </w:rPr>
        <w:t>TV Media</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segment, is now managed under the </w:t>
      </w:r>
      <w:r>
        <w:rPr>
          <w:rFonts w:ascii="Times New Roman;serif" w:hAnsi="Times New Roman;serif"/>
          <w:b w:val="false"/>
          <w:i/>
          <w:strike w:val="false"/>
          <w:dstrike w:val="false"/>
          <w:sz w:val="22"/>
          <w:u w:val="none"/>
          <w:effect w:val="none"/>
        </w:rPr>
        <w:t>Direct-to-</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 xml:space="preserve">Consumer </w:t>
      </w:r>
      <w:r>
        <w:rPr>
          <w:rFonts w:ascii="Times New Roman;serif" w:hAnsi="Times New Roman;serif"/>
          <w:b w:val="false"/>
          <w:i w:val="false"/>
          <w:caps w:val="false"/>
          <w:smallCaps w:val="false"/>
          <w:strike w:val="false"/>
          <w:dstrike w:val="false"/>
          <w:sz w:val="22"/>
          <w:u w:val="none"/>
          <w:effect w:val="none"/>
        </w:rPr>
        <w:t xml:space="preserve">segment. Concurrent with the change to our segments, we updated our segment expense allocations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better reflect how we operate and make cost decisions across the business. Certain centralized costs that were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previously allocated at the segment level are now reported within corporate expenses.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As a result of the new accounting basis established in connection with the Skydance Transactions and NAI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Transaction on August 7, 2025, which makes our results of operations not comparable between the Successor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Predecessor periods (see Note 1), we are required to present segment information for the periods prior to August 7,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 xml:space="preserve">2025 based on our previous segments, </w:t>
      </w:r>
      <w:r>
        <w:rPr>
          <w:rFonts w:ascii="Times New Roman;serif" w:hAnsi="Times New Roman;serif"/>
          <w:b w:val="false"/>
          <w:i/>
          <w:strike w:val="false"/>
          <w:dstrike w:val="false"/>
          <w:sz w:val="22"/>
          <w:u w:val="none"/>
          <w:effect w:val="none"/>
        </w:rPr>
        <w:t>Filmed Entertainment</w:t>
      </w:r>
      <w:r>
        <w:rPr>
          <w:rFonts w:ascii="Times New Roman;serif" w:hAnsi="Times New Roman;serif"/>
          <w:b w:val="false"/>
          <w:i w:val="false"/>
          <w:caps w:val="false"/>
          <w:smallCaps w:val="false"/>
          <w:strike w:val="false"/>
          <w:dstrike w:val="false"/>
          <w:sz w:val="22"/>
          <w:u w:val="none"/>
          <w:effect w:val="none"/>
        </w:rPr>
        <w:t>,</w:t>
      </w:r>
      <w:r>
        <w:rPr>
          <w:strike w:val="false"/>
          <w:dstrike w:val="false"/>
          <w:sz w:val="24"/>
          <w:u w:val="none"/>
          <w:effect w:val="none"/>
        </w:rPr>
        <w:t xml:space="preserve"> </w:t>
      </w:r>
      <w:r>
        <w:rPr>
          <w:rFonts w:ascii="Times New Roman;serif" w:hAnsi="Times New Roman;serif"/>
          <w:b w:val="false"/>
          <w:i/>
          <w:strike w:val="false"/>
          <w:dstrike w:val="false"/>
          <w:sz w:val="22"/>
          <w:u w:val="none"/>
          <w:effect w:val="none"/>
        </w:rPr>
        <w:t xml:space="preserve">Direct-to-Consumer, </w:t>
      </w:r>
      <w:r>
        <w:rPr>
          <w:rFonts w:ascii="Times New Roman;serif" w:hAnsi="Times New Roman;serif"/>
          <w:b w:val="false"/>
          <w:i w:val="false"/>
          <w:caps w:val="false"/>
          <w:smallCaps w:val="false"/>
          <w:strike w:val="false"/>
          <w:dstrike w:val="false"/>
          <w:sz w:val="22"/>
          <w:u w:val="none"/>
          <w:effect w:val="none"/>
        </w:rPr>
        <w:t xml:space="preserve">and </w:t>
      </w:r>
      <w:r>
        <w:rPr>
          <w:rFonts w:ascii="Times New Roman;serif" w:hAnsi="Times New Roman;serif"/>
          <w:b w:val="false"/>
          <w:i/>
          <w:strike w:val="false"/>
          <w:dstrike w:val="false"/>
          <w:sz w:val="22"/>
          <w:u w:val="none"/>
          <w:effect w:val="none"/>
        </w:rPr>
        <w:t>TV Media</w:t>
      </w:r>
      <w:r>
        <w:rPr>
          <w:rFonts w:ascii="Times New Roman;serif" w:hAnsi="Times New Roman;serif"/>
          <w:b w:val="false"/>
          <w:i w:val="false"/>
          <w:caps w:val="false"/>
          <w:smallCaps w:val="false"/>
          <w:strike w:val="false"/>
          <w:dstrike w:val="false"/>
          <w:sz w:val="22"/>
          <w:u w:val="none"/>
          <w:effect w:val="none"/>
        </w:rPr>
        <w:t xml:space="preserve">. </w:t>
      </w:r>
    </w:p>
    <w:p>
      <w:pPr>
        <w:pStyle w:val="TextBody"/>
        <w:bidi w:val="0"/>
        <w:spacing w:lineRule="atLeast" w:line="220" w:before="0" w:after="0"/>
        <w:jc w:val="left"/>
        <w:rPr/>
      </w:pPr>
      <w:r>
        <w:rPr>
          <w:caps w:val="false"/>
          <w:smallCaps w:val="false"/>
          <w:strike w:val="false"/>
          <w:dstrike w:val="false"/>
          <w:u w:val="none"/>
          <w:effect w:val="none"/>
        </w:rPr>
        <w:t>•</w:t>
      </w:r>
      <w:r>
        <w:rPr>
          <w:rFonts w:ascii="Times New Roman;serif" w:hAnsi="Times New Roman;serif"/>
          <w:b w:val="false"/>
          <w:i/>
          <w:strike w:val="false"/>
          <w:dstrike w:val="false"/>
          <w:sz w:val="22"/>
          <w:u w:val="none"/>
          <w:effect w:val="none"/>
        </w:rPr>
        <w:t>Studios</w:t>
      </w:r>
      <w:r>
        <w:rPr>
          <w:strike w:val="false"/>
          <w:dstrike w:val="false"/>
          <w:sz w:val="24"/>
          <w:u w:val="none"/>
          <w:effect w:val="none"/>
        </w:rPr>
        <w:t>—</w:t>
      </w:r>
      <w:r>
        <w:rPr>
          <w:rFonts w:ascii="Times New Roman;serif" w:hAnsi="Times New Roman;serif"/>
          <w:b w:val="false"/>
          <w:i w:val="false"/>
          <w:caps w:val="false"/>
          <w:smallCaps w:val="false"/>
          <w:strike w:val="false"/>
          <w:dstrike w:val="false"/>
          <w:sz w:val="22"/>
          <w:u w:val="none"/>
          <w:effect w:val="none"/>
        </w:rPr>
        <w:t xml:space="preserve">Our </w:t>
      </w:r>
      <w:r>
        <w:rPr>
          <w:rFonts w:ascii="Times New Roman;serif" w:hAnsi="Times New Roman;serif"/>
          <w:b w:val="false"/>
          <w:i/>
          <w:strike w:val="false"/>
          <w:dstrike w:val="false"/>
          <w:sz w:val="22"/>
          <w:u w:val="none"/>
          <w:effect w:val="none"/>
        </w:rPr>
        <w:t>Studios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segment </w:t>
      </w:r>
      <w:r>
        <w:rPr>
          <w:rFonts w:ascii="Times New Roman;serif" w:hAnsi="Times New Roman;serif"/>
          <w:b w:val="false"/>
          <w:i w:val="false"/>
          <w:caps w:val="false"/>
          <w:smallCaps w:val="false"/>
          <w:strike w:val="false"/>
          <w:dstrike w:val="false"/>
          <w:sz w:val="22"/>
          <w:u w:val="none"/>
          <w:effect w:val="none"/>
          <w:shd w:fill="FFFFFF" w:val="clear"/>
        </w:rPr>
        <w:t xml:space="preserve">consists of our television and film studio operations, including CBS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shd w:fill="FFFFFF" w:val="clear"/>
        </w:rPr>
      </w:pPr>
      <w:r>
        <w:rPr>
          <w:rFonts w:ascii="Times New Roman;serif" w:hAnsi="Times New Roman;serif"/>
          <w:b w:val="false"/>
          <w:i w:val="false"/>
          <w:caps w:val="false"/>
          <w:smallCaps w:val="false"/>
          <w:strike w:val="false"/>
          <w:dstrike w:val="false"/>
          <w:sz w:val="22"/>
          <w:u w:val="none"/>
          <w:effect w:val="none"/>
          <w:shd w:fill="FFFFFF" w:val="clear"/>
        </w:rPr>
        <w:t xml:space="preserve">Studios, Paramount Television Studios, Nickelodeon Animation, Paramount Pictures, Paramount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shd w:fill="FFFFFF" w:val="clear"/>
        </w:rPr>
      </w:pPr>
      <w:r>
        <w:rPr>
          <w:rFonts w:ascii="Times New Roman;serif" w:hAnsi="Times New Roman;serif"/>
          <w:b w:val="false"/>
          <w:i w:val="false"/>
          <w:caps w:val="false"/>
          <w:smallCaps w:val="false"/>
          <w:strike w:val="false"/>
          <w:dstrike w:val="false"/>
          <w:sz w:val="22"/>
          <w:u w:val="none"/>
          <w:effect w:val="none"/>
          <w:shd w:fill="FFFFFF" w:val="clear"/>
        </w:rPr>
        <w:t xml:space="preserve">Animation, and Miramax, as well as Skydance Animation, Film, and Television, Paramount Sports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shd w:fill="FFFFFF" w:val="clear"/>
        </w:rPr>
        <w:t xml:space="preserve">Entertainment and Paramount Games Studio. For the Predecessor period, our </w:t>
      </w:r>
      <w:r>
        <w:rPr>
          <w:rFonts w:ascii="Times New Roman;serif" w:hAnsi="Times New Roman;serif"/>
          <w:b w:val="false"/>
          <w:i/>
          <w:strike w:val="false"/>
          <w:dstrike w:val="false"/>
          <w:sz w:val="22"/>
          <w:u w:val="none"/>
          <w:effect w:val="none"/>
          <w:shd w:fill="FFFFFF" w:val="clear"/>
        </w:rPr>
        <w:t>Filmed Entertainment</w:t>
      </w:r>
      <w:r>
        <w:rPr>
          <w:caps w:val="false"/>
          <w:smallCaps w:val="false"/>
          <w:strike w:val="false"/>
          <w:dstrike w:val="false"/>
          <w:sz w:val="24"/>
          <w:u w:val="none"/>
          <w:effect w:val="none"/>
          <w:shd w:fill="FFFFFF" w:val="clear"/>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shd w:fill="FFFFFF" w:val="clear"/>
        </w:rPr>
        <w:t xml:space="preserve">segment was most comparable to our new </w:t>
      </w:r>
      <w:r>
        <w:rPr>
          <w:rFonts w:ascii="Times New Roman;serif" w:hAnsi="Times New Roman;serif"/>
          <w:b w:val="false"/>
          <w:i/>
          <w:strike w:val="false"/>
          <w:dstrike w:val="false"/>
          <w:sz w:val="22"/>
          <w:u w:val="none"/>
          <w:effect w:val="none"/>
          <w:shd w:fill="FFFFFF" w:val="clear"/>
        </w:rPr>
        <w:t>Studios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2"/>
          <w:u w:val="none"/>
          <w:effect w:val="none"/>
          <w:shd w:fill="FFFFFF" w:val="clear"/>
        </w:rPr>
        <w:t xml:space="preserve">segment and excluded studio operations related to our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shd w:fill="FFFFFF" w:val="clear"/>
        </w:rPr>
      </w:pPr>
      <w:r>
        <w:rPr>
          <w:rFonts w:ascii="Times New Roman;serif" w:hAnsi="Times New Roman;serif"/>
          <w:b w:val="false"/>
          <w:i w:val="false"/>
          <w:caps w:val="false"/>
          <w:smallCaps w:val="false"/>
          <w:strike w:val="false"/>
          <w:dstrike w:val="false"/>
          <w:sz w:val="22"/>
          <w:u w:val="none"/>
          <w:effect w:val="none"/>
          <w:shd w:fill="FFFFFF" w:val="clear"/>
        </w:rPr>
        <w:t xml:space="preserve">TV Media businesses, including CBS Studios and Paramount Television Studios.  </w:t>
      </w:r>
    </w:p>
    <w:p>
      <w:pPr>
        <w:pStyle w:val="TextBody"/>
        <w:bidi w:val="0"/>
        <w:spacing w:lineRule="atLeast" w:line="240" w:before="0" w:after="0"/>
        <w:jc w:val="left"/>
        <w:rPr/>
      </w:pPr>
      <w:r>
        <w:rPr>
          <w:caps w:val="false"/>
          <w:smallCaps w:val="false"/>
          <w:strike w:val="false"/>
          <w:dstrike w:val="false"/>
          <w:u w:val="none"/>
          <w:effect w:val="none"/>
        </w:rPr>
        <w:t>•</w:t>
      </w:r>
      <w:r>
        <w:rPr>
          <w:rFonts w:ascii="Times New Roman;serif" w:hAnsi="Times New Roman;serif"/>
          <w:b w:val="false"/>
          <w:i/>
          <w:strike w:val="false"/>
          <w:dstrike w:val="false"/>
          <w:sz w:val="22"/>
          <w:u w:val="none"/>
          <w:effect w:val="none"/>
        </w:rPr>
        <w:t>Direct-to-Consumer—</w:t>
      </w:r>
      <w:r>
        <w:rPr>
          <w:rFonts w:ascii="Times New Roman;serif" w:hAnsi="Times New Roman;serif"/>
          <w:b w:val="false"/>
          <w:i w:val="false"/>
          <w:caps w:val="false"/>
          <w:smallCaps w:val="false"/>
          <w:strike w:val="false"/>
          <w:dstrike w:val="false"/>
          <w:sz w:val="22"/>
          <w:u w:val="none"/>
          <w:effect w:val="none"/>
        </w:rPr>
        <w:t xml:space="preserve">Our </w:t>
      </w:r>
      <w:r>
        <w:rPr>
          <w:rFonts w:ascii="Times New Roman;serif" w:hAnsi="Times New Roman;serif"/>
          <w:b w:val="false"/>
          <w:i/>
          <w:strike w:val="false"/>
          <w:dstrike w:val="false"/>
          <w:sz w:val="22"/>
          <w:u w:val="none"/>
          <w:effect w:val="none"/>
        </w:rPr>
        <w:t>Direct-to-Consumer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shd w:fill="FFFFFF" w:val="clear"/>
        </w:rPr>
        <w:t xml:space="preserve">segment consists of our portfolio of domestic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shd w:fill="FFFFFF" w:val="clear"/>
        </w:rPr>
      </w:pPr>
      <w:r>
        <w:rPr>
          <w:rFonts w:ascii="Times New Roman;serif" w:hAnsi="Times New Roman;serif"/>
          <w:b w:val="false"/>
          <w:i w:val="false"/>
          <w:caps w:val="false"/>
          <w:smallCaps w:val="false"/>
          <w:strike w:val="false"/>
          <w:dstrike w:val="false"/>
          <w:sz w:val="22"/>
          <w:u w:val="none"/>
          <w:effect w:val="none"/>
          <w:shd w:fill="FFFFFF" w:val="clear"/>
        </w:rPr>
        <w:t xml:space="preserve">international pay and free streaming services, including Paramount+ and Pluto TV, as well as our domestic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shd w:fill="FFFFFF" w:val="clear"/>
        </w:rPr>
        <w:t xml:space="preserve">premium cable network, Paramount+ with Showtime. For the Predecessor period, the </w:t>
      </w:r>
      <w:r>
        <w:rPr>
          <w:rFonts w:ascii="Times New Roman;serif" w:hAnsi="Times New Roman;serif"/>
          <w:b w:val="false"/>
          <w:i/>
          <w:strike w:val="false"/>
          <w:dstrike w:val="false"/>
          <w:sz w:val="22"/>
          <w:u w:val="none"/>
          <w:effect w:val="none"/>
          <w:shd w:fill="FFFFFF" w:val="clear"/>
        </w:rPr>
        <w:t>Direct-to- Consumer</w:t>
      </w:r>
      <w:r>
        <w:rPr>
          <w:caps w:val="false"/>
          <w:smallCaps w:val="false"/>
          <w:strike w:val="false"/>
          <w:dstrike w:val="false"/>
          <w:sz w:val="24"/>
          <w:u w:val="none"/>
          <w:effect w:val="none"/>
          <w:shd w:fill="FFFFFF" w:val="clear"/>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shd w:fill="FFFFFF" w:val="clear"/>
        </w:rPr>
      </w:pPr>
      <w:r>
        <w:rPr>
          <w:rFonts w:ascii="Times New Roman;serif" w:hAnsi="Times New Roman;serif"/>
          <w:b w:val="false"/>
          <w:i w:val="false"/>
          <w:caps w:val="false"/>
          <w:smallCaps w:val="false"/>
          <w:strike w:val="false"/>
          <w:dstrike w:val="false"/>
          <w:sz w:val="22"/>
          <w:u w:val="none"/>
          <w:effect w:val="none"/>
          <w:shd w:fill="FFFFFF" w:val="clear"/>
        </w:rPr>
        <w:t xml:space="preserve">segment excluded Paramount+ with Showtime. During the second quarter of 2026, we integrated BET+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shd w:fill="FFFFFF" w:val="clear"/>
        </w:rPr>
      </w:pPr>
      <w:r>
        <w:rPr>
          <w:rFonts w:ascii="Times New Roman;serif" w:hAnsi="Times New Roman;serif"/>
          <w:b w:val="false"/>
          <w:i w:val="false"/>
          <w:caps w:val="false"/>
          <w:smallCaps w:val="false"/>
          <w:strike w:val="false"/>
          <w:dstrike w:val="false"/>
          <w:sz w:val="22"/>
          <w:u w:val="none"/>
          <w:effect w:val="none"/>
          <w:shd w:fill="FFFFFF" w:val="clear"/>
        </w:rPr>
        <w:t>into Paramount+.</w:t>
      </w:r>
    </w:p>
    <w:p>
      <w:pPr>
        <w:pStyle w:val="TextBody"/>
        <w:bidi w:val="0"/>
        <w:spacing w:lineRule="atLeast" w:line="220" w:before="0" w:after="0"/>
        <w:jc w:val="left"/>
        <w:rPr/>
      </w:pPr>
      <w:r>
        <w:rPr>
          <w:caps w:val="false"/>
          <w:smallCaps w:val="false"/>
          <w:strike w:val="false"/>
          <w:dstrike w:val="false"/>
          <w:u w:val="none"/>
          <w:effect w:val="none"/>
        </w:rPr>
        <w:t>•</w:t>
      </w:r>
      <w:r>
        <w:rPr>
          <w:rFonts w:ascii="Times New Roman;serif" w:hAnsi="Times New Roman;serif"/>
          <w:b w:val="false"/>
          <w:i/>
          <w:strike w:val="false"/>
          <w:dstrike w:val="false"/>
          <w:sz w:val="22"/>
          <w:u w:val="none"/>
          <w:effect w:val="none"/>
        </w:rPr>
        <w:t>TV Media—</w:t>
      </w:r>
      <w:r>
        <w:rPr>
          <w:rFonts w:ascii="Times New Roman;serif" w:hAnsi="Times New Roman;serif"/>
          <w:b w:val="false"/>
          <w:i w:val="false"/>
          <w:caps w:val="false"/>
          <w:smallCaps w:val="false"/>
          <w:strike w:val="false"/>
          <w:dstrike w:val="false"/>
          <w:sz w:val="22"/>
          <w:u w:val="none"/>
          <w:effect w:val="none"/>
        </w:rPr>
        <w:t xml:space="preserve">Our </w:t>
      </w:r>
      <w:r>
        <w:rPr>
          <w:rFonts w:ascii="Times New Roman;serif" w:hAnsi="Times New Roman;serif"/>
          <w:b w:val="false"/>
          <w:i/>
          <w:strike w:val="false"/>
          <w:dstrike w:val="false"/>
          <w:sz w:val="22"/>
          <w:u w:val="none"/>
          <w:effect w:val="none"/>
        </w:rPr>
        <w:t>TV Media</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segment consists of our (1) broadcast operations—the CBS Television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Network, our domestic broadcast television network; CBS Stations, our owned television stations; and our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international free-to-air networks, including Network 10 and Channel 5; (2) domestic basic cable networks,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including MTV, Comedy Central, Paramount Network, The Smithsonian Channel, Nickelodeon, BET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Media Group, CBS Sports Network, and international extensions of certain of these brands; and (3) CBS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 xml:space="preserve">Media Ventures, which produces and distributes first-run syndicated programming. </w:t>
      </w:r>
      <w:r>
        <w:rPr>
          <w:rFonts w:ascii="Times New Roman;serif" w:hAnsi="Times New Roman;serif"/>
          <w:b w:val="false"/>
          <w:i/>
          <w:strike w:val="false"/>
          <w:dstrike w:val="false"/>
          <w:sz w:val="22"/>
          <w:u w:val="none"/>
          <w:effect w:val="none"/>
        </w:rPr>
        <w:t xml:space="preserve">TV Media </w:t>
      </w:r>
      <w:r>
        <w:rPr>
          <w:rFonts w:ascii="Times New Roman;serif" w:hAnsi="Times New Roman;serif"/>
          <w:b w:val="false"/>
          <w:i w:val="false"/>
          <w:caps w:val="false"/>
          <w:smallCaps w:val="false"/>
          <w:strike w:val="false"/>
          <w:dstrike w:val="false"/>
          <w:sz w:val="22"/>
          <w:u w:val="none"/>
          <w:effect w:val="none"/>
        </w:rPr>
        <w:t xml:space="preserve">also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includes a number of digital properties such as CBS News 24/7 for 24-hour news and CBS Sports HQ for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 xml:space="preserve">sports news and analysis. For the Predecessor period, the </w:t>
      </w:r>
      <w:r>
        <w:rPr>
          <w:rFonts w:ascii="Times New Roman;serif" w:hAnsi="Times New Roman;serif"/>
          <w:b w:val="false"/>
          <w:i/>
          <w:strike w:val="false"/>
          <w:dstrike w:val="false"/>
          <w:sz w:val="22"/>
          <w:u w:val="none"/>
          <w:effect w:val="none"/>
        </w:rPr>
        <w:t>TV Media</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segment also included domestic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international television studio operations and the premium cable network, Paramount+ with Showtime.</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the first quarter of 2026, we also renamed our primary measure of profit and loss for our operating segments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from Adjusted OIBDA to Adjusted EBITDA. Although these measures have different starting points, as we define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them, they produce the same result. We define Adjusted EBITDA as net earnings (loss) before interest expense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income; provision for (benefit from) income taxes; other items; equity in earnings (loss) of investee companies, net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of tax; and depreciation and amortization, adjusted to exclude stock-based compensation expense and certain items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identified as affecting comparability that are not part of our normal operations. We define Adjusted OIBDA as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operating income before depreciation and amortization, adjusted to exclude stock-based compensation expense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same items identified as affecting comparability. This change was made to align with the measure our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management, including the CODM, began using in 2026, including for planning and forecasting of future periods,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evaluating the operating performance of our segments, and making decisions about resource allocation. The items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identified as affecting comparability that are excluded in both measures include programming charges, impairment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charges, restructuring charges, and gain (loss) on dispositions, each where applicable. Stock-based compensation is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 noncash expense that management does not consider to be part of our underlying operating performance and is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also excluded in both measures.</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We do not disclose our assets by segment because they are not regularly provided to the CODM and are not used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evaluate our operating performance or in determining the allocation of resources.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tbl>
      <w:tblPr>
        <w:tblW w:w="8136" w:type="dxa"/>
        <w:jc w:val="left"/>
        <w:tblInd w:w="0" w:type="dxa"/>
        <w:tblLayout w:type="fixed"/>
        <w:tblCellMar>
          <w:top w:w="28" w:type="dxa"/>
          <w:left w:w="28" w:type="dxa"/>
          <w:bottom w:w="28" w:type="dxa"/>
          <w:right w:w="28" w:type="dxa"/>
        </w:tblCellMar>
      </w:tblPr>
      <w:tblGrid>
        <w:gridCol w:w="2191"/>
        <w:gridCol w:w="159"/>
        <w:gridCol w:w="987"/>
        <w:gridCol w:w="159"/>
        <w:gridCol w:w="109"/>
        <w:gridCol w:w="1006"/>
        <w:gridCol w:w="2176"/>
        <w:gridCol w:w="156"/>
        <w:gridCol w:w="972"/>
        <w:gridCol w:w="221"/>
      </w:tblGrid>
      <w:tr>
        <w:trPr/>
        <w:tc>
          <w:tcPr>
            <w:tcW w:w="21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496" w:type="dxa"/>
            <w:gridSpan w:val="4"/>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tcBorders>
            <w:tcMar>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3525" w:type="dxa"/>
            <w:gridSpan w:val="4"/>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2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219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Revenues:</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Revenues:</w:t>
            </w:r>
          </w:p>
        </w:tc>
        <w:tc>
          <w:tcPr>
            <w:tcW w:w="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Studios</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Filmed Entertainment</w:t>
            </w:r>
          </w:p>
        </w:tc>
        <w:tc>
          <w:tcPr>
            <w:tcW w:w="15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Theatrical</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Theatrical</w:t>
            </w:r>
          </w:p>
        </w:tc>
        <w:tc>
          <w:tcPr>
            <w:tcW w:w="15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$254</w:t>
            </w:r>
          </w:p>
        </w:tc>
        <w:tc>
          <w:tcPr>
            <w:tcW w:w="221"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1,172</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15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434</w:t>
            </w:r>
          </w:p>
        </w:tc>
        <w:tc>
          <w:tcPr>
            <w:tcW w:w="22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1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1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Studios</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1,314</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Filmed Entertainment</w:t>
            </w:r>
          </w:p>
        </w:tc>
        <w:tc>
          <w:tcPr>
            <w:tcW w:w="1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690</w:t>
            </w:r>
          </w:p>
        </w:tc>
        <w:tc>
          <w:tcPr>
            <w:tcW w:w="2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Direct-to-Consumer</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Direct-to-Consumer</w:t>
            </w:r>
          </w:p>
        </w:tc>
        <w:tc>
          <w:tcPr>
            <w:tcW w:w="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535</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15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494</w:t>
            </w:r>
          </w:p>
        </w:tc>
        <w:tc>
          <w:tcPr>
            <w:tcW w:w="221"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and subscription</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1,939</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Subscription</w:t>
            </w:r>
          </w:p>
        </w:tc>
        <w:tc>
          <w:tcPr>
            <w:tcW w:w="15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1,665</w:t>
            </w:r>
          </w:p>
        </w:tc>
        <w:tc>
          <w:tcPr>
            <w:tcW w:w="22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1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w:t>
            </w:r>
          </w:p>
        </w:tc>
        <w:tc>
          <w:tcPr>
            <w:tcW w:w="1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Direct-to-Consumer</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2,474</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Direct-to-Consumer</w:t>
            </w:r>
          </w:p>
        </w:tc>
        <w:tc>
          <w:tcPr>
            <w:tcW w:w="1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2,160</w:t>
            </w:r>
          </w:p>
        </w:tc>
        <w:tc>
          <w:tcPr>
            <w:tcW w:w="2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TV Media</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TV Media</w:t>
            </w:r>
          </w:p>
        </w:tc>
        <w:tc>
          <w:tcPr>
            <w:tcW w:w="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1,420</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15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1,657</w:t>
            </w:r>
          </w:p>
        </w:tc>
        <w:tc>
          <w:tcPr>
            <w:tcW w:w="221"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and subscription</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1,581</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and subscription</w:t>
            </w:r>
          </w:p>
        </w:tc>
        <w:tc>
          <w:tcPr>
            <w:tcW w:w="15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1,780</w:t>
            </w:r>
          </w:p>
        </w:tc>
        <w:tc>
          <w:tcPr>
            <w:tcW w:w="22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1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1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574</w:t>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TV Media</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3,128</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TV Media</w:t>
            </w:r>
          </w:p>
        </w:tc>
        <w:tc>
          <w:tcPr>
            <w:tcW w:w="1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4,011</w:t>
            </w:r>
          </w:p>
        </w:tc>
        <w:tc>
          <w:tcPr>
            <w:tcW w:w="2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Eliminations</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Eliminations</w:t>
            </w:r>
          </w:p>
        </w:tc>
        <w:tc>
          <w:tcPr>
            <w:tcW w:w="1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2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Revenues</w:t>
            </w:r>
          </w:p>
        </w:tc>
        <w:tc>
          <w:tcPr>
            <w:tcW w:w="15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$6,913</w:t>
            </w:r>
          </w:p>
        </w:tc>
        <w:tc>
          <w:tcPr>
            <w:tcW w:w="15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Revenues</w:t>
            </w:r>
          </w:p>
        </w:tc>
        <w:tc>
          <w:tcPr>
            <w:tcW w:w="15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$6,849</w:t>
            </w:r>
          </w:p>
        </w:tc>
        <w:tc>
          <w:tcPr>
            <w:tcW w:w="22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8137" w:type="dxa"/>
        <w:jc w:val="left"/>
        <w:tblInd w:w="0" w:type="dxa"/>
        <w:tblLayout w:type="fixed"/>
        <w:tblCellMar>
          <w:top w:w="28" w:type="dxa"/>
          <w:left w:w="28" w:type="dxa"/>
          <w:bottom w:w="28" w:type="dxa"/>
          <w:right w:w="28" w:type="dxa"/>
        </w:tblCellMar>
      </w:tblPr>
      <w:tblGrid>
        <w:gridCol w:w="2191"/>
        <w:gridCol w:w="142"/>
        <w:gridCol w:w="1021"/>
        <w:gridCol w:w="142"/>
        <w:gridCol w:w="109"/>
        <w:gridCol w:w="1006"/>
        <w:gridCol w:w="2176"/>
        <w:gridCol w:w="141"/>
        <w:gridCol w:w="1010"/>
        <w:gridCol w:w="199"/>
      </w:tblGrid>
      <w:tr>
        <w:trPr/>
        <w:tc>
          <w:tcPr>
            <w:tcW w:w="219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96" w:type="dxa"/>
            <w:gridSpan w:val="4"/>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tcBorders>
            <w:tcMar>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3526" w:type="dxa"/>
            <w:gridSpan w:val="4"/>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2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219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Revenues:</w:t>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Revenues:</w:t>
            </w:r>
          </w:p>
        </w:tc>
        <w:tc>
          <w:tcPr>
            <w:tcW w:w="1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Studios</w:t>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Filmed Entertainment</w:t>
            </w:r>
          </w:p>
        </w:tc>
        <w:tc>
          <w:tcPr>
            <w:tcW w:w="1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Theatrical</w:t>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Theatrical</w:t>
            </w:r>
          </w:p>
        </w:tc>
        <w:tc>
          <w:tcPr>
            <w:tcW w:w="1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w:t>
            </w:r>
          </w:p>
        </w:tc>
        <w:tc>
          <w:tcPr>
            <w:tcW w:w="199"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2,299</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1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910</w:t>
            </w:r>
          </w:p>
        </w:tc>
        <w:tc>
          <w:tcPr>
            <w:tcW w:w="199"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1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1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1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1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Studios</w:t>
            </w:r>
          </w:p>
        </w:tc>
        <w:tc>
          <w:tcPr>
            <w:tcW w:w="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2,597</w:t>
            </w:r>
          </w:p>
        </w:tc>
        <w:tc>
          <w:tcPr>
            <w:tcW w:w="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Filmed Entertainment</w:t>
            </w:r>
          </w:p>
        </w:tc>
        <w:tc>
          <w:tcPr>
            <w:tcW w:w="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1,317</w:t>
            </w:r>
          </w:p>
        </w:tc>
        <w:tc>
          <w:tcPr>
            <w:tcW w:w="1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Direct-to-Consumer</w:t>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Direct-to-Consumer</w:t>
            </w:r>
          </w:p>
        </w:tc>
        <w:tc>
          <w:tcPr>
            <w:tcW w:w="1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1,052</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1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967</w:t>
            </w:r>
          </w:p>
        </w:tc>
        <w:tc>
          <w:tcPr>
            <w:tcW w:w="199"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and subscription</w:t>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3,820</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Subscription</w:t>
            </w:r>
          </w:p>
        </w:tc>
        <w:tc>
          <w:tcPr>
            <w:tcW w:w="1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3,236</w:t>
            </w:r>
          </w:p>
        </w:tc>
        <w:tc>
          <w:tcPr>
            <w:tcW w:w="199"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w:t>
            </w:r>
          </w:p>
        </w:tc>
        <w:tc>
          <w:tcPr>
            <w:tcW w:w="1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1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w:t>
            </w:r>
          </w:p>
        </w:tc>
        <w:tc>
          <w:tcPr>
            <w:tcW w:w="1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Direct-to-Consumer</w:t>
            </w:r>
          </w:p>
        </w:tc>
        <w:tc>
          <w:tcPr>
            <w:tcW w:w="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4,872</w:t>
            </w:r>
          </w:p>
        </w:tc>
        <w:tc>
          <w:tcPr>
            <w:tcW w:w="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Direct-to-Consumer</w:t>
            </w:r>
          </w:p>
        </w:tc>
        <w:tc>
          <w:tcPr>
            <w:tcW w:w="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4,204</w:t>
            </w:r>
          </w:p>
        </w:tc>
        <w:tc>
          <w:tcPr>
            <w:tcW w:w="1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TV Media</w:t>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TV Media</w:t>
            </w:r>
          </w:p>
        </w:tc>
        <w:tc>
          <w:tcPr>
            <w:tcW w:w="1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3,341</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1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3,695</w:t>
            </w:r>
          </w:p>
        </w:tc>
        <w:tc>
          <w:tcPr>
            <w:tcW w:w="199"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and subscription</w:t>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3,201</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and subscription</w:t>
            </w:r>
          </w:p>
        </w:tc>
        <w:tc>
          <w:tcPr>
            <w:tcW w:w="1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3,606</w:t>
            </w:r>
          </w:p>
        </w:tc>
        <w:tc>
          <w:tcPr>
            <w:tcW w:w="199"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1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252</w:t>
            </w:r>
          </w:p>
        </w:tc>
        <w:tc>
          <w:tcPr>
            <w:tcW w:w="1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1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1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1,248</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TV Media</w:t>
            </w:r>
          </w:p>
        </w:tc>
        <w:tc>
          <w:tcPr>
            <w:tcW w:w="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6,794</w:t>
            </w:r>
          </w:p>
        </w:tc>
        <w:tc>
          <w:tcPr>
            <w:tcW w:w="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TV Media</w:t>
            </w:r>
          </w:p>
        </w:tc>
        <w:tc>
          <w:tcPr>
            <w:tcW w:w="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8,549</w:t>
            </w:r>
          </w:p>
        </w:tc>
        <w:tc>
          <w:tcPr>
            <w:tcW w:w="1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Eliminations</w:t>
            </w:r>
          </w:p>
        </w:tc>
        <w:tc>
          <w:tcPr>
            <w:tcW w:w="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Eliminations</w:t>
            </w:r>
          </w:p>
        </w:tc>
        <w:tc>
          <w:tcPr>
            <w:tcW w:w="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Revenues</w:t>
            </w:r>
          </w:p>
        </w:tc>
        <w:tc>
          <w:tcPr>
            <w:tcW w:w="14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$14,260</w:t>
            </w:r>
          </w:p>
        </w:tc>
        <w:tc>
          <w:tcPr>
            <w:tcW w:w="14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Revenues</w:t>
            </w:r>
          </w:p>
        </w:tc>
        <w:tc>
          <w:tcPr>
            <w:tcW w:w="14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$14,041</w:t>
            </w:r>
          </w:p>
        </w:tc>
        <w:tc>
          <w:tcPr>
            <w:tcW w:w="19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For content licensed between segments, costs are allocated across segments based on the relative value of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distribution windows within each segment; accordingly, no intersegment licensing revenues or profits are recorded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by the licensor segment. Under our previous segment presentation, revenues generated between segments were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principally from intersegment arrangements for the distribution of content, rental of studio space, and advertising,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as well as licensing revenues earned from third parties who license our content to our internal platforms either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through a sub-license or co-production arrangement. These transactions were recorded at market value as if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sales were to third parties and eliminated in consolidation. Under our new segment presentation, intersegment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revenues are comprised of advertising revenues and licensing revenues earned from third parties who license our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content to our internal platforms through sub</w:t>
        <w:noBreakHyphen/>
        <w:t>licensing or co</w:t>
        <w:noBreakHyphen/>
        <w:t>production arrangements.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For the three and six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June 30, 2026, intercompany revenues were all earned by the </w:t>
      </w:r>
      <w:r>
        <w:rPr>
          <w:rFonts w:ascii="Times New Roman;serif" w:hAnsi="Times New Roman;serif"/>
          <w:b w:val="false"/>
          <w:i/>
          <w:strike w:val="false"/>
          <w:dstrike w:val="false"/>
          <w:sz w:val="22"/>
          <w:u w:val="none"/>
          <w:effect w:val="none"/>
        </w:rPr>
        <w:t>Studios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segment. The table below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presents intercompany revenue by segment for the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periods.</w:t>
      </w:r>
    </w:p>
    <w:tbl>
      <w:tblPr>
        <w:tblW w:w="5434" w:type="dxa"/>
        <w:jc w:val="left"/>
        <w:tblInd w:w="0" w:type="dxa"/>
        <w:tblLayout w:type="fixed"/>
        <w:tblCellMar>
          <w:top w:w="28" w:type="dxa"/>
          <w:left w:w="28" w:type="dxa"/>
          <w:bottom w:w="28" w:type="dxa"/>
          <w:right w:w="28" w:type="dxa"/>
        </w:tblCellMar>
      </w:tblPr>
      <w:tblGrid>
        <w:gridCol w:w="2671"/>
        <w:gridCol w:w="221"/>
        <w:gridCol w:w="860"/>
        <w:gridCol w:w="223"/>
        <w:gridCol w:w="109"/>
        <w:gridCol w:w="214"/>
        <w:gridCol w:w="831"/>
        <w:gridCol w:w="305"/>
      </w:tblGrid>
      <w:tr>
        <w:trPr/>
        <w:tc>
          <w:tcPr>
            <w:tcW w:w="267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67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26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267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Intercompany Revenues:</w:t>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TV Media</w:t>
            </w:r>
          </w:p>
        </w:tc>
        <w:tc>
          <w:tcPr>
            <w:tcW w:w="22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305" w:type="dxa"/>
            <w:tcBorders/>
            <w:vAlign w:val="center"/>
          </w:tcPr>
          <w:p>
            <w:pPr>
              <w:pStyle w:val="TableContents"/>
              <w:bidi w:val="0"/>
              <w:spacing w:before="0" w:after="283"/>
              <w:jc w:val="left"/>
              <w:rPr>
                <w:sz w:val="4"/>
                <w:szCs w:val="4"/>
              </w:rPr>
            </w:pPr>
            <w:r>
              <w:rPr>
                <w:sz w:val="4"/>
                <w:szCs w:val="4"/>
              </w:rPr>
            </w:r>
          </w:p>
        </w:tc>
      </w:tr>
      <w:tr>
        <w:trPr/>
        <w:tc>
          <w:tcPr>
            <w:tcW w:w="26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Filmed Entertainment</w:t>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22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Intercompany Revenues</w:t>
            </w:r>
          </w:p>
        </w:tc>
        <w:tc>
          <w:tcPr>
            <w:tcW w:w="22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22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30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tbl>
      <w:tblPr>
        <w:tblW w:w="10205" w:type="dxa"/>
        <w:jc w:val="left"/>
        <w:tblInd w:w="0" w:type="dxa"/>
        <w:tblLayout w:type="fixed"/>
        <w:tblCellMar>
          <w:top w:w="28" w:type="dxa"/>
          <w:left w:w="28" w:type="dxa"/>
          <w:bottom w:w="28" w:type="dxa"/>
          <w:right w:w="28" w:type="dxa"/>
        </w:tblCellMar>
      </w:tblPr>
      <w:tblGrid>
        <w:gridCol w:w="3250"/>
        <w:gridCol w:w="169"/>
        <w:gridCol w:w="940"/>
        <w:gridCol w:w="169"/>
        <w:gridCol w:w="109"/>
        <w:gridCol w:w="1006"/>
        <w:gridCol w:w="3235"/>
        <w:gridCol w:w="179"/>
        <w:gridCol w:w="889"/>
        <w:gridCol w:w="259"/>
      </w:tblGrid>
      <w:tr>
        <w:trPr/>
        <w:tc>
          <w:tcPr>
            <w:tcW w:w="325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528" w:type="dxa"/>
            <w:gridSpan w:val="4"/>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tcBorders>
            <w:tcMar>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4562" w:type="dxa"/>
            <w:gridSpan w:val="4"/>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325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325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Studios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Filmed Entertainment</w:t>
            </w:r>
          </w:p>
        </w:tc>
        <w:tc>
          <w:tcPr>
            <w:tcW w:w="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$1,314</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$690</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926</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394</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 and marketing</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143</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 and marketing</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195</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(a)</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209</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(a)</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185</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segment expenses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1,278</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segment expenses</w:t>
            </w:r>
          </w:p>
        </w:tc>
        <w:tc>
          <w:tcPr>
            <w:tcW w:w="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774</w:t>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Studios Adjusted EBITDA</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Filmed Entertainment Adjusted OIBDA</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(84)</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Direct-to-Consumer</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Direct-to-Consumer</w:t>
            </w:r>
          </w:p>
        </w:tc>
        <w:tc>
          <w:tcPr>
            <w:tcW w:w="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2,474</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2,160</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1,161</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1,085</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 and marketing</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316</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 and marketing</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294</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(b)</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631</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(b)</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624</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segment expenses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2,108</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segment expenses</w:t>
            </w:r>
          </w:p>
        </w:tc>
        <w:tc>
          <w:tcPr>
            <w:tcW w:w="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2,003</w:t>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Direct-to-Consumer Adjusted EBITDA</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366</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Direct-to-Consumer Adjusted OIBDA</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157</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3,128</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4,011</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1,185</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1,956</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 and marketing</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66</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 and marketing</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116</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(c)</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814</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(c)</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1,076</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segment expenses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2,065</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segment expenses</w:t>
            </w:r>
          </w:p>
        </w:tc>
        <w:tc>
          <w:tcPr>
            <w:tcW w:w="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3,148</w:t>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TV Media Adjusted EBITDA</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1,063</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TV Media Adjusted OIBDA</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863</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Corporate/Eliminations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(366)</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Corporate/Eliminations</w:t>
            </w:r>
          </w:p>
        </w:tc>
        <w:tc>
          <w:tcPr>
            <w:tcW w:w="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(73)</w:t>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Stock-based compensation </w:t>
            </w:r>
            <w:r>
              <w:rPr>
                <w:rFonts w:ascii="Times New Roman;serif" w:hAnsi="Times New Roman;serif"/>
                <w:b w:val="false"/>
                <w:i w:val="false"/>
                <w:caps w:val="false"/>
                <w:smallCaps w:val="false"/>
                <w:sz w:val="12"/>
              </w:rPr>
              <w:t>(d)</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(72)</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Stock-based compensation </w:t>
            </w:r>
            <w:r>
              <w:rPr>
                <w:rFonts w:ascii="Times New Roman;serif" w:hAnsi="Times New Roman;serif"/>
                <w:b w:val="false"/>
                <w:i w:val="false"/>
                <w:caps w:val="false"/>
                <w:smallCaps w:val="false"/>
                <w:sz w:val="12"/>
              </w:rPr>
              <w:t>(d)</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Depreciation and amortization</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(364)</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Depreciation and amortization</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(87)</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Impairment charges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Impairment charges</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Restructuring and transaction-related items </w:t>
            </w:r>
            <w:r>
              <w:rPr>
                <w:rFonts w:ascii="Times New Roman;serif" w:hAnsi="Times New Roman;serif"/>
                <w:b w:val="false"/>
                <w:i w:val="false"/>
                <w:caps w:val="false"/>
                <w:smallCaps w:val="false"/>
                <w:sz w:val="12"/>
              </w:rPr>
              <w:t>(d)</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(188)</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Restructuring and transaction-related items </w:t>
            </w:r>
            <w:r>
              <w:rPr>
                <w:rFonts w:ascii="Times New Roman;serif" w:hAnsi="Times New Roman;serif"/>
                <w:b w:val="false"/>
                <w:i w:val="false"/>
                <w:caps w:val="false"/>
                <w:smallCaps w:val="false"/>
                <w:sz w:val="12"/>
              </w:rPr>
              <w:t>(d)</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(181)</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Operating income</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475</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Operating income</w:t>
            </w:r>
          </w:p>
        </w:tc>
        <w:tc>
          <w:tcPr>
            <w:tcW w:w="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399</w:t>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expense</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expense</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income</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income</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items, net</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items, net</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Earnings before income taxes and equity in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loss of investee companies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215</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Earnings before income taxes and equity in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loss of investee companies</w:t>
            </w:r>
          </w:p>
        </w:tc>
        <w:tc>
          <w:tcPr>
            <w:tcW w:w="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178</w:t>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Provision for income taxes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Provision for income taxes</w:t>
            </w:r>
          </w:p>
        </w:tc>
        <w:tc>
          <w:tcPr>
            <w:tcW w:w="1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c>
          <w:tcPr>
            <w:tcW w:w="259" w:type="dxa"/>
            <w:tcBorders/>
            <w:vAlign w:val="center"/>
          </w:tcPr>
          <w:p>
            <w:pPr>
              <w:pStyle w:val="TableContents"/>
              <w:bidi w:val="0"/>
              <w:spacing w:before="0" w:after="283"/>
              <w:jc w:val="left"/>
              <w:rPr>
                <w:sz w:val="4"/>
                <w:szCs w:val="4"/>
              </w:rPr>
            </w:pPr>
            <w:r>
              <w:rPr>
                <w:sz w:val="4"/>
                <w:szCs w:val="4"/>
              </w:rPr>
            </w:r>
          </w:p>
        </w:tc>
      </w:tr>
      <w:tr>
        <w:trPr/>
        <w:tc>
          <w:tcPr>
            <w:tcW w:w="325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Equity in loss of investee companies,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net of tax</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(54)</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Equity in loss of investee companies,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net of tax</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(67)</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(Parent and noncontrolling interests)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(Parent and noncontrolling interests)</w:t>
            </w:r>
          </w:p>
        </w:tc>
        <w:tc>
          <w:tcPr>
            <w:tcW w:w="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w:t>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attributable to 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attributable to 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Net earnings attributable to Parent</w:t>
            </w:r>
          </w:p>
        </w:tc>
        <w:tc>
          <w:tcPr>
            <w:tcW w:w="16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w:t>
            </w:r>
          </w:p>
        </w:tc>
        <w:tc>
          <w:tcPr>
            <w:tcW w:w="16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35"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Net earnings attributable to Parent</w:t>
            </w:r>
          </w:p>
        </w:tc>
        <w:tc>
          <w:tcPr>
            <w:tcW w:w="17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w:t>
            </w:r>
          </w:p>
        </w:tc>
        <w:tc>
          <w:tcPr>
            <w:tcW w:w="25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tbl>
      <w:tblPr>
        <w:tblW w:w="10205" w:type="dxa"/>
        <w:jc w:val="left"/>
        <w:tblInd w:w="0" w:type="dxa"/>
        <w:tblLayout w:type="fixed"/>
        <w:tblCellMar>
          <w:top w:w="28" w:type="dxa"/>
          <w:left w:w="28" w:type="dxa"/>
          <w:bottom w:w="28" w:type="dxa"/>
          <w:right w:w="28" w:type="dxa"/>
        </w:tblCellMar>
      </w:tblPr>
      <w:tblGrid>
        <w:gridCol w:w="3249"/>
        <w:gridCol w:w="169"/>
        <w:gridCol w:w="940"/>
        <w:gridCol w:w="169"/>
        <w:gridCol w:w="109"/>
        <w:gridCol w:w="1006"/>
        <w:gridCol w:w="3234"/>
        <w:gridCol w:w="167"/>
        <w:gridCol w:w="922"/>
        <w:gridCol w:w="240"/>
      </w:tblGrid>
      <w:tr>
        <w:trPr/>
        <w:tc>
          <w:tcPr>
            <w:tcW w:w="324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527" w:type="dxa"/>
            <w:gridSpan w:val="4"/>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tcBorders>
            <w:tcMar>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4563" w:type="dxa"/>
            <w:gridSpan w:val="4"/>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324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324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Studios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Filmed Entertainment</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$2,597</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$1,317</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1,742</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715</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 and marketing</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243</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 and marketing</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311</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(a)</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412</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(a)</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355</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segment expenses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2,397</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segment expenses</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1,381</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Studios Adjusted EBITDA</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200</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Filmed Entertainment Adjusted OIBDA</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(64)</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Direct-to-Consumer</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Direct-to-Consumer</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4,872</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4,204</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2,407</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2,300</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 and marketing</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631</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 and marketing</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635</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(b)</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1,217</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(b)</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1,221</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segment expenses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4,255</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segment expenses</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4,156</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Direct-to-Consumer Adjusted EBITDA</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617</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Direct-to-Consumer Adjusted OIBDA</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6,794</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8,549</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2,904</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4,299</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 and marketing</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146</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 and marketing</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269</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(c)</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1,626</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(c)</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2,196</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segment expenses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4,676</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 segment expenses</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6,764</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TV Media Adjusted EBITDA</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2,118</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TV Media Adjusted OIBDA</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1,785</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Corporate/Eliminations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(675)</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Corporate/Eliminations</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(174)</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Stock-based compensation </w:t>
            </w:r>
            <w:r>
              <w:rPr>
                <w:rFonts w:ascii="Times New Roman;serif" w:hAnsi="Times New Roman;serif"/>
                <w:b w:val="false"/>
                <w:i w:val="false"/>
                <w:caps w:val="false"/>
                <w:smallCaps w:val="false"/>
                <w:sz w:val="12"/>
              </w:rPr>
              <w:t>(d)</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(152)</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Stock-based compensation </w:t>
            </w:r>
            <w:r>
              <w:rPr>
                <w:rFonts w:ascii="Times New Roman;serif" w:hAnsi="Times New Roman;serif"/>
                <w:b w:val="false"/>
                <w:i w:val="false"/>
                <w:caps w:val="false"/>
                <w:smallCaps w:val="false"/>
                <w:sz w:val="12"/>
              </w:rPr>
              <w:t>(d)</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(83)</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Depreciation and amortization</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(726)</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Depreciation and amortization</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(175)</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Impairment charges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Impairment charges</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(157)</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Restructuring and transaction-related items </w:t>
            </w:r>
            <w:r>
              <w:rPr>
                <w:rFonts w:ascii="Times New Roman;serif" w:hAnsi="Times New Roman;serif"/>
                <w:b w:val="false"/>
                <w:i w:val="false"/>
                <w:caps w:val="false"/>
                <w:smallCaps w:val="false"/>
                <w:sz w:val="12"/>
              </w:rPr>
              <w:t>(d)</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(291)</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Restructuring and transaction-related items </w:t>
            </w:r>
            <w:r>
              <w:rPr>
                <w:rFonts w:ascii="Times New Roman;serif" w:hAnsi="Times New Roman;serif"/>
                <w:b w:val="false"/>
                <w:i w:val="false"/>
                <w:caps w:val="false"/>
                <w:smallCaps w:val="false"/>
                <w:sz w:val="12"/>
              </w:rPr>
              <w:t>(d)</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(266)</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Gain on dispositions</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Gain on dispositions</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Operating income</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1,091</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Operating income</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949</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expense</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(493)</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expense</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(431)</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income</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67</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income</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70</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items, net</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(58)</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items, net</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(76)</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Earnings before income taxes and equity in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loss of investee companies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607</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Earnings before income taxes and equity in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loss of investee companies</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512</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Provision for income taxes</w:t>
            </w:r>
          </w:p>
        </w:tc>
        <w:tc>
          <w:tcPr>
            <w:tcW w:w="1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(275)</w:t>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Provision for income taxes</w:t>
            </w:r>
          </w:p>
        </w:tc>
        <w:tc>
          <w:tcPr>
            <w:tcW w:w="1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(150)</w:t>
            </w:r>
          </w:p>
        </w:tc>
        <w:tc>
          <w:tcPr>
            <w:tcW w:w="240" w:type="dxa"/>
            <w:tcBorders/>
            <w:vAlign w:val="center"/>
          </w:tcPr>
          <w:p>
            <w:pPr>
              <w:pStyle w:val="TableContents"/>
              <w:bidi w:val="0"/>
              <w:spacing w:before="0" w:after="283"/>
              <w:jc w:val="left"/>
              <w:rPr>
                <w:sz w:val="4"/>
                <w:szCs w:val="4"/>
              </w:rPr>
            </w:pPr>
            <w:r>
              <w:rPr>
                <w:sz w:val="4"/>
                <w:szCs w:val="4"/>
              </w:rPr>
            </w:r>
          </w:p>
        </w:tc>
      </w:tr>
      <w:tr>
        <w:trPr/>
        <w:tc>
          <w:tcPr>
            <w:tcW w:w="32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Equity in loss of investee companies,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net of tax</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(116)</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Equity in loss of investee companies,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net of tax</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(140)</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(Parent and noncontrolling interests)</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216</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(Parent and noncontrolling interests)</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222</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attributable to 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3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attributable to 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Net earnings attributable to Parent</w:t>
            </w:r>
          </w:p>
        </w:tc>
        <w:tc>
          <w:tcPr>
            <w:tcW w:w="16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$209</w:t>
            </w:r>
          </w:p>
        </w:tc>
        <w:tc>
          <w:tcPr>
            <w:tcW w:w="16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34"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Net earnings attributable to Parent</w:t>
            </w:r>
          </w:p>
        </w:tc>
        <w:tc>
          <w:tcPr>
            <w:tcW w:w="16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$209</w:t>
            </w:r>
          </w:p>
        </w:tc>
        <w:tc>
          <w:tcPr>
            <w:tcW w:w="24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 xml:space="preserve">(a)  Other segment expenses for our </w:t>
      </w:r>
      <w:r>
        <w:rPr>
          <w:rFonts w:ascii="Times New Roman;serif" w:hAnsi="Times New Roman;serif"/>
          <w:b w:val="false"/>
          <w:i/>
          <w:strike w:val="false"/>
          <w:dstrike w:val="false"/>
          <w:sz w:val="18"/>
          <w:u w:val="none"/>
          <w:effect w:val="none"/>
        </w:rPr>
        <w:t xml:space="preserve">Studios </w:t>
      </w:r>
      <w:r>
        <w:rPr>
          <w:rFonts w:ascii="Times New Roman;serif" w:hAnsi="Times New Roman;serif"/>
          <w:b w:val="false"/>
          <w:i w:val="false"/>
          <w:caps w:val="false"/>
          <w:smallCaps w:val="false"/>
          <w:strike w:val="false"/>
          <w:dstrike w:val="false"/>
          <w:sz w:val="18"/>
          <w:u w:val="none"/>
          <w:effect w:val="none"/>
        </w:rPr>
        <w:t xml:space="preserve">segment (Successor) and </w:t>
      </w:r>
      <w:r>
        <w:rPr>
          <w:rFonts w:ascii="Times New Roman;serif" w:hAnsi="Times New Roman;serif"/>
          <w:b w:val="false"/>
          <w:i/>
          <w:strike w:val="false"/>
          <w:dstrike w:val="false"/>
          <w:sz w:val="18"/>
          <w:u w:val="none"/>
          <w:effect w:val="none"/>
        </w:rPr>
        <w:t>Filmed Entertainment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segment (Predecessor) include employee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compensation; costs relating to the distribution of our content; costs for occupancy, technology, and professional services; and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other costs associated with our operations.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 xml:space="preserve">(b) Other segment expenses for our </w:t>
      </w:r>
      <w:r>
        <w:rPr>
          <w:rFonts w:ascii="Times New Roman;serif" w:hAnsi="Times New Roman;serif"/>
          <w:b w:val="false"/>
          <w:i/>
          <w:strike w:val="false"/>
          <w:dstrike w:val="false"/>
          <w:sz w:val="18"/>
          <w:u w:val="none"/>
          <w:effect w:val="none"/>
        </w:rPr>
        <w:t xml:space="preserve">Direct-to-Consumer </w:t>
      </w:r>
      <w:r>
        <w:rPr>
          <w:rFonts w:ascii="Times New Roman;serif" w:hAnsi="Times New Roman;serif"/>
          <w:b w:val="false"/>
          <w:i w:val="false"/>
          <w:caps w:val="false"/>
          <w:smallCaps w:val="false"/>
          <w:strike w:val="false"/>
          <w:dstrike w:val="false"/>
          <w:sz w:val="18"/>
          <w:u w:val="none"/>
          <w:effect w:val="none"/>
        </w:rPr>
        <w:t xml:space="preserve">segment in both the Successor and Predecessor periods include employee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compensation; revenue-sharing costs, including for third-party distribution; costs for occupancy, technology, and professional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services; and other costs associated with our operations.</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 xml:space="preserve">(c) Other segment expenses for our </w:t>
      </w:r>
      <w:r>
        <w:rPr>
          <w:rFonts w:ascii="Times New Roman;serif" w:hAnsi="Times New Roman;serif"/>
          <w:b w:val="false"/>
          <w:i/>
          <w:strike w:val="false"/>
          <w:dstrike w:val="false"/>
          <w:sz w:val="18"/>
          <w:u w:val="none"/>
          <w:effect w:val="none"/>
        </w:rPr>
        <w:t>TV Media</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segment in both the Successor and Predecessor periods include employee compensation;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revenue-sharing costs to television stations affiliated with the CBS Television Network; costs relating to the distribution of our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content; costs for research, occupancy, technology, and professional services; and other costs associated with our operations.</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(d) Stock-based compensation expense of $9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for both the three and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(Successor), and $4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for both the three and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(Predecessor) is included in “Restructuring and transaction-related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Times New Roman;serif" w:hAnsi="Times New Roman;serif"/>
          <w:b/>
          <w:i w:val="false"/>
          <w:caps w:val="false"/>
          <w:smallCaps w:val="false"/>
          <w:strike w:val="false"/>
          <w:dstrike w:val="false"/>
          <w:sz w:val="22"/>
          <w:u w:val="none"/>
          <w:effect w:val="none"/>
        </w:rPr>
        <w:t>14) COMMITMENTS AND CONTINGENCIES</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i/>
          <w:strike w:val="false"/>
          <w:dstrike w:val="false"/>
          <w:sz w:val="22"/>
          <w:u w:val="none"/>
          <w:effect w:val="none"/>
        </w:rPr>
      </w:pPr>
      <w:r>
        <w:rPr>
          <w:rFonts w:ascii="Times New Roman;serif" w:hAnsi="Times New Roman;serif"/>
          <w:b/>
          <w:i/>
          <w:strike w:val="false"/>
          <w:dstrike w:val="false"/>
          <w:sz w:val="22"/>
          <w:u w:val="none"/>
          <w:effect w:val="none"/>
        </w:rPr>
        <w:t>Guarantees</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Letters of Credit and Surety Bonds</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At June 30, 2026, we had outstanding letters of credit and surety bonds of $1.24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that were not recorded on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the Consolidated Balance Sheet, including $998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issued under a $1.9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standby letter of credit facility.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accordance with the contractual requirements of one of our commitments, the letter of credit outstanding under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this facility increases and decreases consistent with the related contractual commitment. Letters of credit and surety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bonds are primarily used as security against non-performance in the normal course of business under contractual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requirements of certain of our commitments. The standby letter of credit facility, which matures in May 2027, is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subject to provisions similar to the Credit Facility, including the same principal financial covenant (see Note 7),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and will be secured by the same collateral as the Credit Facility at closing of the WBD merger. </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Other</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the course of our business, we both provide and receive indemnities that are intended to allocate certain risks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associated with business transactions. Similarly, we may remain contingently liable for various obligations of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business that has been divested in the event that a third party does not live up to its obligations under an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indemnification obligation. We record a liability for our indemnification obligations and other contingent liabilities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when probable and reasonably estimable.</w:t>
      </w:r>
    </w:p>
    <w:p>
      <w:pPr>
        <w:pStyle w:val="TextBody"/>
        <w:bidi w:val="0"/>
        <w:spacing w:lineRule="atLeast" w:line="220" w:before="0" w:after="0"/>
        <w:jc w:val="left"/>
        <w:rPr>
          <w:rFonts w:ascii="Times New Roman;serif" w:hAnsi="Times New Roman;serif"/>
          <w:b/>
          <w:i w:val="false"/>
          <w:caps w:val="false"/>
          <w:smallCaps w:val="false"/>
          <w:strike w:val="false"/>
          <w:dstrike w:val="false"/>
          <w:sz w:val="22"/>
          <w:u w:val="none"/>
          <w:effect w:val="none"/>
        </w:rPr>
      </w:pPr>
      <w:r>
        <w:rPr>
          <w:rFonts w:ascii="Times New Roman;serif" w:hAnsi="Times New Roman;serif"/>
          <w:b/>
          <w:i w:val="false"/>
          <w:caps w:val="false"/>
          <w:smallCaps w:val="false"/>
          <w:strike w:val="false"/>
          <w:dstrike w:val="false"/>
          <w:sz w:val="22"/>
          <w:u w:val="none"/>
          <w:effect w:val="none"/>
        </w:rPr>
        <w:t>Legal Matters</w:t>
      </w:r>
    </w:p>
    <w:p>
      <w:pPr>
        <w:pStyle w:val="TextBody"/>
        <w:bidi w:val="0"/>
        <w:spacing w:lineRule="atLeast" w:line="220" w:before="0" w:after="0"/>
        <w:jc w:val="left"/>
        <w:rPr>
          <w:rFonts w:ascii="Times New Roman;serif" w:hAnsi="Times New Roman;serif"/>
          <w:b/>
          <w:i/>
          <w:strike w:val="false"/>
          <w:dstrike w:val="false"/>
          <w:sz w:val="22"/>
          <w:u w:val="none"/>
          <w:effect w:val="none"/>
        </w:rPr>
      </w:pPr>
      <w:r>
        <w:rPr>
          <w:rFonts w:ascii="Times New Roman;serif" w:hAnsi="Times New Roman;serif"/>
          <w:b/>
          <w:i/>
          <w:strike w:val="false"/>
          <w:dstrike w:val="false"/>
          <w:sz w:val="22"/>
          <w:u w:val="none"/>
          <w:effect w:val="none"/>
        </w:rPr>
        <w:t>General</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On an ongoing basis, we vigorously defend ourselves in numerous lawsuits and proceedings and respond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various investigations and inquiries from federal, state, local and international authorities (collectively, </w:t>
      </w:r>
    </w:p>
    <w:p>
      <w:pPr>
        <w:pStyle w:val="TextBody"/>
        <w:bidi w:val="0"/>
        <w:spacing w:lineRule="atLeast" w:line="22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2"/>
          <w:u w:val="none"/>
          <w:effect w:val="none"/>
        </w:rPr>
        <w:t xml:space="preserve">Litigation”). Litigation may be brought against us without merit, and is inherently uncertain and always difficult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to predict. However, based on our understanding and evaluation of the relevant facts and circumstances, we believe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that the following matters are not likely, in the aggregate, to result in a material adverse effect on our business,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financial condition and results of operations.</w:t>
      </w:r>
    </w:p>
    <w:p>
      <w:pPr>
        <w:pStyle w:val="TextBody"/>
        <w:bidi w:val="0"/>
        <w:spacing w:lineRule="atLeast" w:line="220" w:before="0" w:after="0"/>
        <w:jc w:val="left"/>
        <w:rPr>
          <w:rFonts w:ascii="Times New Roman;serif" w:hAnsi="Times New Roman;serif"/>
          <w:b/>
          <w:i/>
          <w:strike w:val="false"/>
          <w:dstrike w:val="false"/>
          <w:sz w:val="22"/>
          <w:u w:val="none"/>
          <w:effect w:val="none"/>
        </w:rPr>
      </w:pPr>
      <w:r>
        <w:rPr>
          <w:rFonts w:ascii="Times New Roman;serif" w:hAnsi="Times New Roman;serif"/>
          <w:b/>
          <w:i/>
          <w:strike w:val="false"/>
          <w:dstrike w:val="false"/>
          <w:sz w:val="22"/>
          <w:u w:val="none"/>
          <w:effect w:val="none"/>
        </w:rPr>
        <w:t>Litigation Relating to the WBD Merger</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April 2026, Pamela Faust, together with four other consumers of streaming, cable television, news media,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theatrical entertainment programming, filed a private antitrust action in the U.S. District Court for the Northern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District of California against Paramount and Skydance relating to the WBD Merger. The complaint seeks to block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WBD Merger, among other relief. In May 2026, the plaintiffs filed a motion for a preliminary injunction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enjoin the WBD Merger pending a trial on the merits. In June 2026, we filed a motion to dismiss and an opposition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to the plaintiffs’ motion for a preliminary injunction. A hearing took place on July 16, 2026 on the plaintiffs’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motion for a preliminary injunction and our motion to dismiss. The Court denied the plaintiffs’ motion for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preliminary injunction and is still considering our motion to dismiss.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July 2026, twelve states (California, Arizona, Colorado, Connecticut, Massachusetts, Minnesota, Nevada, New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Jersey, New Mexico, New York, Oregon and Washington) filed an antitrust action in the U.S. District Court for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Northern District of California against Paramount and WBD relating to the WBD Merger. The complaint seeks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block the WBD Merger, among other relief. On July 13, 2026, the plaintiff-states filed a motion for a temporary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restraining order and to show cause why a preliminary injunction should not issue. We filed our opposition on July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16, 2026, and the Court held a hearing on the plaintiff-states’ motion on July 17, 2026. On July 20, 2026, the Court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granted the motion for a temporary restraining order and set a briefing schedule for the preliminary injunction. 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July 22, 2026, we filed a motion seeking a three-day evidentiary hearing for the preliminary injunction during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week of August 17 or August 24 and to amend the briefing schedule. On July 23, 2026, the plaintiff-states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informed the Court that they would not file their preliminary injunction motion that day, and that the filing timeline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would depend on the outcome of further discussions with the defendants. On July 24, 2026, the plaintiff-states,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WGA plaintiffs (described below), and defendants entered a stipulation agreeing that the WBD Merger will not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close, and defendants will not take any steps to integrate their operations, until the earlier of (1) five days after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merits determination in these actions or (2) June 1, 2027. The parties also cancelled the briefing schedule and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August 3, 2026 hearing on the plaintiff-states’ preliminary injunction motion and agreed to file a joint trial-</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scheduling statement by July 31, 2026. The Court granted the stipulation the same day. On July 31, 2026,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parties, together with the WGA plaintiffs, filed a joint scheduling statement. On August 4, 2026, the Court entered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an order for a single 12-day trial beginning March 2, 2027 and ending March 19, 2027 covering both the plaintiff-</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states and WGA plaintiffs cases.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July 2026, the Writers Guild of America, West, Inc., and Writers Guild of America East, Inc. filed a private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antitrust action in the U.S. District Court for the Northern District of California against Paramount and WBD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relating to the WBD Merger. The complaint seeks to block the WBD Merger, among other relief. On July 17,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2026, the case was reassigned to Judge Araceli Martinez-Olguin from Magistrate Judge Peter H. Kang. On July 21,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2026, the plaintiffs filed a motion for a preliminary injunction and a motion to expedite the preliminary injunction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briefing schedule. On July 22, 2026, we filed an opposition to the motion to expedite. On July 23, 2026,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plaintiffs filed a reply to the motion to expedite. That same day, the Court issued an order aligning the briefing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schedule on the motions for preliminary injunction in both the state and the WGA actions, extending the temporary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restraining order to August 17, 2026. On July 24, 2026, the plaintiff-states, the WGA plaintiffs, and the defendants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entered a stipulation agreeing that the WBD Merger will not close, and defendants will not take any steps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integrate their operations as described above. The stipulation also provides that the WGA plaintiffs will withdraw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their preliminary injunction motion and that the parties will file a joint trial-scheduling statement by July 31, 2026.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Court granted the stipulation the same day. As described above, on August 4, 2026, the Court entered an order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for a single 12-day trial beginning March 2, 2027 and ending March 19, 2027 covering both the plaintiff-states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WGA plaintiffs cases.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July 2026, Paul Robbins, a Paramount stockholder, filed a derivative lawsuit in the Delaware Court of Chancery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against certain of our officers and directors, alleging that they breached their fiduciary duty of loyalty in pursuit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Paramount’s acquisition of WBD. The plaintiff seeks to enjoin the WBD Merger and monetary damages, among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other relief, and has asked the Court to expedite the proceedings to allow him to seek an injunction. On July 26,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2026, the plaintiff sent an email to the Court withdrawing his request to expedite the matter in light of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stipulation in the pending state antitrust lawsuit described above. The plaintiff has asked the Court to order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parties to meet and confer to discuss a schedule in the matter. On July 27, 2026, the defendants submitted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response letter stating that, given that the plaintiff was withdrawing his motion to expedite, the schedule governing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matter should be no different than any other non-expedited matter, that they intended to file a motion to dismiss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at the appropriate time, and that they will also file a motion to stay discovery pending resolution of that motion if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the plaintiff does not stipulate to such a stay.</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addition, we have received demand letters from purported holders of our Class B Common Stock requesting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inspection of books and records to investigate possible breaches of fiduciary duties or other misconduct 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connection with the WBD Merger.</w:t>
      </w:r>
    </w:p>
    <w:p>
      <w:pPr>
        <w:pStyle w:val="TextBody"/>
        <w:bidi w:val="0"/>
        <w:spacing w:lineRule="atLeast" w:line="220" w:before="0" w:after="0"/>
        <w:jc w:val="left"/>
        <w:rPr>
          <w:rFonts w:ascii="Times New Roman;serif" w:hAnsi="Times New Roman;serif"/>
          <w:b/>
          <w:i/>
          <w:strike w:val="false"/>
          <w:dstrike w:val="false"/>
          <w:sz w:val="22"/>
          <w:u w:val="none"/>
          <w:effect w:val="none"/>
        </w:rPr>
      </w:pPr>
      <w:r>
        <w:rPr>
          <w:rFonts w:ascii="Times New Roman;serif" w:hAnsi="Times New Roman;serif"/>
          <w:b/>
          <w:i/>
          <w:strike w:val="false"/>
          <w:dstrike w:val="false"/>
          <w:sz w:val="22"/>
          <w:u w:val="none"/>
          <w:effect w:val="none"/>
        </w:rPr>
        <w:t>Litigation Relating to the Skydance Transactions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connection with the Skydance Transactions, in July 2024, Scott Baker, a purported holder of Paramount Global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Class B Common Stock, filed a putative class action lawsuit in the Court of Chancery of the State of Delaware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against NAI, Shari E. Redstone, Barbara M. Byrne, Linda M. Griego, Judith A. McHale, Charles E. Phillips, Jr.,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Susan Schuman, Skydance and David Ellison (the “Baker Action”). The complaint alleges breaches of fiduciary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duties to Paramount Global Class B stockholders in connection with the negotiation and approval of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Transaction Agreement, among other claims, and seeks unspecified damages, costs and expenses, as well as other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relief. In November 2024, the Court granted the parties’ stipulation in the Baker Action to (i) postpone briefing 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motions to dismiss until the filing or designation of an operative complaint following resolution of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plaintiff’s motion to appoint him and the Baerlocher Family Trust, a purported holder of Paramount Global Class B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Common Stock, as co-lead plaintiffs and Berger Montague PC as interim class counsel (the “Baker Leadership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Motion”), and (ii) stay discovery until resolution of any motion to dismiss an operative complaint following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resolution of the Baker Leadership Motion. In October 2024, various purported stockholders filed motions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intervene to oppose the Baker Leadership Motion. In December 2024, the plaintiff, along with Mark Baerlocher, as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trustee for the Baerlocher Family Trust, filed an amended complaint alleging the same breaches of fiduciary duties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against the same defendants as in the original complaint. In June 2025, counsel for Mr. Baker informed the Court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that the Baker Leadership Motion would be withdrawn without prejudice and that the group of purported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stockholders seeking lead plaintiff status would meet and confer to propose a schedule for resolving lead plaintiff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applications.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April 2024, the State of Rhode Island Office of the General Treasurer, on behalf of the Employees’ Retirement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System of Rhode Island, a purported holder of Paramount Global Class B Common Stock, filed a verified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complaint for the inspection of books and records under Section 220 of the General Corporation Law of the State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of Delaware (the “DGCL”) in the Court of Chancery of the State of Delaware against us, seeking the inspection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books and records to investigate whether Paramount Global’s Board of Directors, NAI, Shari E. Redstone and/or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certain executive officers may have breached their fiduciary duties to stockholders for alleged diversion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corporate opportunities (the “220 Action”). The magistrate judge held a trial in July 2024 and denied the request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for inspection. The plaintiff filed an exception to the Court, and in January 2025, the Court ruled that the plaintiff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was entitled to obtain books and records that were both necessary and sufficient to fulfill the purpose of its request.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February 2025, the Court granted an implementing order returning the 220 Action to the magistrate judge for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further proceedings on the scope of production. In March 2025, the Court granted our application for certification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of interlocutory appeal to the Delaware Supreme Court, which was accepted in April 2025. In March 2026,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Delaware Supreme Court affirmed the trial court’s decision and remanded the case for further proceedings.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parties submitted supplemental briefs to the Court in June 2026 and submitted reply supplemental briefs in July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2026 concerning the appropriate scope of further inspection.</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Certain other purported holders of Paramount Global Class B Common Stock and Class A Common Stock have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delivered demand letters requesting the inspection of books and records to investigate similar alleged breaches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fiduciary duties in connection with the Skydance Transactions. We have also received demand letters from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purported holders of Paramount Global Class B Common Stock related to alleged omissions in our registration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statement on Form S-4.</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Additionally, in August 2024, LiveVideo.AI Corp. filed a lawsuit in the U.S. District Court for the Southern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District of New York against Shari E. Redstone, NAI, Christine Varney and Monica Seligman, alleging that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defendants did not fairly consider its offer to purchase Paramount Global. The complaint asserts claims for unfair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competition, tortious interference, unjust enrichment and aiding and abetting breach of fiduciary duty, among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others, and seeks unspecified monetary damages, costs and other relief. The defendants were never served.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parties exchanged several filings related to service and default. In August 2025, the magistrate judge issued a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Report and Recommendation recommending that the case be dismissed and that the Court impose $10,000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monetary sanctions against LiveVideo.AI Corp. In September 2025, the district judge adopted the report in full,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dismissed the case, imposed the sanctions, and enjoined LiveVideo.AI Corp. from filing any further lawsuits in any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federal district court arising out of the Skydance Transactions. LiveVideo.AI Corp. filed a notice of appeal 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November 2025, and in April 2026, the appeal was dismissed. In April 2026, LiveVideo.AI Corp. moved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reinstate the appeal, and in May 2026, the Court denied the motion. LiveVideo.AI Corp. again moved to reinstate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appeal in June 2026. The parties are currently litigating a motion for sanctions against the plaintiff. In June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2026, following briefing, the Court granted defendants’ motion for sanctions against LiveVideo.AI Corp. and its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counsel. LiveVideo.AI Corp. filed a notice of appeal on July 1, 2026.</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August 2025, Gabelli Value 25 Fund Inc. (“Gabelli”) filed a putative class action complaint in the Court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Chancery of the State of Delaware against Barbara M. Byrne, Linda M. Griego, Judith A. McHale, Charles 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Phillips, Jr., Susan Schuman, Harbor Lights (f/k/a National Amusements, Inc.) and Shari E. Redstone (the “NAI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Defendants”), and Skydance Media, LLC and RB Tentpole LP (the “Skydance Defendants”), alleging breach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fiduciary duty against all defendants and unjust enrichment against the NAI Defendants (the “Gabelli Action”).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Gabelli seeks a declaratory judgment, damages, including rescissory damages and/or quasi-appraisal damages,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disgorgement of NAI’s profits, fees and costs, and pre- and post-judgment interest. In September 2025,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Skydance Defendants filed placeholder motions to dismiss, and Gabelli filed a motion to be appointed as interim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lead plaintiff representing former minority holders of Paramount Global Class A Common Stock (the “Gabelli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Class A Leadership Motion”). In October 2025, counsel for Gabelli filed a letter with the Court indicating that no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competing motions or objections to the Gabelli Class A Leadership Motion were filed and proposed that the Court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appoint Gabelli as lead plaintiff. In November 2025, the Court granted the Gabelli Class A Leadership Motion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appointed Gabelli as lead plaintiff to prosecute the claims on behalf of the Class A minority shareholders.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Defendants moved to stay discovery pending resolution of any filed and forthcoming motions to dismiss, and 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February 2026, the Court granted defendants’ motion to stay discovery.</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February 2025, New York City Employees’ Retirement System, the New York City Fire Department Pension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Fund, the New York City Police Pension Fund, the New York City Board of Education Retirement System, and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Teachers’ Retirement System of the City of New York, purported holders of Paramount Global Class B Common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Stock and Class A Common Stock, filed a putative class action lawsuit in the Court of Chancery of the State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Delaware against Barbara M. Byrne, Linda M. Griego, Judith A. McHale and Susan Schuman, alleging breaches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fiduciary duties for their alleged failure to sufficiently consider an alternative offer that the plaintiffs claimed was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superior to the Skydance Transactions (the “NYCERS Action”). The plaintiffs argue that the no-shop provision 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Transaction Agreement should be declared invalid and unenforceable because it prevented the parties from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engaging in further deal discussions and negotiations with companies other than Skydance, including, specifically,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Project Rise Partners, after the no-shop period began. The plaintiffs further assert that the Court has the power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invalidate this provision because Skydance allegedly aided and abetted NAI’s and Shari E. Redstone’s breach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fiduciary duties, including by agreeing to indemnify Shari E. Redstone (through Skydance’s separate agreement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with NAI) for any breach of fiduciary duty claims arising out of the Skydance Transactions up to a certain amount.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Skydance, NAI, Shari E. Redstone and Paramount Global were not named as defendants in the original complaint.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NYCERS Action originally sought, among other forms of relief, an order from the Court enjoining the closing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of the Skydance Transactions until the Court reached a final resolution on the plaintiffs’ claims and an order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compelling the special committee of Paramount Global’s Board of Directors to evaluate Project Rise Partners’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alternative offer to, among other things, acquire Paramount Global Class A Common Stock for $23.00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share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and Paramount Global Class B Common Stock for $19.00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share. The Project Rise Partners’ offer was made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after the go-shop period in the Transaction Agreement had ended. The plaintiffs filed a motion for expedited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proceedings along with their complaint. In February 2025, the plaintiffs moved to join Paramount Global,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Skydance, Shari E. Redstone, NAI and various other entities named in the Transaction Agreement as necessary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parties to the litigation and moved for a temporary restraining order preventing the closing of the Skydance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Transactions until the Court considered the plaintiffs’ anticipated motion for injunctive relief following expedited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discovery. In March 2025, the Court allowed plaintiffs to amend the complaint to add Paramount Global,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Skydance, Shari E. Redstone, NAI and the various other entities as defendants. The amended complaint seeks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compensatory damages. The parties reached an agreement to withdraw the plaintiffs’ request for expedition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their application for injunctive relief in exchange for targeted discovery from certain of the defendants and third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parties. The productions are now complete.</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April 2026, the Court held a status conference in the Baker Action, the NYCERS Action and the Gabelli Action,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at which the Court indicated a preference for coordinating the Class A and Class B stockholder actions and for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providing Class A stockholders discovery equivalent to that provided to Class B stockholders. It directed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parties to submit a proposed scheduling order governing, among other things, the filing of plenary complaints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appointment of Class B leadership. In July 2026, following another status conference, the Court entered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scheduling order which sets a deadline in October 2026 for briefing the Class B leadership dispute.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April 2025, Metropolitan Water Reclamation District Retirement Fund, Laborers’ and Retirement Board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Employees’ Annuity and Benefit Fund of Chicago, Gary Mendelsohn, and Park Employees’ Annuity and Benefit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Fund of Chicago, purported holders of Paramount Global Class B Common Stock, filed a complaint for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inspection of books and records under Section 220 of the DGCL in the Court of Chancery of the State of Delaware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against us to maintain standing to enforce their statutory inspection rights and seek an order to produce all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books and records identified in their Section 220 demands to investigate possible breaches of fiduciary duties 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connection with the Skydance Transactions. The complaint alleges that the documents produced to such purported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stockholders thus far pursuant to their Section 220 demands are insufficient. The complaint seeks an order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requiring us to produce the documents identified in their Section 220 demands, among other relief. In November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2025, the parties contacted the Court with a request to lift the stay and schedule a trial. A magistrate judge held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trial in March 2026. Subsequently, the parties simultaneously submitted supplemental briefs in April 2026.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Court issued a decision in June 2026, which held in part that inspection of certain informal board materials would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be necessary and essential to satisfy plaintiffs’ demands. The parties are negotiating further inspection.</w:t>
      </w:r>
    </w:p>
    <w:p>
      <w:pPr>
        <w:pStyle w:val="TextBody"/>
        <w:bidi w:val="0"/>
        <w:spacing w:lineRule="atLeast" w:line="220" w:before="0" w:after="0"/>
        <w:jc w:val="both"/>
        <w:rPr>
          <w:rFonts w:ascii="Times New Roman;serif" w:hAnsi="Times New Roman;serif"/>
          <w:b/>
          <w:i/>
          <w:strike w:val="false"/>
          <w:dstrike w:val="false"/>
          <w:sz w:val="22"/>
          <w:u w:val="none"/>
          <w:effect w:val="none"/>
        </w:rPr>
      </w:pPr>
      <w:r>
        <w:rPr>
          <w:rFonts w:ascii="Times New Roman;serif" w:hAnsi="Times New Roman;serif"/>
          <w:b/>
          <w:i/>
          <w:strike w:val="false"/>
          <w:dstrike w:val="false"/>
          <w:sz w:val="22"/>
          <w:u w:val="none"/>
          <w:effect w:val="none"/>
        </w:rPr>
        <w:t>Litigation Relating to Video Streaming Patents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August 2025, Nokia Technologies Oy (“Nokia”) filed complaints alleging infringement of patents related to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video streaming against Paramount in the United States, Brazil, Germany and the Unified Patent Court (“UPC”) in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Europe. In November 2025, Paramount filed a rate-setting action against Nokia</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in the High Court of Justice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England and Wales (“U.K. Court”). In March 2026, Nokia submitted to the jurisdiction of the U.K. Court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agreed to a mechanism in which the U.K. Court would determine reasonable and non-discriminatory terms for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global license to Nokia’s video patent portfolio, Paramount would make a refundable interim payment to Nokia as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determined by the U.K. Court, and all parallel litigation involving Nokia’s video patent portfolio would be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withdrawn or dismissed by the parties. The interim payment amount is entirely without prejudice to the amount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payable for the license to be determined at trial and is refundable in that if it exceeds the U.K. Court’s final rate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determination, then Nokia will refund the difference to Paramount with interest. Nokia’s complaints filed in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United States, Brazil, Germany, and the UPC were dismissed without prejudice, and the U.K. Court set the interim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payment amount in June 2026. The trial is scheduled for late 2026.</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both"/>
        <w:rPr>
          <w:rFonts w:ascii="Times New Roman;serif" w:hAnsi="Times New Roman;serif"/>
          <w:b/>
          <w:i/>
          <w:strike w:val="false"/>
          <w:dstrike w:val="false"/>
          <w:sz w:val="22"/>
          <w:u w:val="none"/>
          <w:effect w:val="none"/>
        </w:rPr>
      </w:pPr>
      <w:r>
        <w:rPr>
          <w:rFonts w:ascii="Times New Roman;serif" w:hAnsi="Times New Roman;serif"/>
          <w:b/>
          <w:i/>
          <w:strike w:val="false"/>
          <w:dstrike w:val="false"/>
          <w:sz w:val="22"/>
          <w:u w:val="none"/>
          <w:effect w:val="none"/>
        </w:rPr>
        <w:t>Claims Related to Former Businesses</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Asbestos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We are a defendant in lawsuits claiming various personal injuries related to asbestos and other materials, which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allegedly occurred as a result of exposure caused by various products manufactured by Westinghouse, a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predecessor, generally prior to the early 1970s. Westinghouse was neither a producer nor a manufacturer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asbestos. We are typically named as one of a large number of defendants in both state and federal cases. In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majority of asbestos lawsuits, the plaintiffs have not identified which of our products is the basis of a claim. Claims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against us in which a product has been identified most commonly relate to allegations of exposure to asbestos-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containing insulating material used in conjunction with turbines and electrical equipment.</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Claims are frequently filed and/or settled in groups, which may make the amount and timing of settlements,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number of pending claims, subject to significant fluctuation from period to period. We do not report as pending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those claims on inactive, stayed, deferred or similar dockets that some jurisdictions have established for claimants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who allege minimal or no impairment. As of June 30, 2026, we had pending approximately 18,300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asbestos claims,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as compared with approximately 17,490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as of December 31, 2025. During the second 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of 2026, we received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approximately 860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new claims and closed or moved to an inactive docket approximately 610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claims. We report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claims as closed when we become aware that a dismissal order has been entered by a court or when we have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reached agreement with the claimants on the material terms of a settlement. Settlement costs depend on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seriousness of the injuries that form the basis of the claims, the quality of evidence supporting the claims and other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factors. Our total costs for settlement and defense of asbestos claims after insurance recoveries and net of tax, were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approximately $23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for the Successor period from August 7 - December 31, 2025, $11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$34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for the Predecessor periods from January 1 - August 6, 2025, and the year ended December 31, 2024,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respectively. Our costs for settlement and defense of asbestos claims may vary year to year and insurance proceeds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are not always recovered in the same period as the insured portion of the expenses.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Filings include claims for individuals suffering from mesothelioma, a rare cancer, the risk of which is allegedly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increased by exposure to asbestos; lung cancer, a cancer which may be caused by various factors, one of which is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alleged to be asbestos exposure; other cancers, and conditions that are substantially less serious, including claims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brought on behalf of individuals who are asymptomatic as to an allegedly asbestos-related disease. A significant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number of pending claims against us are non-cancer claims. It is difficult to predict long-term future asbestos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liabilities, as events and circumstances may impact the estimate. </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Environmental and Other</w:t>
      </w:r>
      <w:r>
        <w:rPr>
          <w:caps w:val="false"/>
          <w:smallCaps w:val="false"/>
          <w:strike w:val="false"/>
          <w:dstrike w:val="false"/>
          <w:sz w:val="24"/>
          <w:u w:val="none"/>
          <w:effect w:val="none"/>
        </w:rPr>
        <w: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From time to time, we also receive claims from federal and state environmental regulatory agencies and other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entities asserting that we are or may be liable for environmental cleanup costs and related damages principally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relating to our historical and predecessor operations. In addition, from time to time we receive personal injury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claims including toxic tort and product liability claims (other than asbestos) arising from our historical operations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and predecessors. </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Contingent Liabilities Relating to Former Businesses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connection with recording Paramount Global’s net assets at the Ultimate Parent’s basis, “Other liabilities” was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increased to reflect the fair value of Paramount Global’s estimated contingent liabilities for the defense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settlement of asbestos lawsuits as well as claims from federal and state environmental regulatory agencies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other entities asserting liability for environmental cleanup costs and related damages (See Note 2). The estimated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fair value of the asbestos-related liability was determined in consultation with a third-party firm with expertise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estimating asbestos liability and represents the estimate of the amount a third party would pay to take on the risk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any asbestos-related future losses.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We record an accrual for a loss contingency when it is both probable that a liability has been incurred and when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amount of the loss can be reasonably estimated. The reasonably estimable period for our long-term asbestos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liability is 10 years, which we determine in consultation with a third-party firm with expertise in estimating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asbestos liability and is due to the inherent uncertainties in the tort litigation system. This estimate is based upon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many factors, including the number of outstanding claims, estimated average cost per claim, the breakdown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claims by disease type, historic claim filings, costs per claim of resolution and the filing of new claims, and is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assessed in consultation with the third-party firm. While we believe that our accruals for these matters are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adequate, there can be no assurance that circumstances will not change in future periods and, as a result, our actual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liabilities may be higher or lower than our accrual.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trike w:val="false"/>
          <w:dstrike w:val="false"/>
          <w:sz w:val="22"/>
          <w:u w:val="none"/>
          <w:effect w:val="none"/>
        </w:rPr>
      </w:pPr>
      <w:r>
        <w:rPr>
          <w:rFonts w:ascii="Times New Roman;serif" w:hAnsi="Times New Roman;serif"/>
          <w:b/>
          <w:i w:val="false"/>
          <w:caps w:val="false"/>
          <w:smallCaps w:val="false"/>
          <w:strike w:val="false"/>
          <w:dstrike w:val="false"/>
          <w:sz w:val="22"/>
          <w:u w:val="none"/>
          <w:effect w:val="none"/>
        </w:rPr>
        <w:t>15) SUPPLEMENTAL FINANCIAL INFORMATION</w:t>
      </w:r>
    </w:p>
    <w:p>
      <w:pPr>
        <w:pStyle w:val="TextBody"/>
        <w:bidi w:val="0"/>
        <w:spacing w:lineRule="atLeast" w:line="220" w:before="0" w:after="0"/>
        <w:jc w:val="both"/>
        <w:rPr>
          <w:sz w:val="24"/>
          <w:u w:val="single"/>
        </w:rPr>
      </w:pPr>
      <w:r>
        <w:rPr>
          <w:rFonts w:ascii="Times New Roman;serif" w:hAnsi="Times New Roman;serif"/>
          <w:b w:val="false"/>
          <w:i/>
          <w:strike w:val="false"/>
          <w:dstrike w:val="false"/>
          <w:sz w:val="22"/>
          <w:u w:val="none"/>
          <w:effect w:val="none"/>
        </w:rPr>
        <w:t>Supplemental Cash Flow Information</w:t>
      </w:r>
      <w:r>
        <w:rPr>
          <w:strike w:val="false"/>
          <w:dstrike w:val="false"/>
          <w:sz w:val="24"/>
          <w:u w:val="none"/>
          <w:effect w:val="none"/>
        </w:rPr>
        <w:t xml:space="preserve"> </w:t>
      </w:r>
    </w:p>
    <w:tbl>
      <w:tblPr>
        <w:tblW w:w="7400" w:type="dxa"/>
        <w:jc w:val="left"/>
        <w:tblInd w:w="0" w:type="dxa"/>
        <w:tblLayout w:type="fixed"/>
        <w:tblCellMar>
          <w:top w:w="28" w:type="dxa"/>
          <w:left w:w="28" w:type="dxa"/>
          <w:bottom w:w="28" w:type="dxa"/>
          <w:right w:w="28" w:type="dxa"/>
        </w:tblCellMar>
      </w:tblPr>
      <w:tblGrid>
        <w:gridCol w:w="3631"/>
        <w:gridCol w:w="190"/>
        <w:gridCol w:w="923"/>
        <w:gridCol w:w="192"/>
        <w:gridCol w:w="109"/>
        <w:gridCol w:w="1006"/>
        <w:gridCol w:w="186"/>
        <w:gridCol w:w="900"/>
        <w:gridCol w:w="263"/>
      </w:tblGrid>
      <w:tr>
        <w:trPr/>
        <w:tc>
          <w:tcPr>
            <w:tcW w:w="36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63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49"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36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363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paid for interest</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$448</w:t>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$411</w:t>
            </w:r>
          </w:p>
        </w:tc>
        <w:tc>
          <w:tcPr>
            <w:tcW w:w="26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(received) paid for income taxes</w:t>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w:t>
            </w:r>
          </w:p>
        </w:tc>
        <w:tc>
          <w:tcPr>
            <w:tcW w:w="263" w:type="dxa"/>
            <w:tcBorders/>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Noncash additions to operating lease assets</w:t>
            </w:r>
          </w:p>
        </w:tc>
        <w:tc>
          <w:tcPr>
            <w:tcW w:w="19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3"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19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w:t>
            </w:r>
          </w:p>
        </w:tc>
        <w:tc>
          <w:tcPr>
            <w:tcW w:w="26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Warner Bros. Discovery—Advance Consideration</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 the first quarter of 2026, under the terms of the WBD Merger Agreement, we paid a termination fee of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$2.8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to Netflix on behalf of WBD in connection with the termination of a prior merger agreement between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Netflix and WBD. The termination fee will be included in the total consideration to be allocated to WBD’s assets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and liabilities as of the acquisition date, and accordingly has been included within “Advance consideration for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WBD acquisition” on the Consolidated Balance Sheet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within Investing Activities on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Consolidated Statement of Cash Flows for the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June 30, 2026.  </w:t>
      </w:r>
    </w:p>
    <w:p>
      <w:pPr>
        <w:pStyle w:val="TextBody"/>
        <w:bidi w:val="0"/>
        <w:spacing w:lineRule="atLeast" w:line="220" w:before="0" w:after="0"/>
        <w:jc w:val="both"/>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Lease Income</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We enter into operating leases for the use of our owned production facilities and office buildings. Lease payments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received under these agreements consist of fixed payments for the rental of space and certain building operating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costs, as well as variable payments based on usage of production facilities and services, and escalating costs of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building operations. We recorded total lease income, including both fixed and variable amounts, of $8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$16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for the three and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(Successor), respectively, and $12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and $21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for the three and six months ended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(Predecessor), respectively.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 AND SUBSIDIARIES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NOTES TO CONSOLIDATED FINANCIAL STATEMENTS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both"/>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FCC Licenses Impairment Charges (Predecessor)</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Prior to the third quarter of 2025, FCC licenses were classified as indefinite-lived intangible assets, which were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tested for impairment on an annual basis and between annual tests if events occurred or circumstances changed that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would more likely than not reduce the fair value below carrying value. For the second quarter of 2025, as a result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of declines in industry projections, we determined that interim impairment tests were necessary for six markets in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which we hold FCC</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licenses.</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The impairment tests indicated that the estimated fair values of FCC licenses in each of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markets tested were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below their respective carrying values. Accordingly, we recorded an impairment charge during the second quarter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of 2025 of $157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to write down the carrying values of these FCC licenses to their then aggregate estimated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fair value.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77" w:type="dxa"/>
        <w:jc w:val="left"/>
        <w:tblInd w:w="0" w:type="dxa"/>
        <w:tblLayout w:type="fixed"/>
        <w:tblCellMar>
          <w:top w:w="28" w:type="dxa"/>
          <w:left w:w="28" w:type="dxa"/>
          <w:bottom w:w="28" w:type="dxa"/>
          <w:right w:w="28" w:type="dxa"/>
        </w:tblCellMar>
      </w:tblPr>
      <w:tblGrid>
        <w:gridCol w:w="811"/>
        <w:gridCol w:w="8866"/>
      </w:tblGrid>
      <w:tr>
        <w:trPr/>
        <w:tc>
          <w:tcPr>
            <w:tcW w:w="811" w:type="dxa"/>
            <w:tcBorders/>
            <w:vAlign w:val="center"/>
          </w:tcPr>
          <w:p>
            <w:pPr>
              <w:pStyle w:val="TableContents"/>
              <w:bidi w:val="0"/>
              <w:spacing w:before="0" w:after="283"/>
              <w:jc w:val="left"/>
              <w:rPr>
                <w:sz w:val="4"/>
                <w:szCs w:val="4"/>
              </w:rPr>
            </w:pPr>
            <w:r>
              <w:rPr>
                <w:sz w:val="4"/>
                <w:szCs w:val="4"/>
              </w:rPr>
            </w:r>
          </w:p>
        </w:tc>
        <w:tc>
          <w:tcPr>
            <w:tcW w:w="8866"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Item 2.</w:t>
            </w:r>
          </w:p>
        </w:tc>
        <w:tc>
          <w:tcPr>
            <w:tcW w:w="8866"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Management’s Discussion and Analysis of Results of Operations and Financial Condition.</w:t>
            </w:r>
          </w:p>
        </w:tc>
      </w:tr>
      <w:tr>
        <w:trPr/>
        <w:tc>
          <w:tcPr>
            <w:tcW w:w="811" w:type="dxa"/>
            <w:tcBorders/>
            <w:vAlign w:val="center"/>
          </w:tcPr>
          <w:p>
            <w:pPr>
              <w:pStyle w:val="TableContents"/>
              <w:bidi w:val="0"/>
              <w:spacing w:before="0" w:after="283"/>
              <w:jc w:val="left"/>
              <w:rPr>
                <w:sz w:val="4"/>
                <w:szCs w:val="4"/>
              </w:rPr>
            </w:pPr>
            <w:r>
              <w:rPr>
                <w:sz w:val="4"/>
                <w:szCs w:val="4"/>
              </w:rPr>
            </w:r>
          </w:p>
        </w:tc>
        <w:tc>
          <w:tcPr>
            <w:tcW w:w="8866" w:type="dxa"/>
            <w:tcBorders/>
            <w:vAlign w:val="center"/>
          </w:tcPr>
          <w:p>
            <w:pPr>
              <w:pStyle w:val="TableContents"/>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tc>
      </w:tr>
    </w:tbl>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Management’s discussion and analysis of the results of operations and financial condition of Paramount Skydance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Corporation should be read in conjunction with the more detailed financial statements and notes thereto included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Form 8-K filed with the Securities and Exchange Commission on May 13, 2026, which was filed in order to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recast the financial statements included in our Annual Report on Form 10-K </w:t>
      </w:r>
      <w:r>
        <w:rPr>
          <w:rFonts w:ascii="Times New Roman;serif" w:hAnsi="Times New Roman;serif"/>
          <w:b w:val="false"/>
          <w:i w:val="false"/>
          <w:caps w:val="false"/>
          <w:smallCaps w:val="false"/>
          <w:strike w:val="false"/>
          <w:dstrike w:val="false"/>
          <w:sz w:val="22"/>
          <w:u w:val="none"/>
          <w:effect w:val="none"/>
        </w:rPr>
        <w:t>for the year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December 31, 2025</w:t>
      </w:r>
      <w:r>
        <w:rPr>
          <w:caps w:val="false"/>
          <w:smallCaps w:val="false"/>
          <w:sz w:val="24"/>
        </w:rPr>
        <w:t xml:space="preserv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to reflect our new segment presentation. References to “Paramount,” the “Company,” “we,” “us” and “our” refer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Paramount Skydance Corporation and its consolidated subsidiaries, unless the context otherwise requires.</w:t>
      </w:r>
    </w:p>
    <w:p>
      <w:pPr>
        <w:pStyle w:val="TextBody"/>
        <w:bidi w:val="0"/>
        <w:spacing w:lineRule="atLeast" w:line="220" w:before="0" w:after="0"/>
        <w:jc w:val="left"/>
        <w:rPr/>
      </w:pPr>
      <w:r>
        <w:rPr>
          <w:rFonts w:ascii="Times New Roman;serif" w:hAnsi="Times New Roman;serif"/>
          <w:b w:val="false"/>
          <w:i/>
          <w:sz w:val="22"/>
        </w:rPr>
        <w:t>Warner Bros. Discovery Merger</w:t>
      </w:r>
      <w:r>
        <w:rPr>
          <w:caps w:val="false"/>
          <w:smallCaps w:val="false"/>
        </w:rPr>
        <w:t>—</w:t>
      </w:r>
      <w:r>
        <w:rPr>
          <w:rFonts w:ascii="Times New Roman;serif" w:hAnsi="Times New Roman;serif"/>
          <w:b w:val="false"/>
          <w:i w:val="false"/>
          <w:caps w:val="false"/>
          <w:smallCaps w:val="false"/>
          <w:sz w:val="22"/>
        </w:rPr>
        <w:t xml:space="preserve">On February 27, 2026, Paramount and Warner Bros. Discovery, Inc. (“WBD”)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announced a definitive merger agreement (the “WBD Merger Agreement”) under which Paramount will acquire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WBD (the “WBD Merger”). The closing of the WBD Merger is subject to customary closing conditions, including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regulatory clearances. The anticipated closing of the WBD Merger has been delayed as a result of a lawsuit, with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the parties agreeing to postpone closing until the earlier of five days following the court’s ruling or June 1, 2027.</w:t>
      </w:r>
      <w:r>
        <w:rPr>
          <w:caps w:val="false"/>
          <w:smallCaps w:val="false"/>
          <w:strike w:val="false"/>
          <w:dstrike w:val="false"/>
          <w:sz w:val="24"/>
          <w:u w:val="none"/>
          <w:effect w:val="none"/>
        </w:rPr>
        <w:t xml:space="preserv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The completion of the WBD Merger remains subject to regulatory clearance in certain jurisdictions. Recent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approvals include the European Commission in July 2026 under both the EU Merger Regulation and EU Foreign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Subsidies Regulation following a Phase 1 review.</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Under the terms of the WBD Merger Agreement, Paramount will pay </w:t>
      </w:r>
      <w:r>
        <w:rPr>
          <w:rFonts w:ascii="Times New Roman;serif" w:hAnsi="Times New Roman;serif"/>
          <w:b w:val="false"/>
          <w:i w:val="false"/>
          <w:caps w:val="false"/>
          <w:smallCaps w:val="false"/>
          <w:strike w:val="false"/>
          <w:dstrike w:val="false"/>
          <w:sz w:val="22"/>
          <w:u w:val="none"/>
          <w:effect w:val="none"/>
        </w:rPr>
        <w:t>$31.00</w:t>
      </w:r>
      <w:r>
        <w:rPr>
          <w:caps w:val="false"/>
          <w:smallCaps w:val="false"/>
          <w:sz w:val="24"/>
        </w:rPr>
        <w:t xml:space="preserve"> </w:t>
      </w:r>
      <w:r>
        <w:rPr>
          <w:rFonts w:ascii="Times New Roman;serif" w:hAnsi="Times New Roman;serif"/>
          <w:b w:val="false"/>
          <w:i w:val="false"/>
          <w:caps w:val="false"/>
          <w:smallCaps w:val="false"/>
          <w:sz w:val="22"/>
        </w:rPr>
        <w:t xml:space="preserve">per WBD share to acquire all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outstanding shares of WBD, which at the time of the WBD Merger Agreement represented an equity value of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$80.9 billion</w:t>
      </w:r>
      <w:r>
        <w:rPr>
          <w:rFonts w:ascii="Times New Roman;serif" w:hAnsi="Times New Roman;serif"/>
          <w:b w:val="false"/>
          <w:i w:val="false"/>
          <w:caps w:val="false"/>
          <w:smallCaps w:val="false"/>
          <w:sz w:val="22"/>
        </w:rPr>
        <w:t xml:space="preserve">, and will assume WBD’s net debt. At March 31, 2026, WBD’s debt (excluding finance leases) was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comprised of </w:t>
      </w:r>
      <w:r>
        <w:rPr>
          <w:rFonts w:ascii="Times New Roman;serif" w:hAnsi="Times New Roman;serif"/>
          <w:b w:val="false"/>
          <w:i w:val="false"/>
          <w:caps w:val="false"/>
          <w:smallCaps w:val="false"/>
          <w:strike w:val="false"/>
          <w:dstrike w:val="false"/>
          <w:sz w:val="22"/>
          <w:u w:val="none"/>
          <w:effect w:val="none"/>
        </w:rPr>
        <w:t>$17.7 billion</w:t>
      </w:r>
      <w:r>
        <w:rPr>
          <w:caps w:val="false"/>
          <w:smallCaps w:val="false"/>
          <w:sz w:val="24"/>
        </w:rPr>
        <w:t xml:space="preserve"> </w:t>
      </w:r>
      <w:r>
        <w:rPr>
          <w:rFonts w:ascii="Times New Roman;serif" w:hAnsi="Times New Roman;serif"/>
          <w:b w:val="false"/>
          <w:i w:val="false"/>
          <w:caps w:val="false"/>
          <w:smallCaps w:val="false"/>
          <w:sz w:val="22"/>
        </w:rPr>
        <w:t xml:space="preserve">of senior notes and </w:t>
      </w:r>
      <w:r>
        <w:rPr>
          <w:rFonts w:ascii="Times New Roman;serif" w:hAnsi="Times New Roman;serif"/>
          <w:b w:val="false"/>
          <w:i w:val="false"/>
          <w:caps w:val="false"/>
          <w:smallCaps w:val="false"/>
          <w:strike w:val="false"/>
          <w:dstrike w:val="false"/>
          <w:sz w:val="22"/>
          <w:u w:val="none"/>
          <w:effect w:val="none"/>
        </w:rPr>
        <w:t>$15.0 billion</w:t>
      </w:r>
      <w:r>
        <w:rPr>
          <w:caps w:val="false"/>
          <w:smallCaps w:val="false"/>
          <w:sz w:val="24"/>
        </w:rPr>
        <w:t xml:space="preserve"> </w:t>
      </w:r>
      <w:r>
        <w:rPr>
          <w:rFonts w:ascii="Times New Roman;serif" w:hAnsi="Times New Roman;serif"/>
          <w:b w:val="false"/>
          <w:i w:val="false"/>
          <w:caps w:val="false"/>
          <w:smallCaps w:val="false"/>
          <w:sz w:val="22"/>
        </w:rPr>
        <w:t xml:space="preserve">of borrowings from a bridge facility. Furthermore, if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the WBD Merger closes, Paramount will pay WBD stockholders a per share “ticking fee” of </w:t>
      </w:r>
      <w:r>
        <w:rPr>
          <w:rFonts w:ascii="Times New Roman;serif" w:hAnsi="Times New Roman;serif"/>
          <w:b w:val="false"/>
          <w:i w:val="false"/>
          <w:caps w:val="false"/>
          <w:smallCaps w:val="false"/>
          <w:strike w:val="false"/>
          <w:dstrike w:val="false"/>
          <w:sz w:val="22"/>
          <w:u w:val="none"/>
          <w:effect w:val="none"/>
        </w:rPr>
        <w:t>$0.00277778</w:t>
      </w:r>
      <w:r>
        <w:rPr>
          <w:caps w:val="false"/>
          <w:smallCaps w:val="false"/>
          <w:sz w:val="24"/>
        </w:rPr>
        <w:t xml:space="preserve"> </w:t>
      </w:r>
      <w:r>
        <w:rPr>
          <w:rFonts w:ascii="Times New Roman;serif" w:hAnsi="Times New Roman;serif"/>
          <w:b w:val="false"/>
          <w:i w:val="false"/>
          <w:caps w:val="false"/>
          <w:smallCaps w:val="false"/>
          <w:sz w:val="22"/>
        </w:rPr>
        <w:t xml:space="preserve">for each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day after September 30, 2026 that the WBD Merger has not closed, up to a maximum of </w:t>
      </w:r>
      <w:r>
        <w:rPr>
          <w:rFonts w:ascii="Times New Roman;serif" w:hAnsi="Times New Roman;serif"/>
          <w:b w:val="false"/>
          <w:i w:val="false"/>
          <w:caps w:val="false"/>
          <w:smallCaps w:val="false"/>
          <w:strike w:val="false"/>
          <w:dstrike w:val="false"/>
          <w:sz w:val="22"/>
          <w:u w:val="none"/>
          <w:effect w:val="none"/>
        </w:rPr>
        <w:t>$0.25</w:t>
      </w:r>
      <w:r>
        <w:rPr>
          <w:caps w:val="false"/>
          <w:smallCaps w:val="false"/>
          <w:sz w:val="24"/>
        </w:rPr>
        <w:t xml:space="preserve"> </w:t>
      </w:r>
      <w:r>
        <w:rPr>
          <w:rFonts w:ascii="Times New Roman;serif" w:hAnsi="Times New Roman;serif"/>
          <w:b w:val="false"/>
          <w:i w:val="false"/>
          <w:caps w:val="false"/>
          <w:smallCaps w:val="false"/>
          <w:sz w:val="22"/>
        </w:rPr>
        <w:t xml:space="preserve">per WBD share per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90</w:t>
      </w:r>
      <w:r>
        <w:rPr>
          <w:caps w:val="false"/>
          <w:smallCaps w:val="false"/>
          <w:sz w:val="24"/>
        </w:rPr>
        <w:t xml:space="preserve"> </w:t>
      </w:r>
      <w:r>
        <w:rPr>
          <w:rFonts w:ascii="Times New Roman;serif" w:hAnsi="Times New Roman;serif"/>
          <w:b w:val="false"/>
          <w:i w:val="false"/>
          <w:caps w:val="false"/>
          <w:smallCaps w:val="false"/>
          <w:sz w:val="22"/>
        </w:rPr>
        <w:t xml:space="preserve">calendar day period (the “Ticking Consideration”). No Ticking Consideration is payable if the WBD Merger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Agreement is terminated pursuant to its terms. The WBD Merger Agreement has a termination date of March 4,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2027, subject to one automatic extension to June 4, 2027. Also, under the terms of the WBD Merger Agreement, in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the first quarter of 2026, Paramount paid a termination fee of </w:t>
      </w:r>
      <w:r>
        <w:rPr>
          <w:rFonts w:ascii="Times New Roman;serif" w:hAnsi="Times New Roman;serif"/>
          <w:b w:val="false"/>
          <w:i w:val="false"/>
          <w:caps w:val="false"/>
          <w:smallCaps w:val="false"/>
          <w:strike w:val="false"/>
          <w:dstrike w:val="false"/>
          <w:sz w:val="22"/>
          <w:u w:val="none"/>
          <w:effect w:val="none"/>
        </w:rPr>
        <w:t>$2.8 billion</w:t>
      </w:r>
      <w:r>
        <w:rPr>
          <w:caps w:val="false"/>
          <w:smallCaps w:val="false"/>
          <w:sz w:val="24"/>
        </w:rPr>
        <w:t xml:space="preserve"> </w:t>
      </w:r>
      <w:r>
        <w:rPr>
          <w:rFonts w:ascii="Times New Roman;serif" w:hAnsi="Times New Roman;serif"/>
          <w:b w:val="false"/>
          <w:i w:val="false"/>
          <w:caps w:val="false"/>
          <w:smallCaps w:val="false"/>
          <w:sz w:val="22"/>
        </w:rPr>
        <w:t xml:space="preserve">to Netflix, Inc. (“Netflix”) on behalf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WBD in connection with the termination of a prior merger agreement between Netflix and WBD. This payment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was initially funded with cash on hand and a $2.15 billion borrowing from our credit facility (see </w:t>
      </w:r>
      <w:r>
        <w:rPr>
          <w:rFonts w:ascii="Times New Roman;serif" w:hAnsi="Times New Roman;serif"/>
          <w:b w:val="false"/>
          <w:i/>
          <w:sz w:val="22"/>
        </w:rPr>
        <w:t xml:space="preserve">Capital </w:t>
      </w:r>
    </w:p>
    <w:p>
      <w:pPr>
        <w:pStyle w:val="TextBody"/>
        <w:bidi w:val="0"/>
        <w:spacing w:lineRule="atLeast" w:line="220" w:before="0" w:after="0"/>
        <w:jc w:val="left"/>
        <w:rPr/>
      </w:pPr>
      <w:r>
        <w:rPr>
          <w:rFonts w:ascii="Times New Roman;serif" w:hAnsi="Times New Roman;serif"/>
          <w:b w:val="false"/>
          <w:i/>
          <w:sz w:val="22"/>
        </w:rPr>
        <w:t>Structure</w:t>
      </w:r>
      <w:r>
        <w:rPr>
          <w:rFonts w:ascii="Times New Roman;serif" w:hAnsi="Times New Roman;serif"/>
          <w:b w:val="false"/>
          <w:i w:val="false"/>
          <w:caps w:val="false"/>
          <w:smallCaps w:val="false"/>
          <w:sz w:val="22"/>
        </w:rPr>
        <w:t xml:space="preserve">) and, in accordance with the Subscription Agreements described below, entered into by the Ellison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Parties (as defined below), such amount will ultimately be funded by the $46.7 billion to be received from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Ellison Parties.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If the WBD Merger Agreement is terminated because the WBD Merger cannot close due to a failure to obtain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antitrust or regulatory approval, or because a court order prevents the WBD Merger from closing on antitrust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grounds, Paramount will owe WBD a $7.0 billion Regulatory Termination Fee (as defined in the WBD Merger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Agreement). In accordance with the Subscription Agreements, this termination fee and the previously paid $2.8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billion Netflix termination fee described above would be funded by the Ellison Parties in exchange for shares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Paramount Skydance Corporation Class B Common Stock (as defined below) at $16.02 per share.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WBD will owe Paramount a $3.0 billion termination fee under certain circumstances, including if WBD terminates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WBD Merger Agreement to enter into a definitive agreement for an alternative acquisition proposal.</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Concurrent with the execution of the WBD Merger Agreement (i) The Lawrence J. Ellison Revocable Trust, u/a/d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1/22/88, as amended (the “Trust”), and Lawrence J. Ellison (together with the Trust, the “Ellison Parties”) and (ii)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RedBird Capital Partners Fund IV (Master), L.P. (“RedBird” and, together with the Trust, the “Equity Investors”)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entered into subscription agreements (collectively, the “Subscription Agreements”) providing for a private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placement investment in Class B common stock of Paramount Skydance Corporation (“Paramount Skydance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Corporation Class B Common Stock”), for an aggregate amount of up to </w:t>
      </w:r>
      <w:r>
        <w:rPr>
          <w:rFonts w:ascii="Times New Roman;serif" w:hAnsi="Times New Roman;serif"/>
          <w:b w:val="false"/>
          <w:i w:val="false"/>
          <w:caps w:val="false"/>
          <w:smallCaps w:val="false"/>
          <w:strike w:val="false"/>
          <w:dstrike w:val="false"/>
          <w:sz w:val="22"/>
          <w:u w:val="none"/>
          <w:effect w:val="none"/>
        </w:rPr>
        <w:t>$46.7 billion</w:t>
      </w:r>
      <w:r>
        <w:rPr>
          <w:caps w:val="false"/>
          <w:smallCaps w:val="false"/>
          <w:sz w:val="24"/>
        </w:rPr>
        <w:t xml:space="preserve"> </w:t>
      </w:r>
      <w:r>
        <w:rPr>
          <w:rFonts w:ascii="Times New Roman;serif" w:hAnsi="Times New Roman;serif"/>
          <w:b w:val="false"/>
          <w:i w:val="false"/>
          <w:caps w:val="false"/>
          <w:smallCaps w:val="false"/>
          <w:sz w:val="22"/>
        </w:rPr>
        <w:t xml:space="preserve">(subject to increase if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Ticking Consideration or certain other additional amounts as defined in the WBD Merger Agreement are required)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from the Trust and </w:t>
      </w:r>
      <w:r>
        <w:rPr>
          <w:rFonts w:ascii="Times New Roman;serif" w:hAnsi="Times New Roman;serif"/>
          <w:b w:val="false"/>
          <w:i w:val="false"/>
          <w:caps w:val="false"/>
          <w:smallCaps w:val="false"/>
          <w:strike w:val="false"/>
          <w:dstrike w:val="false"/>
          <w:sz w:val="22"/>
          <w:u w:val="none"/>
          <w:effect w:val="none"/>
        </w:rPr>
        <w:t>$250 million</w:t>
      </w:r>
      <w:r>
        <w:rPr>
          <w:caps w:val="false"/>
          <w:smallCaps w:val="false"/>
          <w:sz w:val="24"/>
        </w:rPr>
        <w:t xml:space="preserve"> </w:t>
      </w:r>
      <w:r>
        <w:rPr>
          <w:rFonts w:ascii="Times New Roman;serif" w:hAnsi="Times New Roman;serif"/>
          <w:b w:val="false"/>
          <w:i w:val="false"/>
          <w:caps w:val="false"/>
          <w:smallCaps w:val="false"/>
          <w:sz w:val="22"/>
        </w:rPr>
        <w:t xml:space="preserve">from RedBird pursuant to the terms of the Subscription Agreements.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April 2026, we announced that the Equity Investors had determined, as permitted under the Subscription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Agreements, to assign their subscription rights thereunder (such assignments, the “Equity Syndication” and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assignees, the “Equity Syndication Parties”) to the Equity Syndication Parties. The Equity Syndication Parties are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composed of affiliates of the Ellison Parties and RedBird, as well as the following institutional investors: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Public Investment Fund, L’Imad 1st SPV 2 Exempt RSC LTD (an investment vehicle of L’Imad Holding, an Abu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Dhabi sovereign wealth fund), QIA TMT Holding LLC (an investment vehicle of the Qatar Investment Authority),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and LionTree Investment Fund, L.P. The aggregate allocations under the Equity Syndication total to the full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amount of the commitments under the Subscription Agreements. At closing of the WBD Merger, Paramount will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issue to each Equity Syndication Party a number of newly issued nonvoting shares of Paramount Skydance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Corporation Class B Common Stock (or securities convertible into shares) equal to its allocated amount divided by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the Syndication Purchase Price, defined as the </w:t>
      </w:r>
      <w:r>
        <w:rPr>
          <w:rFonts w:ascii="Times New Roman;serif" w:hAnsi="Times New Roman;serif"/>
          <w:b w:val="false"/>
          <w:i w:val="false"/>
          <w:caps w:val="false"/>
          <w:smallCaps w:val="false"/>
          <w:strike w:val="false"/>
          <w:dstrike w:val="false"/>
          <w:sz w:val="22"/>
          <w:u w:val="none"/>
          <w:effect w:val="none"/>
        </w:rPr>
        <w:t>20</w:t>
      </w:r>
      <w:r>
        <w:rPr>
          <w:rFonts w:ascii="Times New Roman;serif" w:hAnsi="Times New Roman;serif"/>
          <w:b w:val="false"/>
          <w:i w:val="false"/>
          <w:caps w:val="false"/>
          <w:smallCaps w:val="false"/>
          <w:sz w:val="22"/>
        </w:rPr>
        <w:t xml:space="preserve">-trading-day daily volume-weighted average price of Paramount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Skydance Corporation Class B Common Stock determined as of the third business day prior to the closing of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WBD Merger, subject to a ceiling of </w:t>
      </w:r>
      <w:r>
        <w:rPr>
          <w:rFonts w:ascii="Times New Roman;serif" w:hAnsi="Times New Roman;serif"/>
          <w:b w:val="false"/>
          <w:i w:val="false"/>
          <w:caps w:val="false"/>
          <w:smallCaps w:val="false"/>
          <w:strike w:val="false"/>
          <w:dstrike w:val="false"/>
          <w:sz w:val="22"/>
          <w:u w:val="none"/>
          <w:effect w:val="none"/>
        </w:rPr>
        <w:t>$16.02</w:t>
      </w:r>
      <w:r>
        <w:rPr>
          <w:caps w:val="false"/>
          <w:smallCaps w:val="false"/>
          <w:sz w:val="24"/>
        </w:rPr>
        <w:t xml:space="preserve"> </w:t>
      </w:r>
      <w:r>
        <w:rPr>
          <w:rFonts w:ascii="Times New Roman;serif" w:hAnsi="Times New Roman;serif"/>
          <w:b w:val="false"/>
          <w:i w:val="false"/>
          <w:caps w:val="false"/>
          <w:smallCaps w:val="false"/>
          <w:sz w:val="22"/>
        </w:rPr>
        <w:t xml:space="preserve">per share and a floor of </w:t>
      </w:r>
      <w:r>
        <w:rPr>
          <w:rFonts w:ascii="Times New Roman;serif" w:hAnsi="Times New Roman;serif"/>
          <w:b w:val="false"/>
          <w:i w:val="false"/>
          <w:caps w:val="false"/>
          <w:smallCaps w:val="false"/>
          <w:strike w:val="false"/>
          <w:dstrike w:val="false"/>
          <w:sz w:val="22"/>
          <w:u w:val="none"/>
          <w:effect w:val="none"/>
        </w:rPr>
        <w:t>$12.00</w:t>
      </w:r>
      <w:r>
        <w:rPr>
          <w:caps w:val="false"/>
          <w:smallCaps w:val="false"/>
          <w:sz w:val="24"/>
        </w:rPr>
        <w:t xml:space="preserve"> </w:t>
      </w:r>
      <w:r>
        <w:rPr>
          <w:rFonts w:ascii="Times New Roman;serif" w:hAnsi="Times New Roman;serif"/>
          <w:b w:val="false"/>
          <w:i w:val="false"/>
          <w:caps w:val="false"/>
          <w:smallCaps w:val="false"/>
          <w:sz w:val="22"/>
        </w:rPr>
        <w:t xml:space="preserve">per share. The Equity Syndication does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not relieve the Equity Investors of their contractual commitments made to the Company. To the extent that any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Equity Syndication Party does not perform under its syndication assignment, the obligation of the Equity Investors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to fund the related amount of the commitments would continue to be required under the Subscription Agreements.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Following the closing, the Ellison Family (as defined below) and RedBird will remain the sole holders of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Paramount Class A Common Stock, representing </w:t>
      </w:r>
      <w:r>
        <w:rPr>
          <w:rFonts w:ascii="Times New Roman;serif" w:hAnsi="Times New Roman;serif"/>
          <w:b w:val="false"/>
          <w:i w:val="false"/>
          <w:caps w:val="false"/>
          <w:smallCaps w:val="false"/>
          <w:strike w:val="false"/>
          <w:dstrike w:val="false"/>
          <w:sz w:val="22"/>
          <w:u w:val="none"/>
          <w:effect w:val="none"/>
        </w:rPr>
        <w:t>100%</w:t>
      </w:r>
      <w:r>
        <w:rPr>
          <w:caps w:val="false"/>
          <w:smallCaps w:val="false"/>
          <w:sz w:val="24"/>
        </w:rPr>
        <w:t xml:space="preserve"> </w:t>
      </w:r>
      <w:r>
        <w:rPr>
          <w:rFonts w:ascii="Times New Roman;serif" w:hAnsi="Times New Roman;serif"/>
          <w:b w:val="false"/>
          <w:i w:val="false"/>
          <w:caps w:val="false"/>
          <w:smallCaps w:val="false"/>
          <w:sz w:val="22"/>
        </w:rPr>
        <w:t xml:space="preserve">of the voting shares of Paramount. For the purpose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determining the controlling ownership of Paramount, the Ellison family is comprised of Lawrence J. Ellison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David Ellison (the “Ellison Family”). David Ellison is the son of Lawrence J. Ellison, and Lawrence J. Ellison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David Ellison are accordingly considered immediate family members.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have also secured commitments for debt financing totaling $54 billion, which include a $49 billion 364-day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senior secured bridge loan facility, which we plan, subject to market conditions and other timing considerations,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reduce or replace with permanent financing (which may include issuance of debt securities) on or prior to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closing of the WBD Merger and, in connection with a credit agreement entered into in April 2026 (the “Pro Rata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Credit Agreement”), $2.50 billion three-year senior secured term A loans and $2.50 billion five-year senior secured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term A loans. The term A loans will be made in a single borrowing on the closing date of the WBD Merger.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Pro Rata Credit Agreement also provides for a $5.00 billion five-year senior secured revolving credit facility,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which will be used for general corporate purposes, and will replace our existing revolving credit facility (see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Capital Structure). The availability and initial funding of the facilities under the Pro Rata Credit Agreement and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bridge loan facility (if not replaced by permanent financing) are subject to the satisfaction or waiver of customary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conditions set forth in the Pro Rata Credit Agreement and the bridge commitment papers, including the closing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WBD Merger.</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addition, following the closing of the WBD Merger, each holder of Paramount Skydance Corporation Class B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Common Stock (excluding any Equity Investor or affiliate thereof) as of a record date to be determined will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receive, without payment of any consideration, </w:t>
      </w:r>
      <w:r>
        <w:rPr>
          <w:rFonts w:ascii="Times New Roman;serif" w:hAnsi="Times New Roman;serif"/>
          <w:b w:val="false"/>
          <w:i w:val="false"/>
          <w:caps w:val="false"/>
          <w:smallCaps w:val="false"/>
          <w:strike w:val="false"/>
          <w:dstrike w:val="false"/>
          <w:sz w:val="22"/>
          <w:u w:val="none"/>
          <w:effect w:val="none"/>
        </w:rPr>
        <w:t>one</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10</w:t>
      </w:r>
      <w:r>
        <w:rPr>
          <w:rFonts w:ascii="Times New Roman;serif" w:hAnsi="Times New Roman;serif"/>
          <w:b w:val="false"/>
          <w:i w:val="false"/>
          <w:caps w:val="false"/>
          <w:smallCaps w:val="false"/>
          <w:sz w:val="22"/>
        </w:rPr>
        <w:t xml:space="preserve">-year warrant (each, a “Warrant”) for each share held,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exercisable at an initial exercise price per share equal to the Syndication Purchase Price and subject to customary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anti-dilution and fundamental change make-whole adjustments. Beginning on the third anniversary of issuance, we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may call the Warrants if the closing price of our Class B Common Stock equals or exceeds </w:t>
      </w:r>
      <w:r>
        <w:rPr>
          <w:rFonts w:ascii="Times New Roman;serif" w:hAnsi="Times New Roman;serif"/>
          <w:b w:val="false"/>
          <w:i w:val="false"/>
          <w:caps w:val="false"/>
          <w:smallCaps w:val="false"/>
          <w:strike w:val="false"/>
          <w:dstrike w:val="false"/>
          <w:sz w:val="22"/>
          <w:u w:val="none"/>
          <w:effect w:val="none"/>
        </w:rPr>
        <w:t>$30.00</w:t>
      </w:r>
      <w:r>
        <w:rPr>
          <w:caps w:val="false"/>
          <w:smallCaps w:val="false"/>
          <w:sz w:val="24"/>
        </w:rPr>
        <w:t xml:space="preserve"> </w:t>
      </w:r>
      <w:r>
        <w:rPr>
          <w:rFonts w:ascii="Times New Roman;serif" w:hAnsi="Times New Roman;serif"/>
          <w:b w:val="false"/>
          <w:i w:val="false"/>
          <w:caps w:val="false"/>
          <w:smallCaps w:val="false"/>
          <w:sz w:val="22"/>
        </w:rPr>
        <w:t xml:space="preserve">for at least </w:t>
      </w:r>
      <w:r>
        <w:rPr>
          <w:rFonts w:ascii="Times New Roman;serif" w:hAnsi="Times New Roman;serif"/>
          <w:b w:val="false"/>
          <w:i w:val="false"/>
          <w:caps w:val="false"/>
          <w:smallCaps w:val="false"/>
          <w:strike w:val="false"/>
          <w:dstrike w:val="false"/>
          <w:sz w:val="22"/>
          <w:u w:val="none"/>
          <w:effect w:val="none"/>
        </w:rPr>
        <w:t>20</w:t>
      </w:r>
      <w:r>
        <w:rPr>
          <w:caps w:val="false"/>
          <w:smallCaps w:val="false"/>
          <w:sz w:val="24"/>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trading days during any </w:t>
      </w:r>
      <w:r>
        <w:rPr>
          <w:rFonts w:ascii="Times New Roman;serif" w:hAnsi="Times New Roman;serif"/>
          <w:b w:val="false"/>
          <w:i w:val="false"/>
          <w:caps w:val="false"/>
          <w:smallCaps w:val="false"/>
          <w:strike w:val="false"/>
          <w:dstrike w:val="false"/>
          <w:sz w:val="22"/>
          <w:u w:val="none"/>
          <w:effect w:val="none"/>
        </w:rPr>
        <w:t>30</w:t>
      </w:r>
      <w:r>
        <w:rPr>
          <w:caps w:val="false"/>
          <w:smallCaps w:val="false"/>
          <w:sz w:val="24"/>
        </w:rPr>
        <w:t xml:space="preserve"> </w:t>
      </w:r>
      <w:r>
        <w:rPr>
          <w:rFonts w:ascii="Times New Roman;serif" w:hAnsi="Times New Roman;serif"/>
          <w:b w:val="false"/>
          <w:i w:val="false"/>
          <w:caps w:val="false"/>
          <w:smallCaps w:val="false"/>
          <w:sz w:val="22"/>
        </w:rPr>
        <w:t xml:space="preserve">consecutive trading day period. We intend to apply to list the Warrants for trading 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Nasdaq Stock Market LLC (“Nasdaq”) separate from our Class B Common Stock, subject to applicable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approvals. The planned Warrant issuance is in lieu of a previously planned rights offering at </w:t>
      </w:r>
      <w:r>
        <w:rPr>
          <w:rFonts w:ascii="Times New Roman;serif" w:hAnsi="Times New Roman;serif"/>
          <w:b w:val="false"/>
          <w:i w:val="false"/>
          <w:caps w:val="false"/>
          <w:smallCaps w:val="false"/>
          <w:strike w:val="false"/>
          <w:dstrike w:val="false"/>
          <w:sz w:val="22"/>
          <w:u w:val="none"/>
          <w:effect w:val="none"/>
        </w:rPr>
        <w:t>$16.02</w:t>
      </w:r>
      <w:r>
        <w:rPr>
          <w:caps w:val="false"/>
          <w:smallCaps w:val="false"/>
          <w:sz w:val="24"/>
        </w:rPr>
        <w:t xml:space="preserve"> </w:t>
      </w:r>
      <w:r>
        <w:rPr>
          <w:rFonts w:ascii="Times New Roman;serif" w:hAnsi="Times New Roman;serif"/>
          <w:b w:val="false"/>
          <w:i w:val="false"/>
          <w:caps w:val="false"/>
          <w:smallCaps w:val="false"/>
          <w:sz w:val="22"/>
        </w:rPr>
        <w:t xml:space="preserve">per share.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connection with the Warrant issuance, existing Paramount restricted stock units are expected to be equitably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adjusted pursuant to pre-existing anti-dilution provisions in Paramount equity plans. </w:t>
      </w:r>
    </w:p>
    <w:p>
      <w:pPr>
        <w:pStyle w:val="TextBody"/>
        <w:bidi w:val="0"/>
        <w:spacing w:lineRule="atLeast" w:line="220" w:before="0" w:after="0"/>
        <w:jc w:val="left"/>
        <w:rPr/>
      </w:pPr>
      <w:r>
        <w:rPr>
          <w:rFonts w:ascii="Times New Roman;serif" w:hAnsi="Times New Roman;serif"/>
          <w:b w:val="false"/>
          <w:i/>
          <w:sz w:val="22"/>
        </w:rPr>
        <w:t>WBD Debt</w:t>
      </w:r>
      <w:r>
        <w:rPr>
          <w:caps w:val="false"/>
          <w:smallCaps w:val="false"/>
        </w:rPr>
        <w:t>—</w:t>
      </w:r>
      <w:r>
        <w:rPr>
          <w:rFonts w:ascii="Times New Roman;serif" w:hAnsi="Times New Roman;serif"/>
          <w:b w:val="false"/>
          <w:i w:val="false"/>
          <w:caps w:val="false"/>
          <w:smallCaps w:val="false"/>
          <w:sz w:val="22"/>
        </w:rPr>
        <w:t xml:space="preserve">In May 2026, we commenced (i) exchange offers, which are expected to result in the exchange of up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to </w:t>
      </w:r>
      <w:r>
        <w:rPr>
          <w:rFonts w:ascii="Times New Roman;serif" w:hAnsi="Times New Roman;serif"/>
          <w:b w:val="false"/>
          <w:i w:val="false"/>
          <w:caps w:val="false"/>
          <w:smallCaps w:val="false"/>
          <w:strike w:val="false"/>
          <w:dstrike w:val="false"/>
          <w:sz w:val="22"/>
          <w:u w:val="none"/>
          <w:effect w:val="none"/>
        </w:rPr>
        <w:t>$12.7 billion</w:t>
      </w:r>
      <w:r>
        <w:rPr>
          <w:caps w:val="false"/>
          <w:smallCaps w:val="false"/>
          <w:sz w:val="24"/>
        </w:rPr>
        <w:t xml:space="preserve"> </w:t>
      </w:r>
      <w:r>
        <w:rPr>
          <w:rFonts w:ascii="Times New Roman;serif" w:hAnsi="Times New Roman;serif"/>
          <w:b w:val="false"/>
          <w:i w:val="false"/>
          <w:caps w:val="false"/>
          <w:smallCaps w:val="false"/>
          <w:sz w:val="22"/>
        </w:rPr>
        <w:t xml:space="preserve">aggregate principal amount of certain of WBD’s senior notes for newly issued Paramount notes,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and (ii) tender offers for cash for up to </w:t>
      </w:r>
      <w:r>
        <w:rPr>
          <w:rFonts w:ascii="Times New Roman;serif" w:hAnsi="Times New Roman;serif"/>
          <w:b w:val="false"/>
          <w:i w:val="false"/>
          <w:caps w:val="false"/>
          <w:smallCaps w:val="false"/>
          <w:strike w:val="false"/>
          <w:dstrike w:val="false"/>
          <w:sz w:val="22"/>
          <w:u w:val="none"/>
          <w:effect w:val="none"/>
        </w:rPr>
        <w:t>$2.4 billion</w:t>
      </w:r>
      <w:r>
        <w:rPr>
          <w:caps w:val="false"/>
          <w:smallCaps w:val="false"/>
          <w:sz w:val="24"/>
        </w:rPr>
        <w:t xml:space="preserve"> </w:t>
      </w:r>
      <w:r>
        <w:rPr>
          <w:rFonts w:ascii="Times New Roman;serif" w:hAnsi="Times New Roman;serif"/>
          <w:b w:val="false"/>
          <w:i w:val="false"/>
          <w:caps w:val="false"/>
          <w:smallCaps w:val="false"/>
          <w:sz w:val="22"/>
        </w:rPr>
        <w:t xml:space="preserve">aggregate principal amount of other WBD senior notes, in each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case conditioned on the closing of the WBD Merger. In June 2026, WBD entered into a seven-year </w:t>
      </w:r>
      <w:r>
        <w:rPr>
          <w:rFonts w:ascii="Times New Roman;serif" w:hAnsi="Times New Roman;serif"/>
          <w:b w:val="false"/>
          <w:i w:val="false"/>
          <w:caps w:val="false"/>
          <w:smallCaps w:val="false"/>
          <w:strike w:val="false"/>
          <w:dstrike w:val="false"/>
          <w:sz w:val="22"/>
          <w:u w:val="none"/>
          <w:effect w:val="none"/>
        </w:rPr>
        <w:t>$13.0 billion</w:t>
      </w:r>
      <w:r>
        <w:rPr>
          <w:caps w:val="false"/>
          <w:smallCaps w:val="false"/>
          <w:sz w:val="24"/>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term loan (“First Lien Credit Agreement”), and a seven-year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2"/>
          <w:u w:val="none"/>
          <w:effect w:val="none"/>
        </w:rPr>
        <w:t>1.7 billion</w:t>
      </w:r>
      <w:r>
        <w:rPr>
          <w:caps w:val="false"/>
          <w:smallCaps w:val="false"/>
          <w:sz w:val="24"/>
        </w:rPr>
        <w:t xml:space="preserve"> </w:t>
      </w:r>
      <w:r>
        <w:rPr>
          <w:rFonts w:ascii="Times New Roman;serif" w:hAnsi="Times New Roman;serif"/>
          <w:b w:val="false"/>
          <w:i w:val="false"/>
          <w:caps w:val="false"/>
          <w:smallCaps w:val="false"/>
          <w:sz w:val="22"/>
        </w:rPr>
        <w:t xml:space="preserve">term loan (the “WBD Term Loans”).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proceeds</w:t>
      </w:r>
      <w:r>
        <w:rPr>
          <w:caps w:val="false"/>
          <w:smallCaps w:val="false"/>
          <w:sz w:val="24"/>
        </w:rPr>
        <w:t xml:space="preserve"> </w:t>
      </w:r>
      <w:r>
        <w:rPr>
          <w:rFonts w:ascii="Times New Roman;serif" w:hAnsi="Times New Roman;serif"/>
          <w:b w:val="false"/>
          <w:i w:val="false"/>
          <w:caps w:val="false"/>
          <w:smallCaps w:val="false"/>
          <w:sz w:val="22"/>
        </w:rPr>
        <w:t xml:space="preserve">were used to repay the </w:t>
      </w:r>
      <w:r>
        <w:rPr>
          <w:rFonts w:ascii="Times New Roman;serif" w:hAnsi="Times New Roman;serif"/>
          <w:b w:val="false"/>
          <w:i w:val="false"/>
          <w:caps w:val="false"/>
          <w:smallCaps w:val="false"/>
          <w:strike w:val="false"/>
          <w:dstrike w:val="false"/>
          <w:sz w:val="22"/>
          <w:u w:val="none"/>
          <w:effect w:val="none"/>
        </w:rPr>
        <w:t>$15.0 billion</w:t>
      </w:r>
      <w:r>
        <w:rPr>
          <w:caps w:val="false"/>
          <w:smallCaps w:val="false"/>
          <w:sz w:val="24"/>
        </w:rPr>
        <w:t xml:space="preserve"> </w:t>
      </w:r>
      <w:r>
        <w:rPr>
          <w:rFonts w:ascii="Times New Roman;serif" w:hAnsi="Times New Roman;serif"/>
          <w:b w:val="false"/>
          <w:i w:val="false"/>
          <w:caps w:val="false"/>
          <w:smallCaps w:val="false"/>
          <w:sz w:val="22"/>
        </w:rPr>
        <w:t xml:space="preserve">bridge facility WBD had outstanding on March 31, 2026. We plan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replace or refinance the WBD Term Loans, if not refinanced by WBD prior to closing of the WBD Merger. </w:t>
      </w:r>
    </w:p>
    <w:p>
      <w:pPr>
        <w:pStyle w:val="TextBody"/>
        <w:bidi w:val="0"/>
        <w:spacing w:lineRule="atLeast" w:line="220" w:before="0" w:after="0"/>
        <w:jc w:val="left"/>
        <w:rPr/>
      </w:pPr>
      <w:r>
        <w:rPr>
          <w:rFonts w:ascii="Times New Roman;serif" w:hAnsi="Times New Roman;serif"/>
          <w:b w:val="false"/>
          <w:i/>
          <w:sz w:val="22"/>
        </w:rPr>
        <w:t>The NAI Transaction</w:t>
      </w:r>
      <w:r>
        <w:rPr>
          <w:caps w:val="false"/>
          <w:smallCaps w:val="false"/>
        </w:rPr>
        <w:t>—</w:t>
      </w:r>
      <w:r>
        <w:rPr>
          <w:rFonts w:ascii="Times New Roman;serif" w:hAnsi="Times New Roman;serif"/>
          <w:b w:val="false"/>
          <w:i w:val="false"/>
          <w:caps w:val="false"/>
          <w:smallCaps w:val="false"/>
          <w:sz w:val="22"/>
        </w:rPr>
        <w:t xml:space="preserve">On August 7, 2025, pursuant to a purchase and sale agreement dated July 7, 2024, certain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affiliates of investors in Skydance Media, LLC (“Skydance”), comprised of entities controlled by the Ellison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Family and affiliates of RedBird Capital Partners (collectively the “NAI Equity Investors”), purchased all of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outstanding equity interests of Paramount Global’s controlling stockholder, National Amusements, Inc. (“NAI”)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from the shareholders of NAI (the “NAI Transaction”). </w:t>
      </w:r>
    </w:p>
    <w:p>
      <w:pPr>
        <w:pStyle w:val="TextBody"/>
        <w:bidi w:val="0"/>
        <w:spacing w:lineRule="atLeast" w:line="220" w:before="0" w:after="0"/>
        <w:jc w:val="left"/>
        <w:rPr/>
      </w:pPr>
      <w:r>
        <w:rPr>
          <w:rFonts w:ascii="Times New Roman;serif" w:hAnsi="Times New Roman;serif"/>
          <w:b w:val="false"/>
          <w:i/>
          <w:sz w:val="22"/>
        </w:rPr>
        <w:t>The Skydance Transactions</w:t>
      </w:r>
      <w:r>
        <w:rPr>
          <w:caps w:val="false"/>
          <w:smallCaps w:val="false"/>
        </w:rPr>
        <w:t>—</w:t>
      </w:r>
      <w:r>
        <w:rPr>
          <w:rFonts w:ascii="Times New Roman;serif" w:hAnsi="Times New Roman;serif"/>
          <w:b w:val="false"/>
          <w:i w:val="false"/>
          <w:caps w:val="false"/>
          <w:smallCaps w:val="false"/>
          <w:sz w:val="22"/>
        </w:rPr>
        <w:t xml:space="preserve">Also on August 7, 2025, following the completion of the NAI Transaction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pursuant to the Transaction Agreement dated as of July 7, 2024, Paramount Global and Skydance became wholly-</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owned subsidiaries of Paramount Skydance Corporation (the transactions contemplated by the Transaction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Agreement, the “Skydance Transactions”). Paramount Skydance Corporation, formerly known as New Pluto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Global, Inc., was formed on June 3, 2024 to consummate the Transactions and was a wholly-owned direct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subsidiary of Paramount Global until, through a series of mergers, it became the holding company of Paramount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Global and Skydance as part of the Skydance Transactions.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Concurrent with the NAI Transaction, the NAI Equity Investors and certain other affiliates of investors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Skydance made an investment of $6.0 billion into Paramount Skydance Corporation (the “PIPE Transaction”)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exchange for 400 million newly issued shares of Paramount Skydance Corporation Class B Common Stock for 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purchase price of $15.00 per share, and the NAI Equity Investors also received warrants to purchase 200 million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shares of Paramount Skydance Corporation Class B Common Stock at an initial exercise price of $30.50 per share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(subject to customary anti-dilution adjustments), which expire five years after issuance. $4.45 billion of the PIPE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Transaction investment was used to fund the cash-stock election discussed below and $1.52 billion of cash was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provided to the Company.</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Skydance Transactions also included: (1) a transaction pursuant to which each outstanding Skydance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membership unit held by Skydance investors and each Skydance Phantom Unit was converted into the right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receive the applicable portion of 316.7 million shares of Paramount Skydance Corporation Class B Common Stock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(313.8 million shares after reduction in connection with certain tax withholding requirements), and (2) a cash-stock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election offered to holders of Paramount Global common stock pursuant to which (a) shares of Paramount Global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Class A Common Stock held by stockholders other than NAI or its subsidiaries were converted, at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stockholders’ election, into the right to receive either $23.00 in cash (“Class A Cash Consideration”) or 1.5333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shares of Paramount Skydance Corporation Class B Common Stock (“Class A Stock Consideration”), and (b)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shares of Paramount Global Class B Common Stock held by stockholders other than NAI or its subsidiaries,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NAI Equity Investors and certain other affiliates of investors in Skydance referred to above were converted, at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stockholders’ election, into the right to receive either $15.00 in cash (“Class B Cash Consideration”), subject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proration, or one share of Paramount Skydance Corporation Class B Common Stock (“Class B Stock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Consideration”). The shares of Paramount Class A Common Stock held by NAI and its subsidiaries converted into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shares of Class A common stock, par value $0.001 per share. Shares of Paramount Global Class A Common Stock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for which elections to receive Class A Cash Consideration or Class A Stock Consideration were not made or were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validly revoked were automatically converted into Class A Stock Consideration. Shares of Paramount Global Class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 Common Stock for which elections to receive Class B Cash Consideration were not made or were validly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revoked were converted automatically into one share of Paramount Skydance Corporation Class B Common Stock.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Holders of shares of Class A common stock of Paramount Skydance Corporation (“Paramount Skydance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Corporation Class A Common Stock”) are entitled to one vote per share with respect to all matters on which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holders of Paramount Skydance Corporation common stock are entitled to vote. Holders of Paramount Skydance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Corporation Class B Common Stock do not have voting rights. Following the closing of the Skydance Transactions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and the NAI Transaction, NAI, which was renamed Harbor Lights Entertainment, Inc., and its subsidiaries held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100.0% of the Paramount Skydance Corporation Class A Common Stock. Accordingly, entities controlled by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Ellison Family indirectly hold approximately 77.5% of the Paramount Skydance Corporation Class A Common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Stock through their collective approximate 77.5% ownership interest in Harbor Lights Entertainment, Inc., and as 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result the Ellison Family is the controlling stockholder and the ultimate parent of Paramount (“Ultimate Parent”).</w:t>
      </w:r>
    </w:p>
    <w:p>
      <w:pPr>
        <w:pStyle w:val="TextBody"/>
        <w:bidi w:val="0"/>
        <w:spacing w:lineRule="atLeast" w:line="220" w:before="0" w:after="0"/>
        <w:jc w:val="left"/>
        <w:rPr/>
      </w:pPr>
      <w:r>
        <w:rPr>
          <w:rFonts w:ascii="Times New Roman;serif" w:hAnsi="Times New Roman;serif"/>
          <w:b w:val="false"/>
          <w:i/>
          <w:sz w:val="22"/>
        </w:rPr>
        <w:t>Pushdown of Ultimate Parent’s Basis</w:t>
      </w:r>
      <w:r>
        <w:rPr>
          <w:caps w:val="false"/>
          <w:smallCaps w:val="false"/>
        </w:rPr>
        <w:t>—</w:t>
      </w:r>
      <w:r>
        <w:rPr>
          <w:rFonts w:ascii="Times New Roman;serif" w:hAnsi="Times New Roman;serif"/>
          <w:b w:val="false"/>
          <w:i w:val="false"/>
          <w:caps w:val="false"/>
          <w:smallCaps w:val="false"/>
          <w:sz w:val="22"/>
        </w:rPr>
        <w:t xml:space="preserve">At the time Paramount Global and Skydance became subsidiaries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Paramount Skydance Corporation, the Ellison Family controlled both Paramount Global and Skydance, and as 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result, this transaction has been accounted for as a transaction between entities under common control. As 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transaction between entities under common control, the net assets were combined at the Ultimate Parent’s basis,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which for Paramount Global was deemed to be the estimated fair value as of August 7, 2025, the date of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closing of the NAI Transaction, which was the point at which the Ellison Family obtained control of Paramount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Global. As a result, the net assets of Paramount Global were recorded at their fair values as of this date. Since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net assets of Skydance were already at the Ultimate Parent’s basis, no adjustment to the fair value of net assets was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necessary, and Skydance was combined with Paramount Global’s net assets at the Ultimate Parent’s basis as of this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date.</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Due to the pushdown of the Ultimate Parent’s basis, which resulted in a new basis of accounting, the results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operations, financial position and cash flows are not comparable between the Successor and Predecessor periods.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Accordingly, our consolidated financial statements and footnote disclosures are presented in distinct periods.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periods prior to the closing of the Skydance Transactions and the NAI Transaction include only Paramount Global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and are identified as “Predecessor,” and the periods beginning on August 7, 2025 reflect Paramount Skydance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Corporation and are identified as “Successor.” In addition, we are required to present segment information for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Predecessor period based on our previous segments, Filmed Entertainment, Direct-to-Consumer, and TV Media.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have certain contracts that require us to obtain consents from other parties in connection with the NAI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Transaction and the Skydance Transactions. If these consents cannot be obtained, the counterparties to these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contracts (and, as a result, other third parties with which we have contractual agreements) may have the right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terminate, reduce the scope of or otherwise alter their relationships with us. Accordingly, the failure to obtain such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consents could have a material adverse effect on our business, financial condition and results of operations.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both"/>
        <w:rPr>
          <w:u w:val="single"/>
        </w:rPr>
      </w:pPr>
      <w:r>
        <w:rPr>
          <w:rFonts w:ascii="Times New Roman;serif" w:hAnsi="Times New Roman;serif"/>
          <w:b w:val="false"/>
          <w:i w:val="false"/>
          <w:caps w:val="false"/>
          <w:smallCaps w:val="false"/>
          <w:sz w:val="22"/>
          <w:u w:val="single"/>
        </w:rPr>
        <w:t>Significant components of management’s discussion and analysis of results of operations and financial condition</w:t>
      </w:r>
      <w:r>
        <w:rPr>
          <w:caps w:val="false"/>
          <w:smallCaps w:val="false"/>
          <w:u w:val="single"/>
        </w:rPr>
        <w:t xml:space="preserve"> </w:t>
      </w:r>
    </w:p>
    <w:p>
      <w:pPr>
        <w:pStyle w:val="TextBody"/>
        <w:bidi w:val="0"/>
        <w:spacing w:lineRule="atLeast" w:line="220" w:before="0" w:after="0"/>
        <w:jc w:val="both"/>
        <w:rPr>
          <w:rFonts w:ascii="Times New Roman;serif" w:hAnsi="Times New Roman;serif"/>
          <w:b w:val="false"/>
          <w:i w:val="false"/>
          <w:caps w:val="false"/>
          <w:smallCaps w:val="false"/>
          <w:sz w:val="22"/>
          <w:u w:val="single"/>
        </w:rPr>
      </w:pPr>
      <w:r>
        <w:rPr>
          <w:rFonts w:ascii="Times New Roman;serif" w:hAnsi="Times New Roman;serif"/>
          <w:b w:val="false"/>
          <w:i w:val="false"/>
          <w:caps w:val="false"/>
          <w:smallCaps w:val="false"/>
          <w:sz w:val="22"/>
          <w:u w:val="single"/>
        </w:rPr>
        <w:t>include:</w:t>
      </w:r>
    </w:p>
    <w:p>
      <w:pPr>
        <w:pStyle w:val="TextBody"/>
        <w:bidi w:val="0"/>
        <w:spacing w:lineRule="atLeast" w:line="220" w:before="0" w:after="0"/>
        <w:jc w:val="left"/>
        <w:rPr/>
      </w:pPr>
      <w:r>
        <w:rPr>
          <w:caps w:val="false"/>
          <w:smallCaps w:val="false"/>
        </w:rPr>
        <w:t>•</w:t>
      </w:r>
      <w:r>
        <w:rPr>
          <w:rFonts w:ascii="Times New Roman;serif" w:hAnsi="Times New Roman;serif"/>
          <w:b w:val="false"/>
          <w:i/>
          <w:sz w:val="22"/>
        </w:rPr>
        <w:t>Overview</w:t>
      </w:r>
      <w:r>
        <w:rPr>
          <w:caps w:val="false"/>
          <w:smallCaps w:val="false"/>
        </w:rPr>
        <w:t>—</w:t>
      </w:r>
      <w:r>
        <w:rPr>
          <w:rFonts w:ascii="Times New Roman;serif" w:hAnsi="Times New Roman;serif"/>
          <w:b w:val="false"/>
          <w:i w:val="false"/>
          <w:caps w:val="false"/>
          <w:smallCaps w:val="false"/>
          <w:sz w:val="22"/>
        </w:rPr>
        <w:t>Summary of our business and operational highlights.</w:t>
      </w:r>
    </w:p>
    <w:p>
      <w:pPr>
        <w:pStyle w:val="TextBody"/>
        <w:bidi w:val="0"/>
        <w:spacing w:lineRule="atLeast" w:line="220" w:before="0" w:after="0"/>
        <w:jc w:val="left"/>
        <w:rPr/>
      </w:pPr>
      <w:r>
        <w:rPr>
          <w:caps w:val="false"/>
          <w:smallCaps w:val="false"/>
        </w:rPr>
        <w:t>•</w:t>
      </w:r>
      <w:r>
        <w:rPr>
          <w:rFonts w:ascii="Times New Roman;serif" w:hAnsi="Times New Roman;serif"/>
          <w:b w:val="false"/>
          <w:i/>
          <w:sz w:val="22"/>
        </w:rPr>
        <w:t>Consolidated Results of Operations</w:t>
      </w:r>
      <w:r>
        <w:rPr>
          <w:caps w:val="false"/>
          <w:smallCaps w:val="false"/>
          <w:sz w:val="24"/>
        </w:rPr>
        <w:t>—</w:t>
      </w:r>
      <w:r>
        <w:rPr>
          <w:rFonts w:ascii="Times New Roman;serif" w:hAnsi="Times New Roman;serif"/>
          <w:b w:val="false"/>
          <w:i w:val="false"/>
          <w:caps w:val="false"/>
          <w:smallCaps w:val="false"/>
          <w:sz w:val="22"/>
        </w:rPr>
        <w:t xml:space="preserve">Analysis of our results on a consolidated basis for the </w:t>
      </w:r>
      <w:r>
        <w:rPr>
          <w:rFonts w:ascii="Times New Roman;serif" w:hAnsi="Times New Roman;serif"/>
          <w:b w:val="false"/>
          <w:i w:val="false"/>
          <w:caps w:val="false"/>
          <w:smallCaps w:val="false"/>
          <w:strike w:val="false"/>
          <w:dstrike w:val="false"/>
          <w:sz w:val="22"/>
          <w:u w:val="none"/>
          <w:effect w:val="none"/>
        </w:rPr>
        <w:t xml:space="preserve">three and six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(Successor), including a comparison to the </w:t>
      </w:r>
      <w:r>
        <w:rPr>
          <w:rFonts w:ascii="Times New Roman;serif" w:hAnsi="Times New Roman;serif"/>
          <w:b w:val="false"/>
          <w:i w:val="false"/>
          <w:caps w:val="false"/>
          <w:smallCaps w:val="false"/>
          <w:strike w:val="false"/>
          <w:dstrike w:val="false"/>
          <w:sz w:val="22"/>
          <w:u w:val="none"/>
          <w:effect w:val="none"/>
        </w:rPr>
        <w:t>three and six months ended</w:t>
      </w:r>
      <w:r>
        <w:rPr>
          <w:caps w:val="false"/>
          <w:smallCaps w:val="false"/>
          <w:sz w:val="24"/>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June 30, 2025</w:t>
      </w:r>
      <w:r>
        <w:rPr>
          <w:caps w:val="false"/>
          <w:smallCaps w:val="false"/>
          <w:sz w:val="24"/>
        </w:rPr>
        <w:t xml:space="preserve"> </w:t>
      </w:r>
      <w:r>
        <w:rPr>
          <w:rFonts w:ascii="Times New Roman;serif" w:hAnsi="Times New Roman;serif"/>
          <w:b w:val="false"/>
          <w:i w:val="false"/>
          <w:caps w:val="false"/>
          <w:smallCaps w:val="false"/>
          <w:sz w:val="22"/>
        </w:rPr>
        <w:t>(Predecessor).</w:t>
      </w:r>
    </w:p>
    <w:p>
      <w:pPr>
        <w:pStyle w:val="TextBody"/>
        <w:bidi w:val="0"/>
        <w:spacing w:lineRule="atLeast" w:line="220" w:before="0" w:after="0"/>
        <w:jc w:val="left"/>
        <w:rPr/>
      </w:pPr>
      <w:r>
        <w:rPr>
          <w:caps w:val="false"/>
          <w:smallCaps w:val="false"/>
        </w:rPr>
        <w:t>•</w:t>
      </w:r>
      <w:r>
        <w:rPr>
          <w:rFonts w:ascii="Times New Roman;serif" w:hAnsi="Times New Roman;serif"/>
          <w:b w:val="false"/>
          <w:i/>
          <w:sz w:val="22"/>
        </w:rPr>
        <w:t>Segment Results of Operations</w:t>
      </w:r>
      <w:r>
        <w:rPr>
          <w:caps w:val="false"/>
          <w:smallCaps w:val="false"/>
          <w:sz w:val="24"/>
        </w:rPr>
        <w:t>—</w:t>
      </w:r>
      <w:r>
        <w:rPr>
          <w:rFonts w:ascii="Times New Roman;serif" w:hAnsi="Times New Roman;serif"/>
          <w:b w:val="false"/>
          <w:i w:val="false"/>
          <w:caps w:val="false"/>
          <w:smallCaps w:val="false"/>
          <w:sz w:val="22"/>
        </w:rPr>
        <w:t xml:space="preserve">Analysis of our results on a reportable segment basis for the </w:t>
      </w:r>
      <w:r>
        <w:rPr>
          <w:rFonts w:ascii="Times New Roman;serif" w:hAnsi="Times New Roman;serif"/>
          <w:b w:val="false"/>
          <w:i w:val="false"/>
          <w:caps w:val="false"/>
          <w:smallCaps w:val="false"/>
          <w:strike w:val="false"/>
          <w:dstrike w:val="false"/>
          <w:sz w:val="22"/>
          <w:u w:val="none"/>
          <w:effect w:val="none"/>
        </w:rPr>
        <w:t xml:space="preserve">three and six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(Successor).</w:t>
      </w:r>
    </w:p>
    <w:p>
      <w:pPr>
        <w:pStyle w:val="TextBody"/>
        <w:bidi w:val="0"/>
        <w:spacing w:lineRule="atLeast" w:line="220" w:before="0" w:after="0"/>
        <w:jc w:val="left"/>
        <w:rPr/>
      </w:pPr>
      <w:r>
        <w:rPr>
          <w:caps w:val="false"/>
          <w:smallCaps w:val="false"/>
        </w:rPr>
        <w:t>•</w:t>
      </w:r>
      <w:r>
        <w:rPr>
          <w:rFonts w:ascii="Times New Roman;serif" w:hAnsi="Times New Roman;serif"/>
          <w:b w:val="false"/>
          <w:i/>
          <w:sz w:val="22"/>
        </w:rPr>
        <w:t>Liquidity and Capital Resources</w:t>
      </w:r>
      <w:r>
        <w:rPr>
          <w:caps w:val="false"/>
          <w:smallCaps w:val="false"/>
        </w:rPr>
        <w:t>—</w:t>
      </w:r>
      <w:r>
        <w:rPr>
          <w:rFonts w:ascii="Times New Roman;serif" w:hAnsi="Times New Roman;serif"/>
          <w:b w:val="false"/>
          <w:i w:val="false"/>
          <w:caps w:val="false"/>
          <w:smallCaps w:val="false"/>
          <w:sz w:val="22"/>
        </w:rPr>
        <w:t xml:space="preserve">Discussion of our cash flows, including sources and uses of cash, for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(Successor), including a comparison to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 xml:space="preserve">June 30,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2025</w:t>
      </w:r>
      <w:r>
        <w:rPr>
          <w:caps w:val="false"/>
          <w:smallCaps w:val="false"/>
          <w:sz w:val="24"/>
        </w:rPr>
        <w:t xml:space="preserve"> </w:t>
      </w:r>
      <w:r>
        <w:rPr>
          <w:rFonts w:ascii="Times New Roman;serif" w:hAnsi="Times New Roman;serif"/>
          <w:b w:val="false"/>
          <w:i w:val="false"/>
          <w:caps w:val="false"/>
          <w:smallCaps w:val="false"/>
          <w:sz w:val="22"/>
        </w:rPr>
        <w:t xml:space="preserve">(Predecessor), and of our outstanding debt as of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(Successor), including </w:t>
      </w:r>
      <w:r>
        <w:rPr>
          <w:rFonts w:ascii="Times New Roman;serif" w:hAnsi="Times New Roman;serif"/>
          <w:b w:val="false"/>
          <w:i/>
          <w:sz w:val="22"/>
        </w:rPr>
        <w:t xml:space="preserve">Supplemental </w:t>
      </w:r>
    </w:p>
    <w:p>
      <w:pPr>
        <w:pStyle w:val="TextBody"/>
        <w:bidi w:val="0"/>
        <w:spacing w:lineRule="atLeast" w:line="220" w:before="0" w:after="0"/>
        <w:jc w:val="left"/>
        <w:rPr/>
      </w:pPr>
      <w:r>
        <w:rPr>
          <w:rFonts w:ascii="Times New Roman;serif" w:hAnsi="Times New Roman;serif"/>
          <w:b w:val="false"/>
          <w:i/>
          <w:sz w:val="22"/>
        </w:rPr>
        <w:t>Guarantor Financial Information</w:t>
      </w:r>
      <w:r>
        <w:rPr>
          <w:rFonts w:ascii="Times New Roman;serif" w:hAnsi="Times New Roman;serif"/>
          <w:b w:val="false"/>
          <w:i w:val="false"/>
          <w:caps w:val="false"/>
          <w:smallCaps w:val="false"/>
          <w:sz w:val="22"/>
        </w:rPr>
        <w:t>.</w:t>
      </w:r>
    </w:p>
    <w:p>
      <w:pPr>
        <w:pStyle w:val="TextBody"/>
        <w:bidi w:val="0"/>
        <w:spacing w:lineRule="atLeast" w:line="220" w:before="0" w:after="0"/>
        <w:jc w:val="left"/>
        <w:rPr/>
      </w:pPr>
      <w:r>
        <w:rPr>
          <w:caps w:val="false"/>
          <w:smallCaps w:val="false"/>
        </w:rPr>
        <w:t>•</w:t>
      </w:r>
      <w:r>
        <w:rPr>
          <w:rFonts w:ascii="Times New Roman;serif" w:hAnsi="Times New Roman;serif"/>
          <w:b w:val="false"/>
          <w:i/>
          <w:sz w:val="22"/>
        </w:rPr>
        <w:t>Legal Matters</w:t>
      </w:r>
      <w:r>
        <w:rPr>
          <w:caps w:val="false"/>
          <w:smallCaps w:val="false"/>
        </w:rPr>
        <w:t>—</w:t>
      </w:r>
      <w:r>
        <w:rPr>
          <w:rFonts w:ascii="Times New Roman;serif" w:hAnsi="Times New Roman;serif"/>
          <w:b w:val="false"/>
          <w:i w:val="false"/>
          <w:caps w:val="false"/>
          <w:smallCaps w:val="false"/>
          <w:sz w:val="22"/>
        </w:rPr>
        <w:t xml:space="preserve">Discussion of legal matters to which we are involved. </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Overview</w:t>
      </w:r>
    </w:p>
    <w:p>
      <w:pPr>
        <w:pStyle w:val="TextBody"/>
        <w:bidi w:val="0"/>
        <w:spacing w:lineRule="atLeast" w:line="220" w:before="0" w:after="0"/>
        <w:jc w:val="left"/>
        <w:rPr>
          <w:sz w:val="24"/>
        </w:rPr>
      </w:pPr>
      <w:r>
        <w:rPr>
          <w:rFonts w:ascii="Times New Roman;serif" w:hAnsi="Times New Roman;serif"/>
          <w:b w:val="false"/>
          <w:i/>
          <w:sz w:val="22"/>
        </w:rPr>
        <w:t xml:space="preserve">Operational Highlights - Three Months Ended </w:t>
      </w:r>
      <w:r>
        <w:rPr>
          <w:rFonts w:ascii="Times New Roman;serif" w:hAnsi="Times New Roman;serif"/>
          <w:b w:val="false"/>
          <w:i/>
          <w:strike w:val="false"/>
          <w:dstrike w:val="false"/>
          <w:sz w:val="22"/>
          <w:u w:val="none"/>
          <w:effect w:val="none"/>
        </w:rPr>
        <w:t>June 30, 2026 and 2025</w:t>
      </w:r>
      <w:r>
        <w:rPr>
          <w:caps w:val="false"/>
          <w:smallCaps w:val="false"/>
          <w:sz w:val="24"/>
        </w:rPr>
        <w:t xml:space="preserve"> </w:t>
      </w:r>
    </w:p>
    <w:tbl>
      <w:tblPr>
        <w:tblW w:w="9403" w:type="dxa"/>
        <w:jc w:val="left"/>
        <w:tblInd w:w="0" w:type="dxa"/>
        <w:tblLayout w:type="fixed"/>
        <w:tblCellMar>
          <w:top w:w="28" w:type="dxa"/>
          <w:left w:w="28" w:type="dxa"/>
          <w:bottom w:w="28" w:type="dxa"/>
          <w:right w:w="28" w:type="dxa"/>
        </w:tblCellMar>
      </w:tblPr>
      <w:tblGrid>
        <w:gridCol w:w="3646"/>
        <w:gridCol w:w="159"/>
        <w:gridCol w:w="987"/>
        <w:gridCol w:w="159"/>
        <w:gridCol w:w="109"/>
        <w:gridCol w:w="1006"/>
        <w:gridCol w:w="159"/>
        <w:gridCol w:w="987"/>
        <w:gridCol w:w="159"/>
        <w:gridCol w:w="109"/>
        <w:gridCol w:w="843"/>
        <w:gridCol w:w="142"/>
        <w:gridCol w:w="784"/>
        <w:gridCol w:w="154"/>
      </w:tblGrid>
      <w:tr>
        <w:trPr/>
        <w:tc>
          <w:tcPr>
            <w:tcW w:w="3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Consolidated Results of Operations</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GAAP:</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Revenues</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$6,913</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$6,849</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w:t>
            </w:r>
          </w:p>
        </w:tc>
        <w:tc>
          <w:tcPr>
            <w:tcW w:w="14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income</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$475</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$399</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w:t>
            </w:r>
          </w:p>
        </w:tc>
        <w:tc>
          <w:tcPr>
            <w:tcW w:w="14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earnings attributable to Parent</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4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Diluted EPS</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4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lineRule="atLeast" w:line="200" w:before="0" w:after="0"/>
              <w:jc w:val="left"/>
              <w:rPr/>
            </w:pPr>
            <w:r>
              <w:rPr>
                <w:rFonts w:ascii="Times New Roman;serif" w:hAnsi="Times New Roman;serif"/>
                <w:b w:val="false"/>
                <w:i/>
                <w:sz w:val="20"/>
              </w:rPr>
              <w:t>Non-GAAP:</w:t>
            </w:r>
            <w:r>
              <w:rPr/>
              <w:t xml:space="preserve"> </w:t>
            </w:r>
            <w:r>
              <w:rPr>
                <w:rFonts w:ascii="Times New Roman;serif" w:hAnsi="Times New Roman;serif"/>
                <w:b w:val="false"/>
                <w:i/>
                <w:sz w:val="13"/>
              </w:rPr>
              <w:t>(a)</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Adjusted EBITDA</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$1,099</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$863</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$236</w:t>
            </w:r>
          </w:p>
        </w:tc>
        <w:tc>
          <w:tcPr>
            <w:tcW w:w="14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Adjusted net earnings attributable to Parent</w:t>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$315</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w:t>
            </w:r>
          </w:p>
        </w:tc>
        <w:tc>
          <w:tcPr>
            <w:tcW w:w="14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Adjusted diluted EPS</w:t>
            </w:r>
          </w:p>
        </w:tc>
        <w:tc>
          <w:tcPr>
            <w:tcW w:w="15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c>
          <w:tcPr>
            <w:tcW w:w="15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c>
          <w:tcPr>
            <w:tcW w:w="15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4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w:t>
            </w:r>
          </w:p>
        </w:tc>
        <w:tc>
          <w:tcPr>
            <w:tcW w:w="15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pPr>
      <w:r>
        <w:rPr>
          <w:rFonts w:ascii="Times New Roman;serif" w:hAnsi="Times New Roman;serif"/>
          <w:b w:val="false"/>
          <w:i w:val="false"/>
          <w:caps w:val="false"/>
          <w:smallCaps w:val="false"/>
          <w:sz w:val="18"/>
        </w:rPr>
        <w:t>(a)  See “</w:t>
      </w:r>
      <w:r>
        <w:rPr>
          <w:rFonts w:ascii="Times New Roman;serif" w:hAnsi="Times New Roman;serif"/>
          <w:b w:val="false"/>
          <w:i/>
          <w:sz w:val="18"/>
        </w:rPr>
        <w:t>Reconciliation of Non-GAAP Measures</w:t>
      </w:r>
      <w:r>
        <w:rPr>
          <w:caps w:val="false"/>
          <w:smallCaps w:val="false"/>
        </w:rPr>
        <w:t xml:space="preserve">” </w:t>
      </w:r>
      <w:r>
        <w:rPr>
          <w:rFonts w:ascii="Times New Roman;serif" w:hAnsi="Times New Roman;serif"/>
          <w:b w:val="false"/>
          <w:i w:val="false"/>
          <w:caps w:val="false"/>
          <w:smallCaps w:val="false"/>
          <w:sz w:val="18"/>
        </w:rPr>
        <w:t xml:space="preserve">for reconciliations of these non-GAAP measures to the most directly comparable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financial measures in accordance with accounting principles generally accepted in the United States (“U.S. GAAP” or </w:t>
      </w:r>
    </w:p>
    <w:p>
      <w:pPr>
        <w:pStyle w:val="TextBody"/>
        <w:bidi w:val="0"/>
        <w:spacing w:lineRule="atLeast" w:line="18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18"/>
        </w:rPr>
        <w:t xml:space="preserve">GAAP”).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Revenues increased </w:t>
      </w:r>
      <w:r>
        <w:rPr>
          <w:rFonts w:ascii="Times New Roman;serif" w:hAnsi="Times New Roman;serif"/>
          <w:b w:val="false"/>
          <w:i w:val="false"/>
          <w:caps w:val="false"/>
          <w:smallCaps w:val="false"/>
          <w:strike w:val="false"/>
          <w:dstrike w:val="false"/>
          <w:sz w:val="22"/>
          <w:u w:val="none"/>
          <w:effect w:val="none"/>
        </w:rPr>
        <w:t>1%</w:t>
      </w:r>
      <w:r>
        <w:rPr>
          <w:caps w:val="false"/>
          <w:smallCaps w:val="false"/>
          <w:sz w:val="24"/>
        </w:rPr>
        <w:t xml:space="preserve"> </w:t>
      </w:r>
      <w:r>
        <w:rPr>
          <w:rFonts w:ascii="Times New Roman;serif" w:hAnsi="Times New Roman;serif"/>
          <w:b w:val="false"/>
          <w:i w:val="false"/>
          <w:caps w:val="false"/>
          <w:smallCaps w:val="false"/>
          <w:sz w:val="22"/>
        </w:rPr>
        <w:t xml:space="preserve">to </w:t>
      </w:r>
      <w:r>
        <w:rPr>
          <w:rFonts w:ascii="Times New Roman;serif" w:hAnsi="Times New Roman;serif"/>
          <w:b w:val="false"/>
          <w:i w:val="false"/>
          <w:caps w:val="false"/>
          <w:smallCaps w:val="false"/>
          <w:strike w:val="false"/>
          <w:dstrike w:val="false"/>
          <w:sz w:val="22"/>
          <w:u w:val="none"/>
          <w:effect w:val="none"/>
        </w:rPr>
        <w:t>$6.91 billion</w:t>
      </w:r>
      <w:r>
        <w:rPr>
          <w:rFonts w:ascii="Times New Roman;serif" w:hAnsi="Times New Roman;serif"/>
          <w:b w:val="false"/>
          <w:i w:val="false"/>
          <w:caps w:val="false"/>
          <w:smallCaps w:val="false"/>
          <w:sz w:val="22"/>
        </w:rPr>
        <w:t xml:space="preserve">, reflecting growth at Paramount+ and higher licensing revenues, driven by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inclusion of Skydance and increases in revenues from secondary market licensing and content produced for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third parties. These increases were partially offset by l</w:t>
      </w:r>
      <w:r>
        <w:rPr>
          <w:rFonts w:ascii="Times New Roman;serif" w:hAnsi="Times New Roman;serif"/>
          <w:b w:val="false"/>
          <w:i w:val="false"/>
          <w:caps w:val="false"/>
          <w:smallCaps w:val="false"/>
          <w:strike w:val="false"/>
          <w:dstrike w:val="false"/>
          <w:sz w:val="22"/>
          <w:u w:val="none"/>
          <w:effect w:val="none"/>
        </w:rPr>
        <w:t xml:space="preserve">ower revenues from our linear networks and from theatrical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 xml:space="preserve">releases, reflecting the comparison to the second quarter 2025 release of </w:t>
      </w:r>
      <w:r>
        <w:rPr>
          <w:rFonts w:ascii="Times New Roman;serif" w:hAnsi="Times New Roman;serif"/>
          <w:b w:val="false"/>
          <w:i/>
          <w:strike w:val="false"/>
          <w:dstrike w:val="false"/>
          <w:sz w:val="22"/>
          <w:u w:val="none"/>
          <w:effect w:val="none"/>
        </w:rPr>
        <w:t xml:space="preserve">Mission: Impossible - The Final </w:t>
      </w:r>
    </w:p>
    <w:p>
      <w:pPr>
        <w:pStyle w:val="TextBody"/>
        <w:bidi w:val="0"/>
        <w:spacing w:lineRule="atLeast" w:line="220" w:before="0" w:after="0"/>
        <w:jc w:val="left"/>
        <w:rPr>
          <w:rFonts w:ascii="Times New Roman;serif" w:hAnsi="Times New Roman;serif"/>
          <w:b w:val="false"/>
          <w:i/>
          <w:strike w:val="false"/>
          <w:dstrike w:val="false"/>
          <w:sz w:val="22"/>
          <w:u w:val="none"/>
          <w:effect w:val="none"/>
        </w:rPr>
      </w:pPr>
      <w:r>
        <w:rPr>
          <w:rFonts w:ascii="Times New Roman;serif" w:hAnsi="Times New Roman;serif"/>
          <w:b w:val="false"/>
          <w:i/>
          <w:strike w:val="false"/>
          <w:dstrike w:val="false"/>
          <w:sz w:val="22"/>
          <w:u w:val="none"/>
          <w:effect w:val="none"/>
        </w:rPr>
        <w:t>Reckoning.</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Skydance is included in our results in periods following the close of the Skydance Transactions. In addition, as 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result of the pushdown of the Ultimate Parent’s basis, operating income, net earnings attributable to Parent,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diluted EPS in 2026 include amortization associated with the establishment of intangible assets and also reflect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net decrease in programming assets. Net earnings and diluted EPS also include interest expense associated with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adjustment of our debt to its fair value. See Note 2 to the consolidated financial statements for details relating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pushdown of the Ultimate Parent’s basis.</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Operating income of </w:t>
      </w:r>
      <w:r>
        <w:rPr>
          <w:rFonts w:ascii="Times New Roman;serif" w:hAnsi="Times New Roman;serif"/>
          <w:b w:val="false"/>
          <w:i w:val="false"/>
          <w:caps w:val="false"/>
          <w:smallCaps w:val="false"/>
          <w:strike w:val="false"/>
          <w:dstrike w:val="false"/>
          <w:sz w:val="22"/>
          <w:u w:val="none"/>
          <w:effect w:val="none"/>
        </w:rPr>
        <w:t>$475 million</w:t>
      </w:r>
      <w:r>
        <w:rPr>
          <w:caps w:val="false"/>
          <w:smallCaps w:val="false"/>
          <w:sz w:val="24"/>
        </w:rPr>
        <w:t xml:space="preserve"> </w:t>
      </w:r>
      <w:r>
        <w:rPr>
          <w:rFonts w:ascii="Times New Roman;serif" w:hAnsi="Times New Roman;serif"/>
          <w:b w:val="false"/>
          <w:i w:val="false"/>
          <w:caps w:val="false"/>
          <w:smallCaps w:val="false"/>
          <w:sz w:val="22"/>
        </w:rPr>
        <w:t xml:space="preserve">for the three months ended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increased </w:t>
      </w:r>
      <w:r>
        <w:rPr>
          <w:rFonts w:ascii="Times New Roman;serif" w:hAnsi="Times New Roman;serif"/>
          <w:b w:val="false"/>
          <w:i w:val="false"/>
          <w:caps w:val="false"/>
          <w:smallCaps w:val="false"/>
          <w:strike w:val="false"/>
          <w:dstrike w:val="false"/>
          <w:sz w:val="22"/>
          <w:u w:val="none"/>
          <w:effect w:val="none"/>
        </w:rPr>
        <w:t>19%</w:t>
      </w:r>
      <w:r>
        <w:rPr>
          <w:rFonts w:ascii="Times New Roman;serif" w:hAnsi="Times New Roman;serif"/>
          <w:b w:val="false"/>
          <w:i w:val="false"/>
          <w:caps w:val="false"/>
          <w:smallCaps w:val="false"/>
          <w:sz w:val="22"/>
        </w:rPr>
        <w:t xml:space="preserve">. Operating income in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2026 includes transaction-related items of </w:t>
      </w:r>
      <w:r>
        <w:rPr>
          <w:rFonts w:ascii="Times New Roman;serif" w:hAnsi="Times New Roman;serif"/>
          <w:b w:val="false"/>
          <w:i w:val="false"/>
          <w:caps w:val="false"/>
          <w:smallCaps w:val="false"/>
          <w:strike w:val="false"/>
          <w:dstrike w:val="false"/>
          <w:sz w:val="22"/>
          <w:u w:val="none"/>
          <w:effect w:val="none"/>
        </w:rPr>
        <w:t>$153 million</w:t>
      </w:r>
      <w:r>
        <w:rPr>
          <w:caps w:val="false"/>
          <w:smallCaps w:val="false"/>
          <w:sz w:val="24"/>
        </w:rPr>
        <w:t xml:space="preserve"> </w:t>
      </w:r>
      <w:r>
        <w:rPr>
          <w:rFonts w:ascii="Times New Roman;serif" w:hAnsi="Times New Roman;serif"/>
          <w:b w:val="false"/>
          <w:i w:val="false"/>
          <w:caps w:val="false"/>
          <w:smallCaps w:val="false"/>
          <w:sz w:val="22"/>
        </w:rPr>
        <w:t xml:space="preserve">and restructuring </w:t>
      </w:r>
      <w:r>
        <w:rPr>
          <w:rFonts w:ascii="Times New Roman;serif" w:hAnsi="Times New Roman;serif"/>
          <w:b w:val="false"/>
          <w:i w:val="false"/>
          <w:caps w:val="false"/>
          <w:smallCaps w:val="false"/>
          <w:strike w:val="false"/>
          <w:dstrike w:val="false"/>
          <w:sz w:val="22"/>
          <w:u w:val="none"/>
          <w:effect w:val="none"/>
        </w:rPr>
        <w:t>charges</w:t>
      </w:r>
      <w:r>
        <w:rPr>
          <w:caps w:val="false"/>
          <w:smallCaps w:val="false"/>
          <w:sz w:val="24"/>
        </w:rPr>
        <w:t xml:space="preserve"> </w:t>
      </w:r>
      <w:r>
        <w:rPr>
          <w:rFonts w:ascii="Times New Roman;serif" w:hAnsi="Times New Roman;serif"/>
          <w:b w:val="false"/>
          <w:i w:val="false"/>
          <w:caps w:val="false"/>
          <w:smallCaps w:val="false"/>
          <w:sz w:val="22"/>
        </w:rPr>
        <w:t xml:space="preserve">of </w:t>
      </w:r>
      <w:r>
        <w:rPr>
          <w:rFonts w:ascii="Times New Roman;serif" w:hAnsi="Times New Roman;serif"/>
          <w:b w:val="false"/>
          <w:i w:val="false"/>
          <w:caps w:val="false"/>
          <w:smallCaps w:val="false"/>
          <w:strike w:val="false"/>
          <w:dstrike w:val="false"/>
          <w:sz w:val="22"/>
          <w:u w:val="none"/>
          <w:effect w:val="none"/>
        </w:rPr>
        <w:t>$35 million</w:t>
      </w:r>
      <w:r>
        <w:rPr>
          <w:caps w:val="false"/>
          <w:smallCaps w:val="false"/>
          <w:sz w:val="24"/>
        </w:rPr>
        <w:t xml:space="preserve"> </w:t>
      </w:r>
      <w:r>
        <w:rPr>
          <w:rFonts w:ascii="Times New Roman;serif" w:hAnsi="Times New Roman;serif"/>
          <w:b w:val="false"/>
          <w:i w:val="false"/>
          <w:caps w:val="false"/>
          <w:smallCaps w:val="false"/>
          <w:sz w:val="22"/>
        </w:rPr>
        <w:t xml:space="preserve">while 2025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includes restructuring charges and transaction-related items totaling </w:t>
      </w:r>
      <w:r>
        <w:rPr>
          <w:rFonts w:ascii="Times New Roman;serif" w:hAnsi="Times New Roman;serif"/>
          <w:b w:val="false"/>
          <w:i w:val="false"/>
          <w:caps w:val="false"/>
          <w:smallCaps w:val="false"/>
          <w:strike w:val="false"/>
          <w:dstrike w:val="false"/>
          <w:sz w:val="22"/>
          <w:u w:val="none"/>
          <w:effect w:val="none"/>
        </w:rPr>
        <w:t>$181 million</w:t>
      </w:r>
      <w:r>
        <w:rPr>
          <w:caps w:val="false"/>
          <w:smallCaps w:val="false"/>
          <w:sz w:val="24"/>
        </w:rPr>
        <w:t xml:space="preserve"> </w:t>
      </w:r>
      <w:r>
        <w:rPr>
          <w:rFonts w:ascii="Times New Roman;serif" w:hAnsi="Times New Roman;serif"/>
          <w:b w:val="false"/>
          <w:i w:val="false"/>
          <w:caps w:val="false"/>
          <w:smallCaps w:val="false"/>
          <w:sz w:val="22"/>
        </w:rPr>
        <w:t xml:space="preserve">and an impairment charge of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$157 million</w:t>
      </w:r>
      <w:r>
        <w:rPr>
          <w:rFonts w:ascii="Times New Roman;serif" w:hAnsi="Times New Roman;serif"/>
          <w:b w:val="false"/>
          <w:i w:val="false"/>
          <w:caps w:val="false"/>
          <w:smallCaps w:val="false"/>
          <w:sz w:val="22"/>
        </w:rPr>
        <w:t xml:space="preserve">. The comparison also reflects higher revenue and </w:t>
      </w:r>
      <w:r>
        <w:rPr>
          <w:rFonts w:ascii="Times New Roman;serif" w:hAnsi="Times New Roman;serif"/>
          <w:b w:val="false"/>
          <w:i w:val="false"/>
          <w:caps w:val="false"/>
          <w:smallCaps w:val="false"/>
          <w:strike w:val="false"/>
          <w:dstrike w:val="false"/>
          <w:sz w:val="22"/>
          <w:u w:val="none"/>
          <w:effect w:val="none"/>
        </w:rPr>
        <w:t>lower</w:t>
      </w:r>
      <w:r>
        <w:rPr>
          <w:caps w:val="false"/>
          <w:smallCaps w:val="false"/>
          <w:sz w:val="24"/>
        </w:rPr>
        <w:t xml:space="preserve"> </w:t>
      </w:r>
      <w:r>
        <w:rPr>
          <w:rFonts w:ascii="Times New Roman;serif" w:hAnsi="Times New Roman;serif"/>
          <w:b w:val="false"/>
          <w:i w:val="false"/>
          <w:caps w:val="false"/>
          <w:smallCaps w:val="false"/>
          <w:sz w:val="22"/>
        </w:rPr>
        <w:t xml:space="preserve">content costs, including from reductions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programming assets resulting from the pushdown of the Ultimate Parent’s basis, partially offset by amortization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intangible assets.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Net earnings attributable to Parent of </w:t>
      </w:r>
      <w:r>
        <w:rPr>
          <w:rFonts w:ascii="Times New Roman;serif" w:hAnsi="Times New Roman;serif"/>
          <w:b w:val="false"/>
          <w:i w:val="false"/>
          <w:caps w:val="false"/>
          <w:smallCaps w:val="false"/>
          <w:strike w:val="false"/>
          <w:dstrike w:val="false"/>
          <w:sz w:val="22"/>
          <w:u w:val="none"/>
          <w:effect w:val="none"/>
        </w:rPr>
        <w:t>$41 million</w:t>
      </w:r>
      <w:r>
        <w:rPr>
          <w:rFonts w:ascii="Times New Roman;serif" w:hAnsi="Times New Roman;serif"/>
          <w:b w:val="false"/>
          <w:i w:val="false"/>
          <w:caps w:val="false"/>
          <w:smallCaps w:val="false"/>
          <w:sz w:val="22"/>
        </w:rPr>
        <w:t xml:space="preserve">, or </w:t>
      </w:r>
      <w:r>
        <w:rPr>
          <w:rFonts w:ascii="Times New Roman;serif" w:hAnsi="Times New Roman;serif"/>
          <w:b w:val="false"/>
          <w:i w:val="false"/>
          <w:caps w:val="false"/>
          <w:smallCaps w:val="false"/>
          <w:strike w:val="false"/>
          <w:dstrike w:val="false"/>
          <w:sz w:val="22"/>
          <w:u w:val="none"/>
          <w:effect w:val="none"/>
        </w:rPr>
        <w:t>$.04</w:t>
      </w:r>
      <w:r>
        <w:rPr>
          <w:caps w:val="false"/>
          <w:smallCaps w:val="false"/>
          <w:sz w:val="24"/>
        </w:rPr>
        <w:t xml:space="preserve"> </w:t>
      </w:r>
      <w:r>
        <w:rPr>
          <w:rFonts w:ascii="Times New Roman;serif" w:hAnsi="Times New Roman;serif"/>
          <w:b w:val="false"/>
          <w:i w:val="false"/>
          <w:caps w:val="false"/>
          <w:smallCaps w:val="false"/>
          <w:sz w:val="22"/>
        </w:rPr>
        <w:t>per diluted share de</w:t>
      </w:r>
      <w:r>
        <w:rPr>
          <w:rFonts w:ascii="Times New Roman;serif" w:hAnsi="Times New Roman;serif"/>
          <w:b w:val="false"/>
          <w:i w:val="false"/>
          <w:caps w:val="false"/>
          <w:smallCaps w:val="false"/>
          <w:strike w:val="false"/>
          <w:dstrike w:val="false"/>
          <w:sz w:val="22"/>
          <w:u w:val="none"/>
          <w:effect w:val="none"/>
        </w:rPr>
        <w:t>creased 28%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compared with net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earnings attributable to Parent of $57 million, or $.08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per diluted share, for the same prior-year period as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increase in operating income was more than offset by a higher tax provision and higher interest expense. Adjusted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net earnings attributable to Parent, which excludes the restructuring charges, transaction-related items, and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impairment charges noted above, decreased 35%</w:t>
      </w:r>
      <w:r>
        <w:rPr>
          <w:caps w:val="false"/>
          <w:smallCaps w:val="false"/>
          <w:sz w:val="24"/>
        </w:rPr>
        <w:t xml:space="preserve"> </w:t>
      </w:r>
      <w:r>
        <w:rPr>
          <w:rFonts w:ascii="Times New Roman;serif" w:hAnsi="Times New Roman;serif"/>
          <w:b w:val="false"/>
          <w:i w:val="false"/>
          <w:caps w:val="false"/>
          <w:smallCaps w:val="false"/>
          <w:sz w:val="22"/>
        </w:rPr>
        <w:t xml:space="preserve">to </w:t>
      </w:r>
      <w:r>
        <w:rPr>
          <w:rFonts w:ascii="Times New Roman;serif" w:hAnsi="Times New Roman;serif"/>
          <w:b w:val="false"/>
          <w:i w:val="false"/>
          <w:caps w:val="false"/>
          <w:smallCaps w:val="false"/>
          <w:strike w:val="false"/>
          <w:dstrike w:val="false"/>
          <w:sz w:val="22"/>
          <w:u w:val="none"/>
          <w:effect w:val="none"/>
        </w:rPr>
        <w:t>$205 million</w:t>
      </w:r>
      <w:r>
        <w:rPr>
          <w:rFonts w:ascii="Times New Roman;serif" w:hAnsi="Times New Roman;serif"/>
          <w:b w:val="false"/>
          <w:i w:val="false"/>
          <w:caps w:val="false"/>
          <w:smallCaps w:val="false"/>
          <w:sz w:val="22"/>
        </w:rPr>
        <w:t>, or</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$.18</w:t>
      </w:r>
      <w:r>
        <w:rPr>
          <w:caps w:val="false"/>
          <w:smallCaps w:val="false"/>
          <w:sz w:val="24"/>
        </w:rPr>
        <w:t xml:space="preserve"> </w:t>
      </w:r>
      <w:r>
        <w:rPr>
          <w:rFonts w:ascii="Times New Roman;serif" w:hAnsi="Times New Roman;serif"/>
          <w:b w:val="false"/>
          <w:i w:val="false"/>
          <w:caps w:val="false"/>
          <w:smallCaps w:val="false"/>
          <w:sz w:val="22"/>
        </w:rPr>
        <w:t xml:space="preserve">per diluted share from </w:t>
      </w:r>
      <w:r>
        <w:rPr>
          <w:rFonts w:ascii="Times New Roman;serif" w:hAnsi="Times New Roman;serif"/>
          <w:b w:val="false"/>
          <w:i w:val="false"/>
          <w:caps w:val="false"/>
          <w:smallCaps w:val="false"/>
          <w:strike w:val="false"/>
          <w:dstrike w:val="false"/>
          <w:sz w:val="22"/>
          <w:u w:val="none"/>
          <w:effect w:val="none"/>
        </w:rPr>
        <w:t>$315 million</w:t>
      </w:r>
      <w:r>
        <w:rPr>
          <w:rFonts w:ascii="Times New Roman;serif" w:hAnsi="Times New Roman;serif"/>
          <w:b w:val="false"/>
          <w:i w:val="false"/>
          <w:caps w:val="false"/>
          <w:smallCaps w:val="false"/>
          <w:sz w:val="22"/>
        </w:rPr>
        <w:t xml:space="preserve">, or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$.46</w:t>
      </w:r>
      <w:r>
        <w:rPr>
          <w:caps w:val="false"/>
          <w:smallCaps w:val="false"/>
          <w:sz w:val="24"/>
        </w:rPr>
        <w:t xml:space="preserve"> </w:t>
      </w:r>
      <w:r>
        <w:rPr>
          <w:rFonts w:ascii="Times New Roman;serif" w:hAnsi="Times New Roman;serif"/>
          <w:b w:val="false"/>
          <w:i w:val="false"/>
          <w:caps w:val="false"/>
          <w:smallCaps w:val="false"/>
          <w:sz w:val="22"/>
        </w:rPr>
        <w:t xml:space="preserve">per diluted share. The decreases in diluted EPS and adjusted diluted EPS also reflect shares issued in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connection with the Skydance Transactions and the NAI Transaction. See </w:t>
      </w:r>
      <w:r>
        <w:rPr>
          <w:rFonts w:ascii="Times New Roman;serif" w:hAnsi="Times New Roman;serif"/>
          <w:b w:val="false"/>
          <w:i/>
          <w:sz w:val="22"/>
        </w:rPr>
        <w:t xml:space="preserve">Reconciliation of Non-GAAP Measures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for the definition of adjusted net earnings attributable to Parent and a reconciliation to net earnings attributable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Parent.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Adjusted EBITDA grew </w:t>
      </w:r>
      <w:r>
        <w:rPr>
          <w:rFonts w:ascii="Times New Roman;serif" w:hAnsi="Times New Roman;serif"/>
          <w:b w:val="false"/>
          <w:i w:val="false"/>
          <w:caps w:val="false"/>
          <w:smallCaps w:val="false"/>
          <w:strike w:val="false"/>
          <w:dstrike w:val="false"/>
          <w:sz w:val="22"/>
          <w:u w:val="none"/>
          <w:effect w:val="none"/>
        </w:rPr>
        <w:t>27%</w:t>
      </w:r>
      <w:r>
        <w:rPr>
          <w:caps w:val="false"/>
          <w:smallCaps w:val="false"/>
          <w:sz w:val="24"/>
        </w:rPr>
        <w:t xml:space="preserve"> </w:t>
      </w:r>
      <w:r>
        <w:rPr>
          <w:rFonts w:ascii="Times New Roman;serif" w:hAnsi="Times New Roman;serif"/>
          <w:b w:val="false"/>
          <w:i w:val="false"/>
          <w:caps w:val="false"/>
          <w:smallCaps w:val="false"/>
          <w:sz w:val="22"/>
        </w:rPr>
        <w:t xml:space="preserve">primarily reflecting the lower content costs from reductions in programming assets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resulting from the pushdown of the Ultimate Parent’s basis and cost savings for our linear programming, partially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offset by lower revenues from our linear networks. See </w:t>
      </w:r>
      <w:r>
        <w:rPr>
          <w:rFonts w:ascii="Times New Roman;serif" w:hAnsi="Times New Roman;serif"/>
          <w:b w:val="false"/>
          <w:i/>
          <w:sz w:val="22"/>
        </w:rPr>
        <w:t xml:space="preserve">Reconciliation of Non-GAAP Measures </w:t>
      </w:r>
      <w:r>
        <w:rPr>
          <w:rFonts w:ascii="Times New Roman;serif" w:hAnsi="Times New Roman;serif"/>
          <w:b w:val="false"/>
          <w:i w:val="false"/>
          <w:caps w:val="false"/>
          <w:smallCaps w:val="false"/>
          <w:sz w:val="22"/>
        </w:rPr>
        <w:t xml:space="preserve">for the definition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Adjusted EBITDA and a reconciliation to net earnings attributable to Parent, the most directly comparable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financial measure in accordance with U.S.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both"/>
        <w:rPr>
          <w:sz w:val="24"/>
          <w:u w:val="single"/>
        </w:rPr>
      </w:pPr>
      <w:r>
        <w:rPr>
          <w:rFonts w:ascii="Times New Roman;serif" w:hAnsi="Times New Roman;serif"/>
          <w:b w:val="false"/>
          <w:i/>
          <w:sz w:val="22"/>
          <w:u w:val="single"/>
        </w:rPr>
        <w:t xml:space="preserve">Operational Highlights - </w:t>
      </w:r>
      <w:r>
        <w:rPr>
          <w:rFonts w:ascii="Times New Roman;serif" w:hAnsi="Times New Roman;serif"/>
          <w:b w:val="false"/>
          <w:i/>
          <w:strike w:val="false"/>
          <w:dstrike w:val="false"/>
          <w:sz w:val="22"/>
          <w:u w:val="none"/>
          <w:effect w:val="none"/>
        </w:rPr>
        <w:t>Six Months Ended</w:t>
      </w:r>
      <w:r>
        <w:rPr>
          <w:caps w:val="false"/>
          <w:smallCaps w:val="false"/>
          <w:sz w:val="24"/>
          <w:u w:val="single"/>
        </w:rPr>
        <w:t xml:space="preserve"> </w:t>
      </w:r>
      <w:r>
        <w:rPr>
          <w:rFonts w:ascii="Times New Roman;serif" w:hAnsi="Times New Roman;serif"/>
          <w:b w:val="false"/>
          <w:i/>
          <w:strike w:val="false"/>
          <w:dstrike w:val="false"/>
          <w:sz w:val="22"/>
          <w:u w:val="none"/>
          <w:effect w:val="none"/>
        </w:rPr>
        <w:t>June 30, 2026 and 2025</w:t>
      </w:r>
    </w:p>
    <w:tbl>
      <w:tblPr>
        <w:tblW w:w="9403" w:type="dxa"/>
        <w:jc w:val="left"/>
        <w:tblInd w:w="0" w:type="dxa"/>
        <w:tblLayout w:type="fixed"/>
        <w:tblCellMar>
          <w:top w:w="28" w:type="dxa"/>
          <w:left w:w="28" w:type="dxa"/>
          <w:bottom w:w="28" w:type="dxa"/>
          <w:right w:w="28" w:type="dxa"/>
        </w:tblCellMar>
      </w:tblPr>
      <w:tblGrid>
        <w:gridCol w:w="3646"/>
        <w:gridCol w:w="142"/>
        <w:gridCol w:w="1021"/>
        <w:gridCol w:w="142"/>
        <w:gridCol w:w="109"/>
        <w:gridCol w:w="1006"/>
        <w:gridCol w:w="142"/>
        <w:gridCol w:w="1021"/>
        <w:gridCol w:w="142"/>
        <w:gridCol w:w="109"/>
        <w:gridCol w:w="800"/>
        <w:gridCol w:w="148"/>
        <w:gridCol w:w="821"/>
        <w:gridCol w:w="154"/>
      </w:tblGrid>
      <w:tr>
        <w:trPr/>
        <w:tc>
          <w:tcPr>
            <w:tcW w:w="36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Consolidated Results of Operations</w:t>
            </w:r>
          </w:p>
        </w:tc>
        <w:tc>
          <w:tcPr>
            <w:tcW w:w="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GAAP:</w:t>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Revenues</w:t>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$14,260</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$14,041</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$219</w:t>
            </w:r>
          </w:p>
        </w:tc>
        <w:tc>
          <w:tcPr>
            <w:tcW w:w="1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income</w:t>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$1,091</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$949</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w:t>
            </w:r>
          </w:p>
        </w:tc>
        <w:tc>
          <w:tcPr>
            <w:tcW w:w="1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earnings attributable to Parent</w:t>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Diluted EPS</w:t>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lineRule="atLeast" w:line="200" w:before="0" w:after="0"/>
              <w:jc w:val="left"/>
              <w:rPr/>
            </w:pPr>
            <w:r>
              <w:rPr>
                <w:rFonts w:ascii="Times New Roman;serif" w:hAnsi="Times New Roman;serif"/>
                <w:b w:val="false"/>
                <w:i/>
                <w:sz w:val="20"/>
              </w:rPr>
              <w:t>Non-GAAP:</w:t>
            </w:r>
            <w:r>
              <w:rPr>
                <w:caps w:val="false"/>
                <w:smallCaps w:val="false"/>
              </w:rPr>
              <w:t xml:space="preserve"> </w:t>
            </w:r>
            <w:r>
              <w:rPr>
                <w:rFonts w:ascii="Times New Roman;serif" w:hAnsi="Times New Roman;serif"/>
                <w:b w:val="false"/>
                <w:i w:val="false"/>
                <w:caps w:val="false"/>
                <w:smallCaps w:val="false"/>
                <w:sz w:val="13"/>
              </w:rPr>
              <w:t>(a)</w:t>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Adjusted EBITDA</w:t>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$2,260</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$1,595</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$665</w:t>
            </w:r>
          </w:p>
        </w:tc>
        <w:tc>
          <w:tcPr>
            <w:tcW w:w="1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Adjusted net earnings attributable to Parent</w:t>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$466</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$510</w:t>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c>
          <w:tcPr>
            <w:tcW w:w="1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Adjusted diluted EPS</w:t>
            </w:r>
          </w:p>
        </w:tc>
        <w:tc>
          <w:tcPr>
            <w:tcW w:w="14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14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w:t>
            </w:r>
          </w:p>
        </w:tc>
        <w:tc>
          <w:tcPr>
            <w:tcW w:w="14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w:t>
            </w:r>
          </w:p>
        </w:tc>
        <w:tc>
          <w:tcPr>
            <w:tcW w:w="14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c>
          <w:tcPr>
            <w:tcW w:w="15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pPr>
      <w:r>
        <w:rPr>
          <w:rFonts w:ascii="Times New Roman;serif" w:hAnsi="Times New Roman;serif"/>
          <w:b w:val="false"/>
          <w:i w:val="false"/>
          <w:caps w:val="false"/>
          <w:smallCaps w:val="false"/>
          <w:sz w:val="18"/>
        </w:rPr>
        <w:t>(a)  See “</w:t>
      </w:r>
      <w:r>
        <w:rPr>
          <w:rFonts w:ascii="Times New Roman;serif" w:hAnsi="Times New Roman;serif"/>
          <w:b w:val="false"/>
          <w:i/>
          <w:sz w:val="18"/>
        </w:rPr>
        <w:t>Reconciliation of Non-GAAP Measures</w:t>
      </w:r>
      <w:r>
        <w:rPr>
          <w:caps w:val="false"/>
          <w:smallCaps w:val="false"/>
        </w:rPr>
        <w:t xml:space="preserve">” </w:t>
      </w:r>
      <w:r>
        <w:rPr>
          <w:rFonts w:ascii="Times New Roman;serif" w:hAnsi="Times New Roman;serif"/>
          <w:b w:val="false"/>
          <w:i w:val="false"/>
          <w:caps w:val="false"/>
          <w:smallCaps w:val="false"/>
          <w:sz w:val="18"/>
        </w:rPr>
        <w:t xml:space="preserve">for reconciliations of these non-GAAP measures to the most directly comparable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financial measures in accordance with U.S. GAAP.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Revenues increased </w:t>
      </w:r>
      <w:r>
        <w:rPr>
          <w:rFonts w:ascii="Times New Roman;serif" w:hAnsi="Times New Roman;serif"/>
          <w:b w:val="false"/>
          <w:i w:val="false"/>
          <w:caps w:val="false"/>
          <w:smallCaps w:val="false"/>
          <w:strike w:val="false"/>
          <w:dstrike w:val="false"/>
          <w:sz w:val="22"/>
          <w:u w:val="none"/>
          <w:effect w:val="none"/>
        </w:rPr>
        <w:t>2%</w:t>
      </w:r>
      <w:r>
        <w:rPr>
          <w:caps w:val="false"/>
          <w:smallCaps w:val="false"/>
          <w:sz w:val="24"/>
        </w:rPr>
        <w:t xml:space="preserve"> </w:t>
      </w:r>
      <w:r>
        <w:rPr>
          <w:rFonts w:ascii="Times New Roman;serif" w:hAnsi="Times New Roman;serif"/>
          <w:b w:val="false"/>
          <w:i w:val="false"/>
          <w:caps w:val="false"/>
          <w:smallCaps w:val="false"/>
          <w:sz w:val="22"/>
        </w:rPr>
        <w:t xml:space="preserve">to </w:t>
      </w:r>
      <w:r>
        <w:rPr>
          <w:rFonts w:ascii="Times New Roman;serif" w:hAnsi="Times New Roman;serif"/>
          <w:b w:val="false"/>
          <w:i w:val="false"/>
          <w:caps w:val="false"/>
          <w:smallCaps w:val="false"/>
          <w:strike w:val="false"/>
          <w:dstrike w:val="false"/>
          <w:sz w:val="22"/>
          <w:u w:val="none"/>
          <w:effect w:val="none"/>
        </w:rPr>
        <w:t>$14.26 billion</w:t>
      </w:r>
      <w:r>
        <w:rPr>
          <w:rFonts w:ascii="Times New Roman;serif" w:hAnsi="Times New Roman;serif"/>
          <w:b w:val="false"/>
          <w:i w:val="false"/>
          <w:caps w:val="false"/>
          <w:smallCaps w:val="false"/>
          <w:sz w:val="22"/>
        </w:rPr>
        <w:t xml:space="preserve">, driven by growth at Paramount+ and higher licensing revenues,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principally from the inclusion of Skydance in the current year, partially offset by lower revenues from our linear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networks and theatrical releases.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As discussed above, periods following the closing of the Skydance Transactions on August 7, 2025 reflect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inclusion of Skydance and the effects of the pushdown of the Ultimate Parent’s basis.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Operating income of </w:t>
      </w:r>
      <w:r>
        <w:rPr>
          <w:rFonts w:ascii="Times New Roman;serif" w:hAnsi="Times New Roman;serif"/>
          <w:b w:val="false"/>
          <w:i w:val="false"/>
          <w:caps w:val="false"/>
          <w:smallCaps w:val="false"/>
          <w:strike w:val="false"/>
          <w:dstrike w:val="false"/>
          <w:sz w:val="22"/>
          <w:u w:val="none"/>
          <w:effect w:val="none"/>
        </w:rPr>
        <w:t>$1.09 billion</w:t>
      </w:r>
      <w:r>
        <w:rPr>
          <w:caps w:val="false"/>
          <w:smallCaps w:val="false"/>
          <w:sz w:val="24"/>
        </w:rPr>
        <w:t xml:space="preserve"> </w:t>
      </w:r>
      <w:r>
        <w:rPr>
          <w:rFonts w:ascii="Times New Roman;serif" w:hAnsi="Times New Roman;serif"/>
          <w:b w:val="false"/>
          <w:i w:val="false"/>
          <w:caps w:val="false"/>
          <w:smallCaps w:val="false"/>
          <w:sz w:val="22"/>
        </w:rPr>
        <w:t xml:space="preserve">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increased </w:t>
      </w:r>
      <w:r>
        <w:rPr>
          <w:rFonts w:ascii="Times New Roman;serif" w:hAnsi="Times New Roman;serif"/>
          <w:b w:val="false"/>
          <w:i w:val="false"/>
          <w:caps w:val="false"/>
          <w:smallCaps w:val="false"/>
          <w:strike w:val="false"/>
          <w:dstrike w:val="false"/>
          <w:sz w:val="22"/>
          <w:u w:val="none"/>
          <w:effect w:val="none"/>
        </w:rPr>
        <w:t>15%</w:t>
      </w:r>
      <w:r>
        <w:rPr>
          <w:rFonts w:ascii="Times New Roman;serif" w:hAnsi="Times New Roman;serif"/>
          <w:b w:val="false"/>
          <w:i w:val="false"/>
          <w:caps w:val="false"/>
          <w:smallCaps w:val="false"/>
          <w:sz w:val="22"/>
        </w:rPr>
        <w:t>, driven</w:t>
      </w:r>
      <w:r>
        <w:rPr>
          <w:caps w:val="false"/>
          <w:smallCaps w:val="false"/>
          <w:sz w:val="24"/>
        </w:rPr>
        <w:t xml:space="preserve"> </w:t>
      </w:r>
      <w:r>
        <w:rPr>
          <w:rFonts w:ascii="Times New Roman;serif" w:hAnsi="Times New Roman;serif"/>
          <w:b w:val="false"/>
          <w:i w:val="false"/>
          <w:caps w:val="false"/>
          <w:smallCaps w:val="false"/>
          <w:sz w:val="22"/>
        </w:rPr>
        <w:t xml:space="preserve">by lower content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costs from reductions in programming assets resulting from the pushdown of the Ultimate Parent’s basis and lower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compensation and marketing costs from the impact from cost savings initiatives, partially offset by amortization of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intangible assets. Operating income in 2026 also includes transaction-related items of </w:t>
      </w:r>
      <w:r>
        <w:rPr>
          <w:rFonts w:ascii="Times New Roman;serif" w:hAnsi="Times New Roman;serif"/>
          <w:b w:val="false"/>
          <w:i w:val="false"/>
          <w:caps w:val="false"/>
          <w:smallCaps w:val="false"/>
          <w:strike w:val="false"/>
          <w:dstrike w:val="false"/>
          <w:sz w:val="22"/>
          <w:u w:val="none"/>
          <w:effect w:val="none"/>
        </w:rPr>
        <w:t>$256 million</w:t>
      </w:r>
      <w:r>
        <w:rPr>
          <w:caps w:val="false"/>
          <w:smallCaps w:val="false"/>
          <w:sz w:val="24"/>
        </w:rPr>
        <w:t xml:space="preserve"> </w:t>
      </w:r>
      <w:r>
        <w:rPr>
          <w:rFonts w:ascii="Times New Roman;serif" w:hAnsi="Times New Roman;serif"/>
          <w:b w:val="false"/>
          <w:i w:val="false"/>
          <w:caps w:val="false"/>
          <w:smallCaps w:val="false"/>
          <w:sz w:val="22"/>
        </w:rPr>
        <w:t xml:space="preserve">and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restructuring costs of </w:t>
      </w:r>
      <w:r>
        <w:rPr>
          <w:rFonts w:ascii="Times New Roman;serif" w:hAnsi="Times New Roman;serif"/>
          <w:b w:val="false"/>
          <w:i w:val="false"/>
          <w:caps w:val="false"/>
          <w:smallCaps w:val="false"/>
          <w:strike w:val="false"/>
          <w:dstrike w:val="false"/>
          <w:sz w:val="22"/>
          <w:u w:val="none"/>
          <w:effect w:val="none"/>
        </w:rPr>
        <w:t>$35 million</w:t>
      </w:r>
      <w:r>
        <w:rPr>
          <w:caps w:val="false"/>
          <w:smallCaps w:val="false"/>
          <w:sz w:val="24"/>
        </w:rPr>
        <w:t xml:space="preserve"> </w:t>
      </w:r>
      <w:r>
        <w:rPr>
          <w:rFonts w:ascii="Times New Roman;serif" w:hAnsi="Times New Roman;serif"/>
          <w:b w:val="false"/>
          <w:i w:val="false"/>
          <w:caps w:val="false"/>
          <w:smallCaps w:val="false"/>
          <w:sz w:val="22"/>
        </w:rPr>
        <w:t xml:space="preserve">while 2025 includes restructuring charges and transaction-related items totaling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$266 million</w:t>
      </w:r>
      <w:r>
        <w:rPr>
          <w:rFonts w:ascii="Times New Roman;serif" w:hAnsi="Times New Roman;serif"/>
          <w:b w:val="false"/>
          <w:i w:val="false"/>
          <w:caps w:val="false"/>
          <w:smallCaps w:val="false"/>
          <w:sz w:val="22"/>
        </w:rPr>
        <w:t xml:space="preserve">, an impairment charge of </w:t>
      </w:r>
      <w:r>
        <w:rPr>
          <w:rFonts w:ascii="Times New Roman;serif" w:hAnsi="Times New Roman;serif"/>
          <w:b w:val="false"/>
          <w:i w:val="false"/>
          <w:caps w:val="false"/>
          <w:smallCaps w:val="false"/>
          <w:strike w:val="false"/>
          <w:dstrike w:val="false"/>
          <w:sz w:val="22"/>
          <w:u w:val="none"/>
          <w:effect w:val="none"/>
        </w:rPr>
        <w:t>$157 million</w:t>
      </w:r>
      <w:r>
        <w:rPr>
          <w:caps w:val="false"/>
          <w:smallCaps w:val="false"/>
          <w:sz w:val="24"/>
        </w:rPr>
        <w:t xml:space="preserve"> </w:t>
      </w:r>
      <w:r>
        <w:rPr>
          <w:rFonts w:ascii="Times New Roman;serif" w:hAnsi="Times New Roman;serif"/>
          <w:b w:val="false"/>
          <w:i w:val="false"/>
          <w:caps w:val="false"/>
          <w:smallCaps w:val="false"/>
          <w:sz w:val="22"/>
        </w:rPr>
        <w:t xml:space="preserve">and gain on dispositions totaling </w:t>
      </w:r>
      <w:r>
        <w:rPr>
          <w:rFonts w:ascii="Times New Roman;serif" w:hAnsi="Times New Roman;serif"/>
          <w:b w:val="false"/>
          <w:i w:val="false"/>
          <w:caps w:val="false"/>
          <w:smallCaps w:val="false"/>
          <w:strike w:val="false"/>
          <w:dstrike w:val="false"/>
          <w:sz w:val="22"/>
          <w:u w:val="none"/>
          <w:effect w:val="none"/>
        </w:rPr>
        <w:t>$35 million</w:t>
      </w:r>
      <w:r>
        <w:rPr>
          <w:rFonts w:ascii="Times New Roman;serif" w:hAnsi="Times New Roman;serif"/>
          <w:b w:val="false"/>
          <w:i w:val="false"/>
          <w:caps w:val="false"/>
          <w:smallCaps w:val="false"/>
          <w:sz w:val="22"/>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Net earnings attributable to Parent was </w:t>
      </w:r>
      <w:r>
        <w:rPr>
          <w:rFonts w:ascii="Times New Roman;serif" w:hAnsi="Times New Roman;serif"/>
          <w:b w:val="false"/>
          <w:i w:val="false"/>
          <w:caps w:val="false"/>
          <w:smallCaps w:val="false"/>
          <w:strike w:val="false"/>
          <w:dstrike w:val="false"/>
          <w:sz w:val="22"/>
          <w:u w:val="none"/>
          <w:effect w:val="none"/>
        </w:rPr>
        <w:t>$209 million</w:t>
      </w:r>
      <w:r>
        <w:rPr>
          <w:rFonts w:ascii="Times New Roman;serif" w:hAnsi="Times New Roman;serif"/>
          <w:b w:val="false"/>
          <w:i w:val="false"/>
          <w:caps w:val="false"/>
          <w:smallCaps w:val="false"/>
          <w:sz w:val="22"/>
        </w:rPr>
        <w:t xml:space="preserve">, or </w:t>
      </w:r>
      <w:r>
        <w:rPr>
          <w:rFonts w:ascii="Times New Roman;serif" w:hAnsi="Times New Roman;serif"/>
          <w:b w:val="false"/>
          <w:i w:val="false"/>
          <w:caps w:val="false"/>
          <w:smallCaps w:val="false"/>
          <w:strike w:val="false"/>
          <w:dstrike w:val="false"/>
          <w:sz w:val="22"/>
          <w:u w:val="none"/>
          <w:effect w:val="none"/>
        </w:rPr>
        <w:t>$.19</w:t>
      </w:r>
      <w:r>
        <w:rPr>
          <w:caps w:val="false"/>
          <w:smallCaps w:val="false"/>
          <w:sz w:val="24"/>
        </w:rPr>
        <w:t xml:space="preserve"> </w:t>
      </w:r>
      <w:r>
        <w:rPr>
          <w:rFonts w:ascii="Times New Roman;serif" w:hAnsi="Times New Roman;serif"/>
          <w:b w:val="false"/>
          <w:i w:val="false"/>
          <w:caps w:val="false"/>
          <w:smallCaps w:val="false"/>
          <w:sz w:val="22"/>
        </w:rPr>
        <w:t xml:space="preserve">per diluted share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 xml:space="preserve">June 30,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2026</w:t>
      </w:r>
      <w:r>
        <w:rPr>
          <w:caps w:val="false"/>
          <w:smallCaps w:val="false"/>
          <w:sz w:val="24"/>
        </w:rPr>
        <w:t xml:space="preserve"> </w:t>
      </w:r>
      <w:r>
        <w:rPr>
          <w:rFonts w:ascii="Times New Roman;serif" w:hAnsi="Times New Roman;serif"/>
          <w:b w:val="false"/>
          <w:i w:val="false"/>
          <w:caps w:val="false"/>
          <w:smallCaps w:val="false"/>
          <w:sz w:val="22"/>
        </w:rPr>
        <w:t xml:space="preserve">compared with net earnings attributable to Parent of </w:t>
      </w:r>
      <w:r>
        <w:rPr>
          <w:rFonts w:ascii="Times New Roman;serif" w:hAnsi="Times New Roman;serif"/>
          <w:b w:val="false"/>
          <w:i w:val="false"/>
          <w:caps w:val="false"/>
          <w:smallCaps w:val="false"/>
          <w:strike w:val="false"/>
          <w:dstrike w:val="false"/>
          <w:sz w:val="22"/>
          <w:u w:val="none"/>
          <w:effect w:val="none"/>
        </w:rPr>
        <w:t>$209 million</w:t>
      </w:r>
      <w:r>
        <w:rPr>
          <w:rFonts w:ascii="Times New Roman;serif" w:hAnsi="Times New Roman;serif"/>
          <w:b w:val="false"/>
          <w:i w:val="false"/>
          <w:caps w:val="false"/>
          <w:smallCaps w:val="false"/>
          <w:sz w:val="22"/>
        </w:rPr>
        <w:t xml:space="preserve">, or </w:t>
      </w:r>
      <w:r>
        <w:rPr>
          <w:rFonts w:ascii="Times New Roman;serif" w:hAnsi="Times New Roman;serif"/>
          <w:b w:val="false"/>
          <w:i w:val="false"/>
          <w:caps w:val="false"/>
          <w:smallCaps w:val="false"/>
          <w:strike w:val="false"/>
          <w:dstrike w:val="false"/>
          <w:sz w:val="22"/>
          <w:u w:val="none"/>
          <w:effect w:val="none"/>
        </w:rPr>
        <w:t>$.31</w:t>
      </w:r>
      <w:r>
        <w:rPr>
          <w:caps w:val="false"/>
          <w:smallCaps w:val="false"/>
          <w:sz w:val="24"/>
        </w:rPr>
        <w:t xml:space="preserve"> </w:t>
      </w:r>
      <w:r>
        <w:rPr>
          <w:rFonts w:ascii="Times New Roman;serif" w:hAnsi="Times New Roman;serif"/>
          <w:b w:val="false"/>
          <w:i w:val="false"/>
          <w:caps w:val="false"/>
          <w:smallCaps w:val="false"/>
          <w:sz w:val="22"/>
        </w:rPr>
        <w:t xml:space="preserve">per diluted share, for the same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prior-year period. Adjusted net earnings attributable to Parent, which excludes certain items identified as affecting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comparability that are not part of our normal operations including the restructuring and transaction-related items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and impairment charges noted above decreased </w:t>
      </w:r>
      <w:r>
        <w:rPr>
          <w:rFonts w:ascii="Times New Roman;serif" w:hAnsi="Times New Roman;serif"/>
          <w:b w:val="false"/>
          <w:i w:val="false"/>
          <w:caps w:val="false"/>
          <w:smallCaps w:val="false"/>
          <w:strike w:val="false"/>
          <w:dstrike w:val="false"/>
          <w:sz w:val="22"/>
          <w:u w:val="none"/>
          <w:effect w:val="none"/>
        </w:rPr>
        <w:t>9%</w:t>
      </w:r>
      <w:r>
        <w:rPr>
          <w:caps w:val="false"/>
          <w:smallCaps w:val="false"/>
          <w:sz w:val="24"/>
        </w:rPr>
        <w:t xml:space="preserve"> </w:t>
      </w:r>
      <w:r>
        <w:rPr>
          <w:rFonts w:ascii="Times New Roman;serif" w:hAnsi="Times New Roman;serif"/>
          <w:b w:val="false"/>
          <w:i w:val="false"/>
          <w:caps w:val="false"/>
          <w:smallCaps w:val="false"/>
          <w:sz w:val="22"/>
        </w:rPr>
        <w:t xml:space="preserve">to </w:t>
      </w:r>
      <w:r>
        <w:rPr>
          <w:rFonts w:ascii="Times New Roman;serif" w:hAnsi="Times New Roman;serif"/>
          <w:b w:val="false"/>
          <w:i w:val="false"/>
          <w:caps w:val="false"/>
          <w:smallCaps w:val="false"/>
          <w:strike w:val="false"/>
          <w:dstrike w:val="false"/>
          <w:sz w:val="22"/>
          <w:u w:val="none"/>
          <w:effect w:val="none"/>
        </w:rPr>
        <w:t>$466 million</w:t>
      </w:r>
      <w:r>
        <w:rPr>
          <w:rFonts w:ascii="Times New Roman;serif" w:hAnsi="Times New Roman;serif"/>
          <w:b w:val="false"/>
          <w:i w:val="false"/>
          <w:caps w:val="false"/>
          <w:smallCaps w:val="false"/>
          <w:sz w:val="22"/>
        </w:rPr>
        <w:t>, or</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$.42</w:t>
      </w:r>
      <w:r>
        <w:rPr>
          <w:caps w:val="false"/>
          <w:smallCaps w:val="false"/>
          <w:sz w:val="24"/>
        </w:rPr>
        <w:t xml:space="preserve"> </w:t>
      </w:r>
      <w:r>
        <w:rPr>
          <w:rFonts w:ascii="Times New Roman;serif" w:hAnsi="Times New Roman;serif"/>
          <w:b w:val="false"/>
          <w:i w:val="false"/>
          <w:caps w:val="false"/>
          <w:smallCaps w:val="false"/>
          <w:sz w:val="22"/>
        </w:rPr>
        <w:t xml:space="preserve">per diluted share from </w:t>
      </w:r>
      <w:r>
        <w:rPr>
          <w:rFonts w:ascii="Times New Roman;serif" w:hAnsi="Times New Roman;serif"/>
          <w:b w:val="false"/>
          <w:i w:val="false"/>
          <w:caps w:val="false"/>
          <w:smallCaps w:val="false"/>
          <w:strike w:val="false"/>
          <w:dstrike w:val="false"/>
          <w:sz w:val="22"/>
          <w:u w:val="none"/>
          <w:effect w:val="none"/>
        </w:rPr>
        <w:t>$510 million</w:t>
      </w:r>
      <w:r>
        <w:rPr>
          <w:rFonts w:ascii="Times New Roman;serif" w:hAnsi="Times New Roman;serif"/>
          <w:b w:val="false"/>
          <w:i w:val="false"/>
          <w:caps w:val="false"/>
          <w:smallCaps w:val="false"/>
          <w:sz w:val="22"/>
        </w:rPr>
        <w:t xml:space="preserve">, or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$.75</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per diluted share</w:t>
      </w:r>
      <w:r>
        <w:rPr>
          <w:rFonts w:ascii="Times New Roman;serif" w:hAnsi="Times New Roman;serif"/>
          <w:b w:val="false"/>
          <w:i w:val="false"/>
          <w:caps w:val="false"/>
          <w:smallCaps w:val="false"/>
          <w:sz w:val="22"/>
        </w:rPr>
        <w:t xml:space="preserve">. The decrease in diluted EPS and adjusted diluted EPS reflects shares issued in connection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with the Skydance Transactions and the NAI Transaction. See </w:t>
      </w:r>
      <w:r>
        <w:rPr>
          <w:rFonts w:ascii="Times New Roman;serif" w:hAnsi="Times New Roman;serif"/>
          <w:b w:val="false"/>
          <w:i/>
          <w:sz w:val="22"/>
        </w:rPr>
        <w:t xml:space="preserve">Reconciliation of Non-GAAP Measures </w:t>
      </w:r>
      <w:r>
        <w:rPr>
          <w:rFonts w:ascii="Times New Roman;serif" w:hAnsi="Times New Roman;serif"/>
          <w:b w:val="false"/>
          <w:i w:val="false"/>
          <w:caps w:val="false"/>
          <w:smallCaps w:val="false"/>
          <w:sz w:val="22"/>
        </w:rPr>
        <w:t xml:space="preserve">for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definition of adjusted net earnings attributable to Parent and a reconciliation to net earnings attributable to Parent.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Adjusted EBITDA grew </w:t>
      </w:r>
      <w:r>
        <w:rPr>
          <w:rFonts w:ascii="Times New Roman;serif" w:hAnsi="Times New Roman;serif"/>
          <w:b w:val="false"/>
          <w:i w:val="false"/>
          <w:caps w:val="false"/>
          <w:smallCaps w:val="false"/>
          <w:strike w:val="false"/>
          <w:dstrike w:val="false"/>
          <w:sz w:val="22"/>
          <w:u w:val="none"/>
          <w:effect w:val="none"/>
        </w:rPr>
        <w:t>42%</w:t>
      </w:r>
      <w:r>
        <w:rPr>
          <w:caps w:val="false"/>
          <w:smallCaps w:val="false"/>
          <w:sz w:val="24"/>
        </w:rPr>
        <w:t xml:space="preserve"> </w:t>
      </w:r>
      <w:r>
        <w:rPr>
          <w:rFonts w:ascii="Times New Roman;serif" w:hAnsi="Times New Roman;serif"/>
          <w:b w:val="false"/>
          <w:i w:val="false"/>
          <w:caps w:val="false"/>
          <w:smallCaps w:val="false"/>
          <w:sz w:val="22"/>
        </w:rPr>
        <w:t xml:space="preserve">primarily reflecting lower content costs from cost savings for our linear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programming 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reductions in programming assets resulting from the pushdown of the Ultimate Parent’s basis</w:t>
      </w:r>
      <w:r>
        <w:rPr>
          <w:rFonts w:ascii="Times New Roman;serif" w:hAnsi="Times New Roman;serif"/>
          <w:b w:val="false"/>
          <w:i w:val="false"/>
          <w:caps w:val="false"/>
          <w:smallCaps w:val="false"/>
          <w:sz w:val="22"/>
        </w:rPr>
        <w:t xml:space="preserve">, as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well as lower compensation and marketing costs, partially offset by lower revenues from our linear networks. See </w:t>
      </w:r>
    </w:p>
    <w:p>
      <w:pPr>
        <w:pStyle w:val="TextBody"/>
        <w:bidi w:val="0"/>
        <w:spacing w:lineRule="atLeast" w:line="220" w:before="0" w:after="0"/>
        <w:jc w:val="left"/>
        <w:rPr/>
      </w:pPr>
      <w:r>
        <w:rPr>
          <w:rFonts w:ascii="Times New Roman;serif" w:hAnsi="Times New Roman;serif"/>
          <w:b w:val="false"/>
          <w:i/>
          <w:sz w:val="22"/>
        </w:rPr>
        <w:t xml:space="preserve">Reconciliation of Non-GAAP Measures </w:t>
      </w:r>
      <w:r>
        <w:rPr>
          <w:rFonts w:ascii="Times New Roman;serif" w:hAnsi="Times New Roman;serif"/>
          <w:b w:val="false"/>
          <w:i w:val="false"/>
          <w:caps w:val="false"/>
          <w:smallCaps w:val="false"/>
          <w:sz w:val="22"/>
        </w:rPr>
        <w:t xml:space="preserve">for the definition of Adjusted EBITDA and a reconciliation to net earnings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attributable to Parent, the most directly comparable financial measure in accordance with U.S. GAAP.</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are exposed to political risks inherent in conducting a global business such as retaliatory actions by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governments reacting to changes in the U.S. and other countries, including in connection with the imposition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tariffs and other changes in trade policies, as well as from the conflict involving the U.S., Israel and Iran. Growing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macroeconomic uncertainty may negatively affect our results, in particular from potential impacts on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advertising market.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both"/>
        <w:rPr>
          <w:rFonts w:ascii="Times New Roman;serif" w:hAnsi="Times New Roman;serif"/>
          <w:b w:val="false"/>
          <w:i/>
          <w:sz w:val="22"/>
          <w:u w:val="single"/>
        </w:rPr>
      </w:pPr>
      <w:r>
        <w:rPr>
          <w:rFonts w:ascii="Times New Roman;serif" w:hAnsi="Times New Roman;serif"/>
          <w:b w:val="false"/>
          <w:i/>
          <w:sz w:val="22"/>
          <w:u w:val="single"/>
        </w:rPr>
        <w:t>Reconciliation of Non-GAAP Measures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the first quarter of 2026 we transitioned our non-GAAP profitability measure from Adjusted operating income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before depreciation and amortization (Adjusted OIBDA) to Adjusted EBITDA, which we define as net earnings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(loss) attributable to Parent before interest expense and income; (provision for) benefit from income taxes; other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items; equity in earnings (loss) of investee companies, net of tax; and depreciation and amortization, adjusted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exclude stock-based compensation expense and certain items identified as affecting comparability that are not part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of our normal operations. This change was made to align with how management began measuring the Company’s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ongoing operating performance in 2026. While both adjusted measures exclude items identified as affecting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comparability that are not part of our normal operations, including programming charges, impairment charges,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restructuring charges, transaction-related items, other corporate matters, and gain (loss) on dispositions, each where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applicable, Adjusted EBITDA, as we define it, also excludes stock-based compensation, which is a noncash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expense that management does not consider to be part of our underlying operating performance. Net earnings (loss)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attributable to Parent is the most directly comparable financial measure in accordance with U.S. GAAP. Adjusted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earnings before income taxes, adjusted provision for income taxes, adjusted net earnings attributable to Parent,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adjusted diluted EPS, and adjusted effective income tax rate are also measures of performance not calculated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accordance with U.S. GAAP (together with Adjusted EBITDA, the “adjusted measures”), and exclude certain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items identified as affecting comparability that are not part of our normal operations, including the items described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above, as well as gain (loss) from investments and discrete tax items, each where applicable.</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use these adjusted measures to, among other things, evaluate our operating performance. These measures are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among the primary measures used by management for planning and forecasting of future periods, and they are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important indicators of our operational strength and business performance. In addition, we use Adjusted EBITDA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to, among other things, value prospective acquisitions. We believe these measures are relevant and useful for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investors because they allow investors to view our performance in a manner consistent with the method used by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management; and because they exclude items that are not representative of our normal operations, they provide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 clearer perspective on underlying performance, and make it easier for investors, analysts and peers to compare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our operating performance to other companies in the industry and to compare our results across reporting periods.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Because the adjusted measures are measures of performance not calculated in accordance with U.S. GAAP, they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should not be considered in isolation of, or as a substitute for, our results as reported under U.S. GAAP, including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net earnings (loss), (provision for) benefit from income taxes, net earnings (loss) attributable to Parent, diluted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EPS, and effective income tax rate, as applicable, as indicators of operating performance and undue reliance should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not be placed on these adjusted measures. Other companies may define these measures, including Adjusted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EBITDA, differently and, as a result, our adjusted measures may not be directly comparable to similarly titled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measures of other companies.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following tables reconcile the adjusted measures to their most directly comparable financial measures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accordance with U.S. GAAP. The tax impacts on the items identified as affecting comparability in the tables below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have been calculated using the tax rate applicable to each item.</w:t>
      </w:r>
    </w:p>
    <w:tbl>
      <w:tblPr>
        <w:tblW w:w="10205" w:type="dxa"/>
        <w:jc w:val="left"/>
        <w:tblInd w:w="0" w:type="dxa"/>
        <w:tblLayout w:type="fixed"/>
        <w:tblCellMar>
          <w:top w:w="28" w:type="dxa"/>
          <w:left w:w="28" w:type="dxa"/>
          <w:bottom w:w="28" w:type="dxa"/>
          <w:right w:w="28" w:type="dxa"/>
        </w:tblCellMar>
      </w:tblPr>
      <w:tblGrid>
        <w:gridCol w:w="3531"/>
        <w:gridCol w:w="157"/>
        <w:gridCol w:w="980"/>
        <w:gridCol w:w="157"/>
        <w:gridCol w:w="109"/>
        <w:gridCol w:w="109"/>
        <w:gridCol w:w="189"/>
        <w:gridCol w:w="918"/>
        <w:gridCol w:w="191"/>
        <w:gridCol w:w="109"/>
        <w:gridCol w:w="157"/>
        <w:gridCol w:w="980"/>
        <w:gridCol w:w="157"/>
        <w:gridCol w:w="109"/>
        <w:gridCol w:w="1006"/>
        <w:gridCol w:w="155"/>
        <w:gridCol w:w="965"/>
        <w:gridCol w:w="226"/>
      </w:tblGrid>
      <w:tr>
        <w:trPr/>
        <w:tc>
          <w:tcPr>
            <w:tcW w:w="35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53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46"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tcBorders/>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35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5"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earnings attributable to Parent (GAAP)</w:t>
            </w:r>
          </w:p>
        </w:tc>
        <w:tc>
          <w:tcPr>
            <w:tcW w:w="15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15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1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w:t>
            </w:r>
          </w:p>
        </w:tc>
        <w:tc>
          <w:tcPr>
            <w:tcW w:w="15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Net earnings attributable to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noncontrolling interests</w:t>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226" w:type="dxa"/>
            <w:tcBorders/>
            <w:vAlign w:val="center"/>
          </w:tcPr>
          <w:p>
            <w:pPr>
              <w:pStyle w:val="TableContents"/>
              <w:bidi w:val="0"/>
              <w:spacing w:before="0" w:after="283"/>
              <w:jc w:val="left"/>
              <w:rPr>
                <w:sz w:val="4"/>
                <w:szCs w:val="4"/>
              </w:rPr>
            </w:pPr>
            <w:r>
              <w:rPr>
                <w:sz w:val="4"/>
                <w:szCs w:val="4"/>
              </w:rPr>
            </w:r>
          </w:p>
        </w:tc>
      </w:tr>
      <w:tr>
        <w:trPr/>
        <w:tc>
          <w:tcPr>
            <w:tcW w:w="35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Equity in loss of investee companies,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net of tax</w:t>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w:t>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w:t>
            </w:r>
          </w:p>
        </w:tc>
        <w:tc>
          <w:tcPr>
            <w:tcW w:w="226" w:type="dxa"/>
            <w:tcBorders/>
            <w:vAlign w:val="center"/>
          </w:tcPr>
          <w:p>
            <w:pPr>
              <w:pStyle w:val="TableContents"/>
              <w:bidi w:val="0"/>
              <w:spacing w:before="0" w:after="283"/>
              <w:jc w:val="left"/>
              <w:rPr>
                <w:sz w:val="4"/>
                <w:szCs w:val="4"/>
              </w:rPr>
            </w:pPr>
            <w:r>
              <w:rPr>
                <w:sz w:val="4"/>
                <w:szCs w:val="4"/>
              </w:rPr>
            </w:r>
          </w:p>
        </w:tc>
      </w:tr>
      <w:tr>
        <w:trPr/>
        <w:tc>
          <w:tcPr>
            <w:tcW w:w="35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Provision for income taxes</w:t>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275</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w:t>
            </w:r>
          </w:p>
        </w:tc>
        <w:tc>
          <w:tcPr>
            <w:tcW w:w="226" w:type="dxa"/>
            <w:tcBorders/>
            <w:vAlign w:val="center"/>
          </w:tcPr>
          <w:p>
            <w:pPr>
              <w:pStyle w:val="TableContents"/>
              <w:bidi w:val="0"/>
              <w:spacing w:before="0" w:after="283"/>
              <w:jc w:val="left"/>
              <w:rPr>
                <w:sz w:val="4"/>
                <w:szCs w:val="4"/>
              </w:rPr>
            </w:pPr>
            <w:r>
              <w:rPr>
                <w:sz w:val="4"/>
                <w:szCs w:val="4"/>
              </w:rPr>
            </w:r>
          </w:p>
        </w:tc>
      </w:tr>
      <w:tr>
        <w:trPr/>
        <w:tc>
          <w:tcPr>
            <w:tcW w:w="35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items, net</w:t>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w:t>
            </w:r>
          </w:p>
        </w:tc>
        <w:tc>
          <w:tcPr>
            <w:tcW w:w="226" w:type="dxa"/>
            <w:tcBorders/>
            <w:vAlign w:val="center"/>
          </w:tcPr>
          <w:p>
            <w:pPr>
              <w:pStyle w:val="TableContents"/>
              <w:bidi w:val="0"/>
              <w:spacing w:before="0" w:after="283"/>
              <w:jc w:val="left"/>
              <w:rPr>
                <w:sz w:val="4"/>
                <w:szCs w:val="4"/>
              </w:rPr>
            </w:pPr>
            <w:r>
              <w:rPr>
                <w:sz w:val="4"/>
                <w:szCs w:val="4"/>
              </w:rPr>
            </w:r>
          </w:p>
        </w:tc>
      </w:tr>
      <w:tr>
        <w:trPr/>
        <w:tc>
          <w:tcPr>
            <w:tcW w:w="35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expense, net</w:t>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226</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182</w:t>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426</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361</w:t>
            </w:r>
          </w:p>
        </w:tc>
        <w:tc>
          <w:tcPr>
            <w:tcW w:w="226" w:type="dxa"/>
            <w:tcBorders/>
            <w:vAlign w:val="center"/>
          </w:tcPr>
          <w:p>
            <w:pPr>
              <w:pStyle w:val="TableContents"/>
              <w:bidi w:val="0"/>
              <w:spacing w:before="0" w:after="283"/>
              <w:jc w:val="left"/>
              <w:rPr>
                <w:sz w:val="4"/>
                <w:szCs w:val="4"/>
              </w:rPr>
            </w:pPr>
            <w:r>
              <w:rPr>
                <w:sz w:val="4"/>
                <w:szCs w:val="4"/>
              </w:rPr>
            </w:r>
          </w:p>
        </w:tc>
      </w:tr>
      <w:tr>
        <w:trPr/>
        <w:tc>
          <w:tcPr>
            <w:tcW w:w="353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Gain on dispositions </w:t>
            </w:r>
            <w:r>
              <w:rPr>
                <w:rFonts w:ascii="Times New Roman;serif" w:hAnsi="Times New Roman;serif"/>
                <w:b w:val="false"/>
                <w:i w:val="false"/>
                <w:caps w:val="false"/>
                <w:smallCaps w:val="false"/>
                <w:sz w:val="13"/>
              </w:rPr>
              <w:t>(a)</w:t>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26" w:type="dxa"/>
            <w:tcBorders/>
            <w:vAlign w:val="center"/>
          </w:tcPr>
          <w:p>
            <w:pPr>
              <w:pStyle w:val="TableContents"/>
              <w:bidi w:val="0"/>
              <w:spacing w:before="0" w:after="283"/>
              <w:jc w:val="left"/>
              <w:rPr>
                <w:sz w:val="4"/>
                <w:szCs w:val="4"/>
              </w:rPr>
            </w:pPr>
            <w:r>
              <w:rPr>
                <w:sz w:val="4"/>
                <w:szCs w:val="4"/>
              </w:rPr>
            </w:r>
          </w:p>
        </w:tc>
      </w:tr>
      <w:tr>
        <w:trPr/>
        <w:tc>
          <w:tcPr>
            <w:tcW w:w="353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Transaction-related items </w:t>
            </w:r>
            <w:r>
              <w:rPr>
                <w:rFonts w:ascii="Times New Roman;serif" w:hAnsi="Times New Roman;serif"/>
                <w:b w:val="false"/>
                <w:i w:val="false"/>
                <w:caps w:val="false"/>
                <w:smallCaps w:val="false"/>
                <w:sz w:val="13"/>
              </w:rPr>
              <w:t>(a)</w:t>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226" w:type="dxa"/>
            <w:tcBorders/>
            <w:vAlign w:val="center"/>
          </w:tcPr>
          <w:p>
            <w:pPr>
              <w:pStyle w:val="TableContents"/>
              <w:bidi w:val="0"/>
              <w:spacing w:before="0" w:after="283"/>
              <w:jc w:val="left"/>
              <w:rPr>
                <w:sz w:val="4"/>
                <w:szCs w:val="4"/>
              </w:rPr>
            </w:pPr>
            <w:r>
              <w:rPr>
                <w:sz w:val="4"/>
                <w:szCs w:val="4"/>
              </w:rPr>
            </w:r>
          </w:p>
        </w:tc>
      </w:tr>
      <w:tr>
        <w:trPr/>
        <w:tc>
          <w:tcPr>
            <w:tcW w:w="353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Restructuring charges </w:t>
            </w:r>
            <w:r>
              <w:rPr>
                <w:rFonts w:ascii="Times New Roman;serif" w:hAnsi="Times New Roman;serif"/>
                <w:b w:val="false"/>
                <w:i w:val="false"/>
                <w:caps w:val="false"/>
                <w:smallCaps w:val="false"/>
                <w:sz w:val="13"/>
              </w:rPr>
              <w:t>(a)</w:t>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w:t>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242</w:t>
            </w:r>
          </w:p>
        </w:tc>
        <w:tc>
          <w:tcPr>
            <w:tcW w:w="226" w:type="dxa"/>
            <w:tcBorders/>
            <w:vAlign w:val="center"/>
          </w:tcPr>
          <w:p>
            <w:pPr>
              <w:pStyle w:val="TableContents"/>
              <w:bidi w:val="0"/>
              <w:spacing w:before="0" w:after="283"/>
              <w:jc w:val="left"/>
              <w:rPr>
                <w:sz w:val="4"/>
                <w:szCs w:val="4"/>
              </w:rPr>
            </w:pPr>
            <w:r>
              <w:rPr>
                <w:sz w:val="4"/>
                <w:szCs w:val="4"/>
              </w:rPr>
            </w:r>
          </w:p>
        </w:tc>
      </w:tr>
      <w:tr>
        <w:trPr/>
        <w:tc>
          <w:tcPr>
            <w:tcW w:w="353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Impairment charges </w:t>
            </w:r>
            <w:r>
              <w:rPr>
                <w:rFonts w:ascii="Times New Roman;serif" w:hAnsi="Times New Roman;serif"/>
                <w:b w:val="false"/>
                <w:i w:val="false"/>
                <w:caps w:val="false"/>
                <w:smallCaps w:val="false"/>
                <w:sz w:val="13"/>
              </w:rPr>
              <w:t>(a)</w:t>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w:t>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w:t>
            </w:r>
          </w:p>
        </w:tc>
        <w:tc>
          <w:tcPr>
            <w:tcW w:w="226" w:type="dxa"/>
            <w:tcBorders/>
            <w:vAlign w:val="center"/>
          </w:tcPr>
          <w:p>
            <w:pPr>
              <w:pStyle w:val="TableContents"/>
              <w:bidi w:val="0"/>
              <w:spacing w:before="0" w:after="283"/>
              <w:jc w:val="left"/>
              <w:rPr>
                <w:sz w:val="4"/>
                <w:szCs w:val="4"/>
              </w:rPr>
            </w:pPr>
            <w:r>
              <w:rPr>
                <w:sz w:val="4"/>
                <w:szCs w:val="4"/>
              </w:rPr>
            </w:r>
          </w:p>
        </w:tc>
      </w:tr>
      <w:tr>
        <w:trPr/>
        <w:tc>
          <w:tcPr>
            <w:tcW w:w="35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Stock-based compensation </w:t>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w:t>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w:t>
            </w:r>
          </w:p>
        </w:tc>
        <w:tc>
          <w:tcPr>
            <w:tcW w:w="226" w:type="dxa"/>
            <w:tcBorders/>
            <w:vAlign w:val="center"/>
          </w:tcPr>
          <w:p>
            <w:pPr>
              <w:pStyle w:val="TableContents"/>
              <w:bidi w:val="0"/>
              <w:spacing w:before="0" w:after="283"/>
              <w:jc w:val="left"/>
              <w:rPr>
                <w:sz w:val="4"/>
                <w:szCs w:val="4"/>
              </w:rPr>
            </w:pPr>
            <w:r>
              <w:rPr>
                <w:sz w:val="4"/>
                <w:szCs w:val="4"/>
              </w:rPr>
            </w:r>
          </w:p>
        </w:tc>
      </w:tr>
      <w:tr>
        <w:trPr/>
        <w:tc>
          <w:tcPr>
            <w:tcW w:w="35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Depreciation and amortization </w:t>
            </w:r>
          </w:p>
        </w:tc>
        <w:tc>
          <w:tcPr>
            <w:tcW w:w="15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364</w:t>
            </w:r>
          </w:p>
        </w:tc>
        <w:tc>
          <w:tcPr>
            <w:tcW w:w="15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726</w:t>
            </w:r>
          </w:p>
        </w:tc>
        <w:tc>
          <w:tcPr>
            <w:tcW w:w="15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Adjusted EBITDA (Non-GAAP)</w:t>
            </w:r>
          </w:p>
        </w:tc>
        <w:tc>
          <w:tcPr>
            <w:tcW w:w="15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$1,099</w:t>
            </w:r>
          </w:p>
        </w:tc>
        <w:tc>
          <w:tcPr>
            <w:tcW w:w="15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$863</w:t>
            </w:r>
          </w:p>
        </w:tc>
        <w:tc>
          <w:tcPr>
            <w:tcW w:w="19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$2,260</w:t>
            </w:r>
          </w:p>
        </w:tc>
        <w:tc>
          <w:tcPr>
            <w:tcW w:w="15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5"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$1,595</w:t>
            </w:r>
          </w:p>
        </w:tc>
        <w:tc>
          <w:tcPr>
            <w:tcW w:w="22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 See notes on the following tables for additional information on items affecting comparability.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36" w:type="dxa"/>
        <w:jc w:val="left"/>
        <w:tblInd w:w="0" w:type="dxa"/>
        <w:tblLayout w:type="fixed"/>
        <w:tblCellMar>
          <w:top w:w="28" w:type="dxa"/>
          <w:left w:w="28" w:type="dxa"/>
          <w:bottom w:w="28" w:type="dxa"/>
          <w:right w:w="28" w:type="dxa"/>
        </w:tblCellMar>
      </w:tblPr>
      <w:tblGrid>
        <w:gridCol w:w="2566"/>
        <w:gridCol w:w="225"/>
        <w:gridCol w:w="1092"/>
        <w:gridCol w:w="228"/>
        <w:gridCol w:w="109"/>
        <w:gridCol w:w="139"/>
        <w:gridCol w:w="824"/>
        <w:gridCol w:w="326"/>
        <w:gridCol w:w="109"/>
        <w:gridCol w:w="204"/>
        <w:gridCol w:w="986"/>
        <w:gridCol w:w="205"/>
        <w:gridCol w:w="109"/>
        <w:gridCol w:w="209"/>
        <w:gridCol w:w="710"/>
        <w:gridCol w:w="295"/>
      </w:tblGrid>
      <w:tr>
        <w:trPr/>
        <w:tc>
          <w:tcPr>
            <w:tcW w:w="25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56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15"/>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r>
      <w:tr>
        <w:trPr/>
        <w:tc>
          <w:tcPr>
            <w:tcW w:w="2566" w:type="dxa"/>
            <w:tcBorders/>
            <w:vAlign w:val="center"/>
          </w:tcPr>
          <w:p>
            <w:pPr>
              <w:pStyle w:val="TableContents"/>
              <w:bidi w:val="0"/>
              <w:spacing w:before="0" w:after="283"/>
              <w:jc w:val="left"/>
              <w:rPr>
                <w:sz w:val="4"/>
                <w:szCs w:val="4"/>
              </w:rPr>
            </w:pPr>
            <w:r>
              <w:rPr>
                <w:sz w:val="4"/>
                <w:szCs w:val="4"/>
              </w:rPr>
            </w:r>
          </w:p>
        </w:tc>
        <w:tc>
          <w:tcPr>
            <w:tcW w:w="5770" w:type="dxa"/>
            <w:gridSpan w:val="15"/>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June 30, 2026</w:t>
            </w:r>
          </w:p>
        </w:tc>
      </w:tr>
      <w:tr>
        <w:trPr/>
        <w:tc>
          <w:tcPr>
            <w:tcW w:w="25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Earnings Before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Income Taxes </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Provision for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Net Earnings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Attributable to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Parent</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Diluted EPS </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Reported (GAAP)</w:t>
            </w:r>
          </w:p>
        </w:tc>
        <w:tc>
          <w:tcPr>
            <w:tcW w:w="2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$215</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w:t>
            </w:r>
          </w:p>
        </w:tc>
        <w:tc>
          <w:tcPr>
            <w:tcW w:w="32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(c)</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2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29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Items affecting comparability:</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Restructuring charges </w:t>
            </w:r>
            <w:r>
              <w:rPr>
                <w:rFonts w:ascii="Times New Roman;serif" w:hAnsi="Times New Roman;serif"/>
                <w:b w:val="false"/>
                <w:i w:val="false"/>
                <w:caps w:val="false"/>
                <w:smallCaps w:val="false"/>
                <w:sz w:val="13"/>
              </w:rPr>
              <w:t>(a)</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295"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Transaction-related items </w:t>
            </w:r>
            <w:r>
              <w:rPr>
                <w:rFonts w:ascii="Times New Roman;serif" w:hAnsi="Times New Roman;serif"/>
                <w:b w:val="false"/>
                <w:i w:val="false"/>
                <w:caps w:val="false"/>
                <w:smallCaps w:val="false"/>
                <w:sz w:val="13"/>
              </w:rPr>
              <w:t>(b)</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w:t>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295"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Discrete tax items</w:t>
            </w:r>
          </w:p>
        </w:tc>
        <w:tc>
          <w:tcPr>
            <w:tcW w:w="22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3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2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9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Adjusted (Non-GAAP)</w:t>
            </w:r>
          </w:p>
        </w:tc>
        <w:tc>
          <w:tcPr>
            <w:tcW w:w="22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$403</w:t>
            </w:r>
          </w:p>
        </w:tc>
        <w:tc>
          <w:tcPr>
            <w:tcW w:w="22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w:t>
            </w:r>
          </w:p>
        </w:tc>
        <w:tc>
          <w:tcPr>
            <w:tcW w:w="32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(c)</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w:t>
            </w:r>
          </w:p>
        </w:tc>
        <w:tc>
          <w:tcPr>
            <w:tcW w:w="20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c>
          <w:tcPr>
            <w:tcW w:w="29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(a) Reflects severance costs, as further described under </w:t>
      </w:r>
      <w:r>
        <w:rPr>
          <w:rFonts w:ascii="Times New Roman;serif" w:hAnsi="Times New Roman;serif"/>
          <w:b w:val="false"/>
          <w:i/>
          <w:sz w:val="18"/>
        </w:rPr>
        <w:t>Restructuring and Transaction-Related Items</w:t>
      </w:r>
      <w:r>
        <w:rPr>
          <w:rFonts w:ascii="Times New Roman;serif" w:hAnsi="Times New Roman;serif"/>
          <w:b w:val="false"/>
          <w:i w:val="false"/>
          <w:caps w:val="false"/>
          <w:smallCaps w:val="false"/>
          <w:sz w:val="18"/>
        </w:rPr>
        <w:t>.</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(b) Principally reflects legal, advisory, and other professional fees associated with the planned WBD Merger and related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integration.</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(c) The reported effective income tax rate for the three months ended </w:t>
      </w:r>
      <w:r>
        <w:rPr>
          <w:rFonts w:ascii="Times New Roman;serif" w:hAnsi="Times New Roman;serif"/>
          <w:b w:val="false"/>
          <w:i w:val="false"/>
          <w:caps w:val="false"/>
          <w:smallCaps w:val="false"/>
          <w:strike w:val="false"/>
          <w:dstrike w:val="false"/>
          <w:sz w:val="18"/>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18"/>
        </w:rPr>
        <w:t xml:space="preserve">was </w:t>
      </w:r>
      <w:r>
        <w:rPr>
          <w:rFonts w:ascii="Times New Roman;serif" w:hAnsi="Times New Roman;serif"/>
          <w:b w:val="false"/>
          <w:i w:val="false"/>
          <w:caps w:val="false"/>
          <w:smallCaps w:val="false"/>
          <w:strike w:val="false"/>
          <w:dstrike w:val="false"/>
          <w:sz w:val="18"/>
          <w:u w:val="none"/>
          <w:effect w:val="none"/>
        </w:rPr>
        <w:t>55.8%</w:t>
      </w:r>
      <w:r>
        <w:rPr>
          <w:caps w:val="false"/>
          <w:smallCaps w:val="false"/>
          <w:sz w:val="24"/>
        </w:rPr>
        <w:t xml:space="preserve"> </w:t>
      </w:r>
      <w:r>
        <w:rPr>
          <w:rFonts w:ascii="Times New Roman;serif" w:hAnsi="Times New Roman;serif"/>
          <w:b w:val="false"/>
          <w:i w:val="false"/>
          <w:caps w:val="false"/>
          <w:smallCaps w:val="false"/>
          <w:sz w:val="18"/>
        </w:rPr>
        <w:t xml:space="preserve">and the adjusted effective income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tax rate, which is calculated as the adjusted provision for income taxes of </w:t>
      </w:r>
      <w:r>
        <w:rPr>
          <w:rFonts w:ascii="Times New Roman;serif" w:hAnsi="Times New Roman;serif"/>
          <w:b w:val="false"/>
          <w:i w:val="false"/>
          <w:caps w:val="false"/>
          <w:smallCaps w:val="false"/>
          <w:strike w:val="false"/>
          <w:dstrike w:val="false"/>
          <w:sz w:val="18"/>
          <w:u w:val="none"/>
          <w:effect w:val="none"/>
        </w:rPr>
        <w:t>$144 million</w:t>
      </w:r>
      <w:r>
        <w:rPr>
          <w:caps w:val="false"/>
          <w:smallCaps w:val="false"/>
          <w:sz w:val="24"/>
        </w:rPr>
        <w:t xml:space="preserve"> </w:t>
      </w:r>
      <w:r>
        <w:rPr>
          <w:rFonts w:ascii="Times New Roman;serif" w:hAnsi="Times New Roman;serif"/>
          <w:b w:val="false"/>
          <w:i w:val="false"/>
          <w:caps w:val="false"/>
          <w:smallCaps w:val="false"/>
          <w:sz w:val="18"/>
        </w:rPr>
        <w:t xml:space="preserve">divided by adjusted earnings before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income taxes of </w:t>
      </w:r>
      <w:r>
        <w:rPr>
          <w:rFonts w:ascii="Times New Roman;serif" w:hAnsi="Times New Roman;serif"/>
          <w:b w:val="false"/>
          <w:i w:val="false"/>
          <w:caps w:val="false"/>
          <w:smallCaps w:val="false"/>
          <w:strike w:val="false"/>
          <w:dstrike w:val="false"/>
          <w:sz w:val="18"/>
          <w:u w:val="none"/>
          <w:effect w:val="none"/>
        </w:rPr>
        <w:t>$403 million</w:t>
      </w:r>
      <w:r>
        <w:rPr>
          <w:rFonts w:ascii="Times New Roman;serif" w:hAnsi="Times New Roman;serif"/>
          <w:b w:val="false"/>
          <w:i w:val="false"/>
          <w:caps w:val="false"/>
          <w:smallCaps w:val="false"/>
          <w:sz w:val="18"/>
        </w:rPr>
        <w:t xml:space="preserve">, was </w:t>
      </w:r>
      <w:r>
        <w:rPr>
          <w:rFonts w:ascii="Times New Roman;serif" w:hAnsi="Times New Roman;serif"/>
          <w:b w:val="false"/>
          <w:i w:val="false"/>
          <w:caps w:val="false"/>
          <w:smallCaps w:val="false"/>
          <w:strike w:val="false"/>
          <w:dstrike w:val="false"/>
          <w:sz w:val="18"/>
          <w:u w:val="none"/>
          <w:effect w:val="none"/>
        </w:rPr>
        <w:t>35.7%</w:t>
      </w:r>
      <w:r>
        <w:rPr>
          <w:rFonts w:ascii="Times New Roman;serif" w:hAnsi="Times New Roman;serif"/>
          <w:b w:val="false"/>
          <w:i w:val="false"/>
          <w:caps w:val="false"/>
          <w:smallCaps w:val="false"/>
          <w:sz w:val="18"/>
        </w:rPr>
        <w:t>. These adjusted measures exclude the items affecting comparability detailed above.</w:t>
      </w:r>
    </w:p>
    <w:tbl>
      <w:tblPr>
        <w:tblW w:w="8336" w:type="dxa"/>
        <w:jc w:val="left"/>
        <w:tblInd w:w="0" w:type="dxa"/>
        <w:tblLayout w:type="fixed"/>
        <w:tblCellMar>
          <w:top w:w="28" w:type="dxa"/>
          <w:left w:w="28" w:type="dxa"/>
          <w:bottom w:w="28" w:type="dxa"/>
          <w:right w:w="28" w:type="dxa"/>
        </w:tblCellMar>
      </w:tblPr>
      <w:tblGrid>
        <w:gridCol w:w="2566"/>
        <w:gridCol w:w="225"/>
        <w:gridCol w:w="1092"/>
        <w:gridCol w:w="228"/>
        <w:gridCol w:w="109"/>
        <w:gridCol w:w="137"/>
        <w:gridCol w:w="812"/>
        <w:gridCol w:w="340"/>
        <w:gridCol w:w="109"/>
        <w:gridCol w:w="204"/>
        <w:gridCol w:w="986"/>
        <w:gridCol w:w="205"/>
        <w:gridCol w:w="109"/>
        <w:gridCol w:w="209"/>
        <w:gridCol w:w="710"/>
        <w:gridCol w:w="295"/>
      </w:tblGrid>
      <w:tr>
        <w:trPr/>
        <w:tc>
          <w:tcPr>
            <w:tcW w:w="25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56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15"/>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r>
      <w:tr>
        <w:trPr/>
        <w:tc>
          <w:tcPr>
            <w:tcW w:w="2566" w:type="dxa"/>
            <w:tcBorders/>
            <w:vAlign w:val="center"/>
          </w:tcPr>
          <w:p>
            <w:pPr>
              <w:pStyle w:val="TableContents"/>
              <w:bidi w:val="0"/>
              <w:spacing w:before="0" w:after="283"/>
              <w:jc w:val="left"/>
              <w:rPr>
                <w:sz w:val="4"/>
                <w:szCs w:val="4"/>
              </w:rPr>
            </w:pPr>
            <w:r>
              <w:rPr>
                <w:sz w:val="4"/>
                <w:szCs w:val="4"/>
              </w:rPr>
            </w:r>
          </w:p>
        </w:tc>
        <w:tc>
          <w:tcPr>
            <w:tcW w:w="5770" w:type="dxa"/>
            <w:gridSpan w:val="15"/>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June 30, 2025</w:t>
            </w:r>
          </w:p>
        </w:tc>
      </w:tr>
      <w:tr>
        <w:trPr/>
        <w:tc>
          <w:tcPr>
            <w:tcW w:w="25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Earnings Before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Provision for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Net Earnings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Attributable to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Parent</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Diluted EPS </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Reported (GAAP)</w:t>
            </w:r>
          </w:p>
        </w:tc>
        <w:tc>
          <w:tcPr>
            <w:tcW w:w="2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c>
          <w:tcPr>
            <w:tcW w:w="34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2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29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Items affecting comparability:</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Impairment charges </w:t>
            </w:r>
            <w:r>
              <w:rPr>
                <w:rFonts w:ascii="Times New Roman;serif" w:hAnsi="Times New Roman;serif"/>
                <w:b w:val="false"/>
                <w:i w:val="false"/>
                <w:caps w:val="false"/>
                <w:smallCaps w:val="false"/>
                <w:sz w:val="13"/>
              </w:rPr>
              <w:t>(a)</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w:t>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295"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Restructuring charges </w:t>
            </w:r>
            <w:r>
              <w:rPr>
                <w:rFonts w:ascii="Times New Roman;serif" w:hAnsi="Times New Roman;serif"/>
                <w:b w:val="false"/>
                <w:i w:val="false"/>
                <w:caps w:val="false"/>
                <w:smallCaps w:val="false"/>
                <w:sz w:val="13"/>
              </w:rPr>
              <w:t>(b)</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w:t>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295"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Transaction-related items </w:t>
            </w:r>
            <w:r>
              <w:rPr>
                <w:rFonts w:ascii="Times New Roman;serif" w:hAnsi="Times New Roman;serif"/>
                <w:b w:val="false"/>
                <w:i w:val="false"/>
                <w:caps w:val="false"/>
                <w:smallCaps w:val="false"/>
                <w:sz w:val="13"/>
              </w:rPr>
              <w:t>(c)</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295"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Discrete tax items</w:t>
            </w:r>
          </w:p>
        </w:tc>
        <w:tc>
          <w:tcPr>
            <w:tcW w:w="22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3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2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9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Adjusted (Non-GAAP)</w:t>
            </w:r>
          </w:p>
        </w:tc>
        <w:tc>
          <w:tcPr>
            <w:tcW w:w="22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$516</w:t>
            </w:r>
          </w:p>
        </w:tc>
        <w:tc>
          <w:tcPr>
            <w:tcW w:w="22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w:t>
            </w:r>
          </w:p>
        </w:tc>
        <w:tc>
          <w:tcPr>
            <w:tcW w:w="34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(d)</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$315</w:t>
            </w:r>
          </w:p>
        </w:tc>
        <w:tc>
          <w:tcPr>
            <w:tcW w:w="20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c>
          <w:tcPr>
            <w:tcW w:w="29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(a)  Reflects a charge to reduce the carrying values of FCC licenses in certain markets to their estimated fair values. </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(b) Reflects severance costs, as further described under </w:t>
      </w:r>
      <w:r>
        <w:rPr>
          <w:rFonts w:ascii="Times New Roman;serif" w:hAnsi="Times New Roman;serif"/>
          <w:b w:val="false"/>
          <w:i/>
          <w:sz w:val="18"/>
        </w:rPr>
        <w:t>Restructuring and Transaction-Related Items</w:t>
      </w:r>
      <w:r>
        <w:rPr>
          <w:rFonts w:ascii="Times New Roman;serif" w:hAnsi="Times New Roman;serif"/>
          <w:b w:val="false"/>
          <w:i w:val="false"/>
          <w:caps w:val="false"/>
          <w:smallCaps w:val="false"/>
          <w:sz w:val="18"/>
        </w:rPr>
        <w:t>.</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 Reflects legal, advisory, and other professional fees relating to the Skydance Transactions.</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(d) The reported effective income tax rate for the three months ended </w:t>
      </w:r>
      <w:r>
        <w:rPr>
          <w:rFonts w:ascii="Times New Roman;serif" w:hAnsi="Times New Roman;serif"/>
          <w:b w:val="false"/>
          <w:i w:val="false"/>
          <w:caps w:val="false"/>
          <w:smallCaps w:val="false"/>
          <w:strike w:val="false"/>
          <w:dstrike w:val="false"/>
          <w:sz w:val="18"/>
          <w:u w:val="none"/>
          <w:effect w:val="none"/>
        </w:rPr>
        <w:t>June 30, 2025</w:t>
      </w:r>
      <w:r>
        <w:rPr>
          <w:caps w:val="false"/>
          <w:smallCaps w:val="false"/>
          <w:sz w:val="24"/>
        </w:rPr>
        <w:t xml:space="preserve"> </w:t>
      </w:r>
      <w:r>
        <w:rPr>
          <w:rFonts w:ascii="Times New Roman;serif" w:hAnsi="Times New Roman;serif"/>
          <w:b w:val="false"/>
          <w:i w:val="false"/>
          <w:caps w:val="false"/>
          <w:smallCaps w:val="false"/>
          <w:sz w:val="18"/>
        </w:rPr>
        <w:t xml:space="preserve">was </w:t>
      </w:r>
      <w:r>
        <w:rPr>
          <w:rFonts w:ascii="Times New Roman;serif" w:hAnsi="Times New Roman;serif"/>
          <w:b w:val="false"/>
          <w:i w:val="false"/>
          <w:caps w:val="false"/>
          <w:smallCaps w:val="false"/>
          <w:strike w:val="false"/>
          <w:dstrike w:val="false"/>
          <w:sz w:val="18"/>
          <w:u w:val="none"/>
          <w:effect w:val="none"/>
        </w:rPr>
        <w:t>28.1%</w:t>
      </w:r>
      <w:r>
        <w:rPr>
          <w:caps w:val="false"/>
          <w:smallCaps w:val="false"/>
          <w:sz w:val="24"/>
        </w:rPr>
        <w:t xml:space="preserve"> </w:t>
      </w:r>
      <w:r>
        <w:rPr>
          <w:rFonts w:ascii="Times New Roman;serif" w:hAnsi="Times New Roman;serif"/>
          <w:b w:val="false"/>
          <w:i w:val="false"/>
          <w:caps w:val="false"/>
          <w:smallCaps w:val="false"/>
          <w:sz w:val="18"/>
        </w:rPr>
        <w:t xml:space="preserve">and the adjusted effective income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tax rate, which is calculated as the adjusted provision for income taxes of </w:t>
      </w:r>
      <w:r>
        <w:rPr>
          <w:rFonts w:ascii="Times New Roman;serif" w:hAnsi="Times New Roman;serif"/>
          <w:b w:val="false"/>
          <w:i w:val="false"/>
          <w:caps w:val="false"/>
          <w:smallCaps w:val="false"/>
          <w:strike w:val="false"/>
          <w:dstrike w:val="false"/>
          <w:sz w:val="18"/>
          <w:u w:val="none"/>
          <w:effect w:val="none"/>
        </w:rPr>
        <w:t>$130 million</w:t>
      </w:r>
      <w:r>
        <w:rPr>
          <w:caps w:val="false"/>
          <w:smallCaps w:val="false"/>
          <w:sz w:val="24"/>
        </w:rPr>
        <w:t xml:space="preserve"> </w:t>
      </w:r>
      <w:r>
        <w:rPr>
          <w:rFonts w:ascii="Times New Roman;serif" w:hAnsi="Times New Roman;serif"/>
          <w:b w:val="false"/>
          <w:i w:val="false"/>
          <w:caps w:val="false"/>
          <w:smallCaps w:val="false"/>
          <w:sz w:val="18"/>
        </w:rPr>
        <w:t xml:space="preserve">divided by adjusted earnings from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continuing operations before income taxes of </w:t>
      </w:r>
      <w:r>
        <w:rPr>
          <w:rFonts w:ascii="Times New Roman;serif" w:hAnsi="Times New Roman;serif"/>
          <w:b w:val="false"/>
          <w:i w:val="false"/>
          <w:caps w:val="false"/>
          <w:smallCaps w:val="false"/>
          <w:strike w:val="false"/>
          <w:dstrike w:val="false"/>
          <w:sz w:val="18"/>
          <w:u w:val="none"/>
          <w:effect w:val="none"/>
        </w:rPr>
        <w:t>$516 million</w:t>
      </w:r>
      <w:r>
        <w:rPr>
          <w:rFonts w:ascii="Times New Roman;serif" w:hAnsi="Times New Roman;serif"/>
          <w:b w:val="false"/>
          <w:i w:val="false"/>
          <w:caps w:val="false"/>
          <w:smallCaps w:val="false"/>
          <w:sz w:val="18"/>
        </w:rPr>
        <w:t xml:space="preserve">, was </w:t>
      </w:r>
      <w:r>
        <w:rPr>
          <w:rFonts w:ascii="Times New Roman;serif" w:hAnsi="Times New Roman;serif"/>
          <w:b w:val="false"/>
          <w:i w:val="false"/>
          <w:caps w:val="false"/>
          <w:smallCaps w:val="false"/>
          <w:strike w:val="false"/>
          <w:dstrike w:val="false"/>
          <w:sz w:val="18"/>
          <w:u w:val="none"/>
          <w:effect w:val="none"/>
        </w:rPr>
        <w:t>25.2%</w:t>
      </w:r>
      <w:r>
        <w:rPr>
          <w:rFonts w:ascii="Times New Roman;serif" w:hAnsi="Times New Roman;serif"/>
          <w:b w:val="false"/>
          <w:i w:val="false"/>
          <w:caps w:val="false"/>
          <w:smallCaps w:val="false"/>
          <w:sz w:val="18"/>
        </w:rPr>
        <w:t xml:space="preserve">. These adjusted measures exclude the items affecting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comparability detailed above.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37" w:type="dxa"/>
        <w:jc w:val="left"/>
        <w:tblInd w:w="0" w:type="dxa"/>
        <w:tblLayout w:type="fixed"/>
        <w:tblCellMar>
          <w:top w:w="28" w:type="dxa"/>
          <w:left w:w="28" w:type="dxa"/>
          <w:bottom w:w="28" w:type="dxa"/>
          <w:right w:w="28" w:type="dxa"/>
        </w:tblCellMar>
      </w:tblPr>
      <w:tblGrid>
        <w:gridCol w:w="2566"/>
        <w:gridCol w:w="225"/>
        <w:gridCol w:w="1092"/>
        <w:gridCol w:w="228"/>
        <w:gridCol w:w="109"/>
        <w:gridCol w:w="139"/>
        <w:gridCol w:w="824"/>
        <w:gridCol w:w="326"/>
        <w:gridCol w:w="109"/>
        <w:gridCol w:w="204"/>
        <w:gridCol w:w="986"/>
        <w:gridCol w:w="205"/>
        <w:gridCol w:w="109"/>
        <w:gridCol w:w="211"/>
        <w:gridCol w:w="705"/>
        <w:gridCol w:w="299"/>
      </w:tblGrid>
      <w:tr>
        <w:trPr/>
        <w:tc>
          <w:tcPr>
            <w:tcW w:w="25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56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15"/>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r>
      <w:tr>
        <w:trPr/>
        <w:tc>
          <w:tcPr>
            <w:tcW w:w="2566" w:type="dxa"/>
            <w:tcBorders/>
            <w:vAlign w:val="center"/>
          </w:tcPr>
          <w:p>
            <w:pPr>
              <w:pStyle w:val="TableContents"/>
              <w:bidi w:val="0"/>
              <w:spacing w:before="0" w:after="283"/>
              <w:jc w:val="left"/>
              <w:rPr>
                <w:sz w:val="4"/>
                <w:szCs w:val="4"/>
              </w:rPr>
            </w:pPr>
            <w:r>
              <w:rPr>
                <w:sz w:val="4"/>
                <w:szCs w:val="4"/>
              </w:rPr>
            </w:r>
          </w:p>
        </w:tc>
        <w:tc>
          <w:tcPr>
            <w:tcW w:w="5771" w:type="dxa"/>
            <w:gridSpan w:val="15"/>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Six Months Ended June 30, 2026</w:t>
            </w:r>
          </w:p>
        </w:tc>
      </w:tr>
      <w:tr>
        <w:trPr/>
        <w:tc>
          <w:tcPr>
            <w:tcW w:w="25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Earnings Before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Income Taxes </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Provision for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Net Earnings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Attributable to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Parent</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Diluted EPS </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Reported (GAAP)</w:t>
            </w:r>
          </w:p>
        </w:tc>
        <w:tc>
          <w:tcPr>
            <w:tcW w:w="2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$607</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$(275)</w:t>
            </w:r>
          </w:p>
        </w:tc>
        <w:tc>
          <w:tcPr>
            <w:tcW w:w="32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(c)</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w:t>
            </w:r>
          </w:p>
        </w:tc>
        <w:tc>
          <w:tcPr>
            <w:tcW w:w="2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2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Items affecting comparability:</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Restructuring charges </w:t>
            </w:r>
            <w:r>
              <w:rPr>
                <w:rFonts w:ascii="Times New Roman;serif" w:hAnsi="Times New Roman;serif"/>
                <w:b w:val="false"/>
                <w:i w:val="false"/>
                <w:caps w:val="false"/>
                <w:smallCaps w:val="false"/>
                <w:sz w:val="13"/>
              </w:rPr>
              <w:t>(a)</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299"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Transaction-related items </w:t>
            </w:r>
            <w:r>
              <w:rPr>
                <w:rFonts w:ascii="Times New Roman;serif" w:hAnsi="Times New Roman;serif"/>
                <w:b w:val="false"/>
                <w:i w:val="false"/>
                <w:caps w:val="false"/>
                <w:smallCaps w:val="false"/>
                <w:sz w:val="13"/>
              </w:rPr>
              <w:t>(b)</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235</w:t>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299"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Discrete tax items</w:t>
            </w:r>
          </w:p>
        </w:tc>
        <w:tc>
          <w:tcPr>
            <w:tcW w:w="22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3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2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2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Adjusted (Non-GAAP)</w:t>
            </w:r>
          </w:p>
        </w:tc>
        <w:tc>
          <w:tcPr>
            <w:tcW w:w="22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$898</w:t>
            </w:r>
          </w:p>
        </w:tc>
        <w:tc>
          <w:tcPr>
            <w:tcW w:w="22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$(309)</w:t>
            </w:r>
          </w:p>
        </w:tc>
        <w:tc>
          <w:tcPr>
            <w:tcW w:w="32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(c)</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$466</w:t>
            </w:r>
          </w:p>
        </w:tc>
        <w:tc>
          <w:tcPr>
            <w:tcW w:w="20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29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(a) Reflects severance costs, as further described under </w:t>
      </w:r>
      <w:r>
        <w:rPr>
          <w:rFonts w:ascii="Times New Roman;serif" w:hAnsi="Times New Roman;serif"/>
          <w:b w:val="false"/>
          <w:i/>
          <w:sz w:val="18"/>
        </w:rPr>
        <w:t>Restructuring and Transaction-Related Items</w:t>
      </w:r>
      <w:r>
        <w:rPr>
          <w:rFonts w:ascii="Times New Roman;serif" w:hAnsi="Times New Roman;serif"/>
          <w:b w:val="false"/>
          <w:i w:val="false"/>
          <w:caps w:val="false"/>
          <w:smallCaps w:val="false"/>
          <w:sz w:val="18"/>
        </w:rPr>
        <w:t>.</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(b) Principally reflects legal, advisory and other professional fees associated with the planned WBD Merger and related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integration.</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(c) The reported effective income tax rate for the </w:t>
      </w:r>
      <w:r>
        <w:rPr>
          <w:rFonts w:ascii="Times New Roman;serif" w:hAnsi="Times New Roman;serif"/>
          <w:b w:val="false"/>
          <w:i w:val="false"/>
          <w:caps w:val="false"/>
          <w:smallCaps w:val="false"/>
          <w:strike w:val="false"/>
          <w:dstrike w:val="false"/>
          <w:sz w:val="18"/>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18"/>
        </w:rPr>
        <w:t xml:space="preserve">was </w:t>
      </w:r>
      <w:r>
        <w:rPr>
          <w:rFonts w:ascii="Times New Roman;serif" w:hAnsi="Times New Roman;serif"/>
          <w:b w:val="false"/>
          <w:i w:val="false"/>
          <w:caps w:val="false"/>
          <w:smallCaps w:val="false"/>
          <w:strike w:val="false"/>
          <w:dstrike w:val="false"/>
          <w:sz w:val="18"/>
          <w:u w:val="none"/>
          <w:effect w:val="none"/>
        </w:rPr>
        <w:t>45.3%</w:t>
      </w:r>
      <w:r>
        <w:rPr>
          <w:caps w:val="false"/>
          <w:smallCaps w:val="false"/>
          <w:sz w:val="24"/>
        </w:rPr>
        <w:t xml:space="preserve"> </w:t>
      </w:r>
      <w:r>
        <w:rPr>
          <w:rFonts w:ascii="Times New Roman;serif" w:hAnsi="Times New Roman;serif"/>
          <w:b w:val="false"/>
          <w:i w:val="false"/>
          <w:caps w:val="false"/>
          <w:smallCaps w:val="false"/>
          <w:sz w:val="18"/>
        </w:rPr>
        <w:t xml:space="preserve">and the adjusted effective income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tax rate, which is calculated as the adjusted provision for income taxes of </w:t>
      </w:r>
      <w:r>
        <w:rPr>
          <w:rFonts w:ascii="Times New Roman;serif" w:hAnsi="Times New Roman;serif"/>
          <w:b w:val="false"/>
          <w:i w:val="false"/>
          <w:caps w:val="false"/>
          <w:smallCaps w:val="false"/>
          <w:strike w:val="false"/>
          <w:dstrike w:val="false"/>
          <w:sz w:val="18"/>
          <w:u w:val="none"/>
          <w:effect w:val="none"/>
        </w:rPr>
        <w:t>$309 million</w:t>
      </w:r>
      <w:r>
        <w:rPr>
          <w:caps w:val="false"/>
          <w:smallCaps w:val="false"/>
          <w:sz w:val="24"/>
        </w:rPr>
        <w:t xml:space="preserve"> </w:t>
      </w:r>
      <w:r>
        <w:rPr>
          <w:rFonts w:ascii="Times New Roman;serif" w:hAnsi="Times New Roman;serif"/>
          <w:b w:val="false"/>
          <w:i w:val="false"/>
          <w:caps w:val="false"/>
          <w:smallCaps w:val="false"/>
          <w:sz w:val="18"/>
        </w:rPr>
        <w:t xml:space="preserve">divided by adjusted earnings before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income taxes of </w:t>
      </w:r>
      <w:r>
        <w:rPr>
          <w:rFonts w:ascii="Times New Roman;serif" w:hAnsi="Times New Roman;serif"/>
          <w:b w:val="false"/>
          <w:i w:val="false"/>
          <w:caps w:val="false"/>
          <w:smallCaps w:val="false"/>
          <w:strike w:val="false"/>
          <w:dstrike w:val="false"/>
          <w:sz w:val="18"/>
          <w:u w:val="none"/>
          <w:effect w:val="none"/>
        </w:rPr>
        <w:t>$898 million</w:t>
      </w:r>
      <w:r>
        <w:rPr>
          <w:rFonts w:ascii="Times New Roman;serif" w:hAnsi="Times New Roman;serif"/>
          <w:b w:val="false"/>
          <w:i w:val="false"/>
          <w:caps w:val="false"/>
          <w:smallCaps w:val="false"/>
          <w:sz w:val="18"/>
        </w:rPr>
        <w:t xml:space="preserve">, was </w:t>
      </w:r>
      <w:r>
        <w:rPr>
          <w:rFonts w:ascii="Times New Roman;serif" w:hAnsi="Times New Roman;serif"/>
          <w:b w:val="false"/>
          <w:i w:val="false"/>
          <w:caps w:val="false"/>
          <w:smallCaps w:val="false"/>
          <w:strike w:val="false"/>
          <w:dstrike w:val="false"/>
          <w:sz w:val="18"/>
          <w:u w:val="none"/>
          <w:effect w:val="none"/>
        </w:rPr>
        <w:t>34.4%</w:t>
      </w:r>
      <w:r>
        <w:rPr>
          <w:rFonts w:ascii="Times New Roman;serif" w:hAnsi="Times New Roman;serif"/>
          <w:b w:val="false"/>
          <w:i w:val="false"/>
          <w:caps w:val="false"/>
          <w:smallCaps w:val="false"/>
          <w:sz w:val="18"/>
        </w:rPr>
        <w:t>. These adjusted measures exclude the items affecting comparability detailed above.</w:t>
      </w:r>
    </w:p>
    <w:tbl>
      <w:tblPr>
        <w:tblW w:w="8292" w:type="dxa"/>
        <w:jc w:val="left"/>
        <w:tblInd w:w="0" w:type="dxa"/>
        <w:tblLayout w:type="fixed"/>
        <w:tblCellMar>
          <w:top w:w="28" w:type="dxa"/>
          <w:left w:w="28" w:type="dxa"/>
          <w:bottom w:w="28" w:type="dxa"/>
          <w:right w:w="28" w:type="dxa"/>
        </w:tblCellMar>
      </w:tblPr>
      <w:tblGrid>
        <w:gridCol w:w="2566"/>
        <w:gridCol w:w="225"/>
        <w:gridCol w:w="1092"/>
        <w:gridCol w:w="228"/>
        <w:gridCol w:w="109"/>
        <w:gridCol w:w="139"/>
        <w:gridCol w:w="824"/>
        <w:gridCol w:w="326"/>
        <w:gridCol w:w="109"/>
        <w:gridCol w:w="204"/>
        <w:gridCol w:w="986"/>
        <w:gridCol w:w="205"/>
        <w:gridCol w:w="109"/>
        <w:gridCol w:w="203"/>
        <w:gridCol w:w="679"/>
        <w:gridCol w:w="288"/>
      </w:tblGrid>
      <w:tr>
        <w:trPr/>
        <w:tc>
          <w:tcPr>
            <w:tcW w:w="25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56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6" w:type="dxa"/>
            <w:gridSpan w:val="15"/>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r>
      <w:tr>
        <w:trPr/>
        <w:tc>
          <w:tcPr>
            <w:tcW w:w="2566" w:type="dxa"/>
            <w:tcBorders/>
            <w:vAlign w:val="center"/>
          </w:tcPr>
          <w:p>
            <w:pPr>
              <w:pStyle w:val="TableContents"/>
              <w:bidi w:val="0"/>
              <w:spacing w:before="0" w:after="283"/>
              <w:jc w:val="left"/>
              <w:rPr>
                <w:sz w:val="4"/>
                <w:szCs w:val="4"/>
              </w:rPr>
            </w:pPr>
            <w:r>
              <w:rPr>
                <w:sz w:val="4"/>
                <w:szCs w:val="4"/>
              </w:rPr>
            </w:r>
          </w:p>
        </w:tc>
        <w:tc>
          <w:tcPr>
            <w:tcW w:w="5726" w:type="dxa"/>
            <w:gridSpan w:val="15"/>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Six Months Ended June 30, 2025</w:t>
            </w:r>
          </w:p>
        </w:tc>
      </w:tr>
      <w:tr>
        <w:trPr/>
        <w:tc>
          <w:tcPr>
            <w:tcW w:w="25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Earnings Before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Provision for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Net Earnings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Attributable to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Parent</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Diluted EPS</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Reported (GAAP)</w:t>
            </w:r>
          </w:p>
        </w:tc>
        <w:tc>
          <w:tcPr>
            <w:tcW w:w="2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$512</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w:t>
            </w:r>
          </w:p>
        </w:tc>
        <w:tc>
          <w:tcPr>
            <w:tcW w:w="32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w:t>
            </w:r>
          </w:p>
        </w:tc>
        <w:tc>
          <w:tcPr>
            <w:tcW w:w="2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2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Items affecting comparability:</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Impairment charges </w:t>
            </w:r>
            <w:r>
              <w:rPr>
                <w:rFonts w:ascii="Times New Roman;serif" w:hAnsi="Times New Roman;serif"/>
                <w:b w:val="false"/>
                <w:i w:val="false"/>
                <w:caps w:val="false"/>
                <w:smallCaps w:val="false"/>
                <w:sz w:val="13"/>
              </w:rPr>
              <w:t>(a)</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w:t>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288"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Restructuring charges </w:t>
            </w:r>
            <w:r>
              <w:rPr>
                <w:rFonts w:ascii="Times New Roman;serif" w:hAnsi="Times New Roman;serif"/>
                <w:b w:val="false"/>
                <w:i w:val="false"/>
                <w:caps w:val="false"/>
                <w:smallCaps w:val="false"/>
                <w:sz w:val="13"/>
              </w:rPr>
              <w:t>(b)</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242</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w:t>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w:t>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w:t>
            </w:r>
          </w:p>
        </w:tc>
        <w:tc>
          <w:tcPr>
            <w:tcW w:w="288"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Transaction-related items </w:t>
            </w:r>
            <w:r>
              <w:rPr>
                <w:rFonts w:ascii="Times New Roman;serif" w:hAnsi="Times New Roman;serif"/>
                <w:b w:val="false"/>
                <w:i w:val="false"/>
                <w:caps w:val="false"/>
                <w:smallCaps w:val="false"/>
                <w:sz w:val="13"/>
              </w:rPr>
              <w:t>(c)</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288"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Gain on dispositions</w:t>
            </w:r>
            <w:r>
              <w:rPr>
                <w:caps w:val="false"/>
                <w:smallCaps w:val="false"/>
              </w:rPr>
              <w:t xml:space="preserve"> </w:t>
            </w:r>
            <w:r>
              <w:rPr>
                <w:rFonts w:ascii="Times New Roman;serif" w:hAnsi="Times New Roman;serif"/>
                <w:b w:val="false"/>
                <w:i w:val="false"/>
                <w:caps w:val="false"/>
                <w:smallCaps w:val="false"/>
                <w:sz w:val="13"/>
              </w:rPr>
              <w:t>(d)</w:t>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w:t>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288"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Discrete tax items</w:t>
            </w:r>
          </w:p>
        </w:tc>
        <w:tc>
          <w:tcPr>
            <w:tcW w:w="22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3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20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2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Adjusted (Non-GAAP)</w:t>
            </w:r>
          </w:p>
        </w:tc>
        <w:tc>
          <w:tcPr>
            <w:tcW w:w="22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w:t>
            </w:r>
          </w:p>
        </w:tc>
        <w:tc>
          <w:tcPr>
            <w:tcW w:w="22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$(237)</w:t>
            </w:r>
          </w:p>
        </w:tc>
        <w:tc>
          <w:tcPr>
            <w:tcW w:w="32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(e)</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$510</w:t>
            </w:r>
          </w:p>
        </w:tc>
        <w:tc>
          <w:tcPr>
            <w:tcW w:w="20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w:t>
            </w:r>
          </w:p>
        </w:tc>
        <w:tc>
          <w:tcPr>
            <w:tcW w:w="28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 Reflects a charge to reduce the carrying values of FCC licenses in certain markets to their estimated fair values.</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(b) Includes severance costs and charges for the impairment of lease assets, as further described under </w:t>
      </w:r>
      <w:r>
        <w:rPr>
          <w:rFonts w:ascii="Times New Roman;serif" w:hAnsi="Times New Roman;serif"/>
          <w:b w:val="false"/>
          <w:i/>
          <w:sz w:val="18"/>
        </w:rPr>
        <w:t xml:space="preserve">Restructuring and </w:t>
      </w:r>
    </w:p>
    <w:p>
      <w:pPr>
        <w:pStyle w:val="TextBody"/>
        <w:bidi w:val="0"/>
        <w:spacing w:lineRule="atLeast" w:line="180" w:before="0" w:after="0"/>
        <w:jc w:val="left"/>
        <w:rPr/>
      </w:pPr>
      <w:r>
        <w:rPr>
          <w:rFonts w:ascii="Times New Roman;serif" w:hAnsi="Times New Roman;serif"/>
          <w:b w:val="false"/>
          <w:i/>
          <w:sz w:val="18"/>
        </w:rPr>
        <w:t>Transaction-Related Items</w:t>
      </w:r>
      <w:r>
        <w:rPr>
          <w:rFonts w:ascii="Times New Roman;serif" w:hAnsi="Times New Roman;serif"/>
          <w:b w:val="false"/>
          <w:i w:val="false"/>
          <w:caps w:val="false"/>
          <w:smallCaps w:val="false"/>
          <w:sz w:val="18"/>
        </w:rPr>
        <w:t>.</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 Reflects legal, advisory, and other professional fees relating to the Skydance Transactions.</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(d) Principally reflects a gain associated with the disposition of a noncore business.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(e) The reported effective income tax rate for the </w:t>
      </w:r>
      <w:r>
        <w:rPr>
          <w:rFonts w:ascii="Times New Roman;serif" w:hAnsi="Times New Roman;serif"/>
          <w:b w:val="false"/>
          <w:i w:val="false"/>
          <w:caps w:val="false"/>
          <w:smallCaps w:val="false"/>
          <w:strike w:val="false"/>
          <w:dstrike w:val="false"/>
          <w:sz w:val="18"/>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June 30, 2025</w:t>
      </w:r>
      <w:r>
        <w:rPr>
          <w:caps w:val="false"/>
          <w:smallCaps w:val="false"/>
          <w:sz w:val="24"/>
        </w:rPr>
        <w:t xml:space="preserve"> </w:t>
      </w:r>
      <w:r>
        <w:rPr>
          <w:rFonts w:ascii="Times New Roman;serif" w:hAnsi="Times New Roman;serif"/>
          <w:b w:val="false"/>
          <w:i w:val="false"/>
          <w:caps w:val="false"/>
          <w:smallCaps w:val="false"/>
          <w:sz w:val="18"/>
        </w:rPr>
        <w:t xml:space="preserve">was </w:t>
      </w:r>
      <w:r>
        <w:rPr>
          <w:rFonts w:ascii="Times New Roman;serif" w:hAnsi="Times New Roman;serif"/>
          <w:b w:val="false"/>
          <w:i w:val="false"/>
          <w:caps w:val="false"/>
          <w:smallCaps w:val="false"/>
          <w:strike w:val="false"/>
          <w:dstrike w:val="false"/>
          <w:sz w:val="18"/>
          <w:u w:val="none"/>
          <w:effect w:val="none"/>
        </w:rPr>
        <w:t>29.3%</w:t>
      </w:r>
      <w:r>
        <w:rPr>
          <w:caps w:val="false"/>
          <w:smallCaps w:val="false"/>
          <w:sz w:val="24"/>
        </w:rPr>
        <w:t xml:space="preserve"> </w:t>
      </w:r>
      <w:r>
        <w:rPr>
          <w:rFonts w:ascii="Times New Roman;serif" w:hAnsi="Times New Roman;serif"/>
          <w:b w:val="false"/>
          <w:i w:val="false"/>
          <w:caps w:val="false"/>
          <w:smallCaps w:val="false"/>
          <w:sz w:val="18"/>
        </w:rPr>
        <w:t xml:space="preserve">and the adjusted effective income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tax rate, which is calculated as the adjusted provision for income taxes of </w:t>
      </w:r>
      <w:r>
        <w:rPr>
          <w:rFonts w:ascii="Times New Roman;serif" w:hAnsi="Times New Roman;serif"/>
          <w:b w:val="false"/>
          <w:i w:val="false"/>
          <w:caps w:val="false"/>
          <w:smallCaps w:val="false"/>
          <w:strike w:val="false"/>
          <w:dstrike w:val="false"/>
          <w:sz w:val="18"/>
          <w:u w:val="none"/>
          <w:effect w:val="none"/>
        </w:rPr>
        <w:t>$237 million</w:t>
      </w:r>
      <w:r>
        <w:rPr>
          <w:caps w:val="false"/>
          <w:smallCaps w:val="false"/>
          <w:sz w:val="24"/>
        </w:rPr>
        <w:t xml:space="preserve"> </w:t>
      </w:r>
      <w:r>
        <w:rPr>
          <w:rFonts w:ascii="Times New Roman;serif" w:hAnsi="Times New Roman;serif"/>
          <w:b w:val="false"/>
          <w:i w:val="false"/>
          <w:caps w:val="false"/>
          <w:smallCaps w:val="false"/>
          <w:sz w:val="18"/>
        </w:rPr>
        <w:t xml:space="preserve">divided by adjusted earnings before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income taxes of </w:t>
      </w:r>
      <w:r>
        <w:rPr>
          <w:rFonts w:ascii="Times New Roman;serif" w:hAnsi="Times New Roman;serif"/>
          <w:b w:val="false"/>
          <w:i w:val="false"/>
          <w:caps w:val="false"/>
          <w:smallCaps w:val="false"/>
          <w:strike w:val="false"/>
          <w:dstrike w:val="false"/>
          <w:sz w:val="18"/>
          <w:u w:val="none"/>
          <w:effect w:val="none"/>
        </w:rPr>
        <w:t>$900 million</w:t>
      </w:r>
      <w:r>
        <w:rPr>
          <w:rFonts w:ascii="Times New Roman;serif" w:hAnsi="Times New Roman;serif"/>
          <w:b w:val="false"/>
          <w:i w:val="false"/>
          <w:caps w:val="false"/>
          <w:smallCaps w:val="false"/>
          <w:sz w:val="18"/>
        </w:rPr>
        <w:t xml:space="preserve">, was </w:t>
      </w:r>
      <w:r>
        <w:rPr>
          <w:rFonts w:ascii="Times New Roman;serif" w:hAnsi="Times New Roman;serif"/>
          <w:b w:val="false"/>
          <w:i w:val="false"/>
          <w:caps w:val="false"/>
          <w:smallCaps w:val="false"/>
          <w:strike w:val="false"/>
          <w:dstrike w:val="false"/>
          <w:sz w:val="18"/>
          <w:u w:val="none"/>
          <w:effect w:val="none"/>
        </w:rPr>
        <w:t>26.3%</w:t>
      </w:r>
      <w:r>
        <w:rPr>
          <w:rFonts w:ascii="Times New Roman;serif" w:hAnsi="Times New Roman;serif"/>
          <w:b w:val="false"/>
          <w:i w:val="false"/>
          <w:caps w:val="false"/>
          <w:smallCaps w:val="false"/>
          <w:sz w:val="18"/>
        </w:rPr>
        <w:t xml:space="preserve">. These adjusted measures exclude the items affecting comparability detailed above.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Consolidated Results of Operations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Revenues</w:t>
      </w:r>
    </w:p>
    <w:tbl>
      <w:tblPr>
        <w:tblW w:w="9145" w:type="dxa"/>
        <w:jc w:val="left"/>
        <w:tblInd w:w="0" w:type="dxa"/>
        <w:tblLayout w:type="fixed"/>
        <w:tblCellMar>
          <w:top w:w="28" w:type="dxa"/>
          <w:left w:w="28" w:type="dxa"/>
          <w:bottom w:w="28" w:type="dxa"/>
          <w:right w:w="28" w:type="dxa"/>
        </w:tblCellMar>
      </w:tblPr>
      <w:tblGrid>
        <w:gridCol w:w="1741"/>
        <w:gridCol w:w="109"/>
        <w:gridCol w:w="676"/>
        <w:gridCol w:w="109"/>
        <w:gridCol w:w="109"/>
        <w:gridCol w:w="181"/>
        <w:gridCol w:w="701"/>
        <w:gridCol w:w="183"/>
        <w:gridCol w:w="109"/>
        <w:gridCol w:w="1126"/>
        <w:gridCol w:w="109"/>
        <w:gridCol w:w="676"/>
        <w:gridCol w:w="109"/>
        <w:gridCol w:w="109"/>
        <w:gridCol w:w="181"/>
        <w:gridCol w:w="701"/>
        <w:gridCol w:w="183"/>
        <w:gridCol w:w="109"/>
        <w:gridCol w:w="109"/>
        <w:gridCol w:w="905"/>
        <w:gridCol w:w="152"/>
        <w:gridCol w:w="758"/>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74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4" w:type="dxa"/>
            <w:gridSpan w:val="21"/>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June 30,</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2068"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2068" w:type="dxa"/>
            <w:gridSpan w:val="7"/>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 of Total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Revenues</w:t>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 of Total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r>
      <w:tr>
        <w:trPr/>
        <w:tc>
          <w:tcPr>
            <w:tcW w:w="17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5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r>
      <w:tr>
        <w:trPr/>
        <w:tc>
          <w:tcPr>
            <w:tcW w:w="174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Revenues by Type: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Advertising </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$(193)</w:t>
            </w:r>
          </w:p>
        </w:tc>
        <w:tc>
          <w:tcPr>
            <w:tcW w:w="1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r>
      <w:tr>
        <w:trPr/>
        <w:tc>
          <w:tcPr>
            <w:tcW w:w="17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Affiliate and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subscription</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w:t>
            </w:r>
          </w:p>
        </w:tc>
        <w:tc>
          <w:tcPr>
            <w:tcW w:w="1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r>
        <w:trPr/>
        <w:tc>
          <w:tcPr>
            <w:tcW w:w="17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Theatrical</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w:t>
            </w:r>
          </w:p>
        </w:tc>
        <w:tc>
          <w:tcPr>
            <w:tcW w:w="1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r>
      <w:tr>
        <w:trPr/>
        <w:tc>
          <w:tcPr>
            <w:tcW w:w="17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1,296</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998</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w:t>
            </w:r>
          </w:p>
        </w:tc>
        <w:tc>
          <w:tcPr>
            <w:tcW w:w="15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r>
      <w:tr>
        <w:trPr/>
        <w:tc>
          <w:tcPr>
            <w:tcW w:w="174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Revenues</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$6,913</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8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$6,849</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8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w:t>
            </w:r>
          </w:p>
        </w:tc>
        <w:tc>
          <w:tcPr>
            <w:tcW w:w="15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bl>
    <w:tbl>
      <w:tblPr>
        <w:tblW w:w="9309" w:type="dxa"/>
        <w:jc w:val="left"/>
        <w:tblInd w:w="0" w:type="dxa"/>
        <w:tblLayout w:type="fixed"/>
        <w:tblCellMar>
          <w:top w:w="28" w:type="dxa"/>
          <w:left w:w="28" w:type="dxa"/>
          <w:bottom w:w="28" w:type="dxa"/>
          <w:right w:w="28" w:type="dxa"/>
        </w:tblCellMar>
      </w:tblPr>
      <w:tblGrid>
        <w:gridCol w:w="1741"/>
        <w:gridCol w:w="109"/>
        <w:gridCol w:w="781"/>
        <w:gridCol w:w="109"/>
        <w:gridCol w:w="109"/>
        <w:gridCol w:w="181"/>
        <w:gridCol w:w="701"/>
        <w:gridCol w:w="183"/>
        <w:gridCol w:w="109"/>
        <w:gridCol w:w="109"/>
        <w:gridCol w:w="1126"/>
        <w:gridCol w:w="109"/>
        <w:gridCol w:w="781"/>
        <w:gridCol w:w="109"/>
        <w:gridCol w:w="109"/>
        <w:gridCol w:w="173"/>
        <w:gridCol w:w="671"/>
        <w:gridCol w:w="175"/>
        <w:gridCol w:w="109"/>
        <w:gridCol w:w="905"/>
        <w:gridCol w:w="152"/>
        <w:gridCol w:w="758"/>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74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21"/>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Six Months Ended June 30,</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2173"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2127" w:type="dxa"/>
            <w:gridSpan w:val="7"/>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 of Total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Revenues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of Total</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815"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r>
      <w:tr>
        <w:trPr/>
        <w:tc>
          <w:tcPr>
            <w:tcW w:w="17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5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r>
      <w:tr>
        <w:trPr/>
        <w:tc>
          <w:tcPr>
            <w:tcW w:w="174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Revenues by Type: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Advertising </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$(264)</w:t>
            </w:r>
          </w:p>
        </w:tc>
        <w:tc>
          <w:tcPr>
            <w:tcW w:w="1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r>
      <w:tr>
        <w:trPr/>
        <w:tc>
          <w:tcPr>
            <w:tcW w:w="17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Affiliate and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subscription</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w:t>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179</w:t>
            </w:r>
          </w:p>
        </w:tc>
        <w:tc>
          <w:tcPr>
            <w:tcW w:w="1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r>
      <w:tr>
        <w:trPr/>
        <w:tc>
          <w:tcPr>
            <w:tcW w:w="17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Theatrical</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w:t>
            </w:r>
          </w:p>
        </w:tc>
        <w:tc>
          <w:tcPr>
            <w:tcW w:w="1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r>
      <w:tr>
        <w:trPr/>
        <w:tc>
          <w:tcPr>
            <w:tcW w:w="17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2,548</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2,132</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416</w:t>
            </w:r>
          </w:p>
        </w:tc>
        <w:tc>
          <w:tcPr>
            <w:tcW w:w="15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r>
      <w:tr>
        <w:trPr/>
        <w:tc>
          <w:tcPr>
            <w:tcW w:w="174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Revenues</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$14,260</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8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$14,041</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7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$219</w:t>
            </w:r>
          </w:p>
        </w:tc>
        <w:tc>
          <w:tcPr>
            <w:tcW w:w="15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bl>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Advertising</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Advertising revenues are generated primarily from the sale of advertising spots on our global broadcast and cable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networks, television stations, and streaming services.</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The decreases in advertising revenues of </w:t>
      </w:r>
      <w:r>
        <w:rPr>
          <w:rFonts w:ascii="Times New Roman;serif" w:hAnsi="Times New Roman;serif"/>
          <w:b w:val="false"/>
          <w:i w:val="false"/>
          <w:caps w:val="false"/>
          <w:smallCaps w:val="false"/>
          <w:strike w:val="false"/>
          <w:dstrike w:val="false"/>
          <w:sz w:val="22"/>
          <w:u w:val="none"/>
          <w:effect w:val="none"/>
        </w:rPr>
        <w:t>9%</w:t>
      </w:r>
      <w:r>
        <w:rPr>
          <w:caps w:val="false"/>
          <w:smallCaps w:val="false"/>
          <w:sz w:val="24"/>
        </w:rPr>
        <w:t xml:space="preserve"> </w:t>
      </w:r>
      <w:r>
        <w:rPr>
          <w:rFonts w:ascii="Times New Roman;serif" w:hAnsi="Times New Roman;serif"/>
          <w:b w:val="false"/>
          <w:i w:val="false"/>
          <w:caps w:val="false"/>
          <w:smallCaps w:val="false"/>
          <w:sz w:val="22"/>
        </w:rPr>
        <w:t xml:space="preserve">and </w:t>
      </w:r>
      <w:r>
        <w:rPr>
          <w:rFonts w:ascii="Times New Roman;serif" w:hAnsi="Times New Roman;serif"/>
          <w:b w:val="false"/>
          <w:i w:val="false"/>
          <w:caps w:val="false"/>
          <w:smallCaps w:val="false"/>
          <w:strike w:val="false"/>
          <w:dstrike w:val="false"/>
          <w:sz w:val="22"/>
          <w:u w:val="none"/>
          <w:effect w:val="none"/>
        </w:rPr>
        <w:t>6%</w:t>
      </w:r>
      <w:r>
        <w:rPr>
          <w:caps w:val="false"/>
          <w:smallCaps w:val="false"/>
          <w:sz w:val="24"/>
        </w:rPr>
        <w:t xml:space="preserve"> </w:t>
      </w:r>
      <w:r>
        <w:rPr>
          <w:rFonts w:ascii="Times New Roman;serif" w:hAnsi="Times New Roman;serif"/>
          <w:b w:val="false"/>
          <w:i w:val="false"/>
          <w:caps w:val="false"/>
          <w:smallCaps w:val="false"/>
          <w:sz w:val="22"/>
        </w:rPr>
        <w:t xml:space="preserve">for the </w:t>
      </w:r>
      <w:r>
        <w:rPr>
          <w:rFonts w:ascii="Times New Roman;serif" w:hAnsi="Times New Roman;serif"/>
          <w:b w:val="false"/>
          <w:i w:val="false"/>
          <w:caps w:val="false"/>
          <w:smallCaps w:val="false"/>
          <w:strike w:val="false"/>
          <w:dstrike w:val="false"/>
          <w:sz w:val="22"/>
          <w:u w:val="none"/>
          <w:effect w:val="none"/>
        </w:rPr>
        <w:t>three and 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rFonts w:ascii="Times New Roman;serif" w:hAnsi="Times New Roman;serif"/>
          <w:b w:val="false"/>
          <w:i w:val="false"/>
          <w:caps w:val="false"/>
          <w:smallCaps w:val="false"/>
          <w:sz w:val="22"/>
        </w:rPr>
        <w:t xml:space="preserve">, </w:t>
      </w:r>
    </w:p>
    <w:p>
      <w:pPr>
        <w:pStyle w:val="TextBody"/>
        <w:bidi w:val="0"/>
        <w:spacing w:lineRule="atLeast" w:line="220" w:before="0" w:after="0"/>
        <w:jc w:val="left"/>
        <w:rPr/>
      </w:pPr>
      <w:r>
        <w:rPr>
          <w:rFonts w:ascii="Times New Roman;serif" w:hAnsi="Times New Roman;serif"/>
          <w:b w:val="false"/>
          <w:i w:val="false"/>
          <w:caps w:val="false"/>
          <w:smallCaps w:val="false"/>
          <w:sz w:val="22"/>
        </w:rPr>
        <w:t>respectively, are primarily due to declines in the linear advertising market and</w:t>
      </w:r>
      <w:r>
        <w:rPr>
          <w:caps w:val="false"/>
          <w:smallCaps w:val="false"/>
        </w:rPr>
        <w:t xml:space="preserve"> </w:t>
      </w:r>
      <w:r>
        <w:rPr>
          <w:rFonts w:ascii="Times New Roman;serif" w:hAnsi="Times New Roman;serif"/>
          <w:b w:val="false"/>
          <w:i w:val="false"/>
          <w:caps w:val="false"/>
          <w:smallCaps w:val="false"/>
          <w:sz w:val="22"/>
        </w:rPr>
        <w:t xml:space="preserve">a negative impact of 6% and 3%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from the comparison against CBS’s broadcast in the second quarter of 2025 of the National Semifinals and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National Championship games of the </w:t>
      </w:r>
      <w:r>
        <w:rPr>
          <w:rFonts w:ascii="Times New Roman;serif" w:hAnsi="Times New Roman;serif"/>
          <w:b w:val="false"/>
          <w:i/>
          <w:sz w:val="22"/>
        </w:rPr>
        <w:t>NCAA Division I Men’s Basketball Championship</w:t>
      </w:r>
      <w:r>
        <w:rPr>
          <w:caps w:val="false"/>
          <w:smallCaps w:val="false"/>
        </w:rPr>
        <w:t xml:space="preserve"> </w:t>
      </w:r>
      <w:r>
        <w:rPr>
          <w:rFonts w:ascii="Times New Roman;serif" w:hAnsi="Times New Roman;serif"/>
          <w:b w:val="false"/>
          <w:i w:val="false"/>
          <w:caps w:val="false"/>
          <w:smallCaps w:val="false"/>
          <w:sz w:val="22"/>
        </w:rPr>
        <w:t xml:space="preserve">(the “NCAA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Tournament”), which we have the rights to broadcast every other year, partially offset by growth for Paramount+.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Affiliate and subscription</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Affiliate and subscription revenues are principally comprised of affiliate fees we receive from distributors for their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carriage of our cable networks (cable affiliate fees) and television stations (retransmission fees), as well as fees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received from third-party television stations for their affiliation with the CBS Television Network (reverse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compensation), and subscription fees for our streaming services.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The growth in affiliate and subscription revenues of </w:t>
      </w:r>
      <w:r>
        <w:rPr>
          <w:rFonts w:ascii="Times New Roman;serif" w:hAnsi="Times New Roman;serif"/>
          <w:b w:val="false"/>
          <w:i w:val="false"/>
          <w:caps w:val="false"/>
          <w:smallCaps w:val="false"/>
          <w:strike w:val="false"/>
          <w:dstrike w:val="false"/>
          <w:sz w:val="22"/>
          <w:u w:val="none"/>
          <w:effect w:val="none"/>
        </w:rPr>
        <w:t>2%</w:t>
      </w:r>
      <w:r>
        <w:rPr>
          <w:caps w:val="false"/>
          <w:smallCaps w:val="false"/>
          <w:sz w:val="24"/>
        </w:rPr>
        <w:t xml:space="preserve"> </w:t>
      </w:r>
      <w:r>
        <w:rPr>
          <w:rFonts w:ascii="Times New Roman;serif" w:hAnsi="Times New Roman;serif"/>
          <w:b w:val="false"/>
          <w:i w:val="false"/>
          <w:caps w:val="false"/>
          <w:smallCaps w:val="false"/>
          <w:sz w:val="22"/>
        </w:rPr>
        <w:t xml:space="preserve">and </w:t>
      </w:r>
      <w:r>
        <w:rPr>
          <w:rFonts w:ascii="Times New Roman;serif" w:hAnsi="Times New Roman;serif"/>
          <w:b w:val="false"/>
          <w:i w:val="false"/>
          <w:caps w:val="false"/>
          <w:smallCaps w:val="false"/>
          <w:strike w:val="false"/>
          <w:dstrike w:val="false"/>
          <w:sz w:val="22"/>
          <w:u w:val="none"/>
          <w:effect w:val="none"/>
        </w:rPr>
        <w:t>3%</w:t>
      </w:r>
      <w:r>
        <w:rPr>
          <w:caps w:val="false"/>
          <w:smallCaps w:val="false"/>
          <w:sz w:val="24"/>
        </w:rPr>
        <w:t xml:space="preserve"> </w:t>
      </w:r>
      <w:r>
        <w:rPr>
          <w:rFonts w:ascii="Times New Roman;serif" w:hAnsi="Times New Roman;serif"/>
          <w:b w:val="false"/>
          <w:i w:val="false"/>
          <w:caps w:val="false"/>
          <w:smallCaps w:val="false"/>
          <w:sz w:val="22"/>
        </w:rPr>
        <w:t xml:space="preserve">for the </w:t>
      </w:r>
      <w:r>
        <w:rPr>
          <w:rFonts w:ascii="Times New Roman;serif" w:hAnsi="Times New Roman;serif"/>
          <w:b w:val="false"/>
          <w:i w:val="false"/>
          <w:caps w:val="false"/>
          <w:smallCaps w:val="false"/>
          <w:strike w:val="false"/>
          <w:dstrike w:val="false"/>
          <w:sz w:val="22"/>
          <w:u w:val="none"/>
          <w:effect w:val="none"/>
        </w:rPr>
        <w:t>three and 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rFonts w:ascii="Times New Roman;serif" w:hAnsi="Times New Roman;serif"/>
          <w:b w:val="false"/>
          <w:i w:val="false"/>
          <w:caps w:val="false"/>
          <w:smallCaps w:val="false"/>
          <w:sz w:val="22"/>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respectively, r</w:t>
      </w:r>
      <w:r>
        <w:rPr>
          <w:rFonts w:ascii="Times New Roman;serif" w:hAnsi="Times New Roman;serif"/>
          <w:b w:val="false"/>
          <w:i w:val="false"/>
          <w:caps w:val="false"/>
          <w:smallCaps w:val="false"/>
          <w:strike w:val="false"/>
          <w:dstrike w:val="false"/>
          <w:sz w:val="22"/>
          <w:u w:val="none"/>
          <w:effect w:val="none"/>
        </w:rPr>
        <w:t>eflects increases of 6% in each period from growth at Paramount+</w:t>
      </w:r>
      <w:r>
        <w:rPr>
          <w:rFonts w:ascii="Times New Roman;serif" w:hAnsi="Times New Roman;serif"/>
          <w:b w:val="false"/>
          <w:i w:val="false"/>
          <w:caps w:val="false"/>
          <w:smallCaps w:val="false"/>
          <w:sz w:val="22"/>
        </w:rPr>
        <w:t xml:space="preserve">, driven by pricing increases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subscriber growth, partially offset by decreases of 3% in each period from lower linear affiliate revenues.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Paramount+ had </w:t>
      </w:r>
      <w:r>
        <w:rPr>
          <w:rFonts w:ascii="Times New Roman;serif" w:hAnsi="Times New Roman;serif"/>
          <w:b w:val="false"/>
          <w:i w:val="false"/>
          <w:caps w:val="false"/>
          <w:smallCaps w:val="false"/>
          <w:strike w:val="false"/>
          <w:dstrike w:val="false"/>
          <w:sz w:val="22"/>
          <w:u w:val="none"/>
          <w:effect w:val="none"/>
        </w:rPr>
        <w:t>81.6 million</w:t>
      </w:r>
      <w:r>
        <w:rPr>
          <w:caps w:val="false"/>
          <w:smallCaps w:val="false"/>
          <w:sz w:val="24"/>
        </w:rPr>
        <w:t xml:space="preserve"> </w:t>
      </w:r>
      <w:r>
        <w:rPr>
          <w:rFonts w:ascii="Times New Roman;serif" w:hAnsi="Times New Roman;serif"/>
          <w:b w:val="false"/>
          <w:i w:val="false"/>
          <w:caps w:val="false"/>
          <w:smallCaps w:val="false"/>
          <w:sz w:val="22"/>
        </w:rPr>
        <w:t xml:space="preserve">subscribers at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and </w:t>
      </w:r>
      <w:r>
        <w:rPr>
          <w:rFonts w:ascii="Times New Roman;serif" w:hAnsi="Times New Roman;serif"/>
          <w:b w:val="false"/>
          <w:i w:val="false"/>
          <w:caps w:val="false"/>
          <w:smallCaps w:val="false"/>
          <w:strike w:val="false"/>
          <w:dstrike w:val="false"/>
          <w:sz w:val="22"/>
          <w:u w:val="none"/>
          <w:effect w:val="none"/>
        </w:rPr>
        <w:t>76.8 million</w:t>
      </w:r>
      <w:r>
        <w:rPr>
          <w:caps w:val="false"/>
          <w:smallCaps w:val="false"/>
          <w:sz w:val="24"/>
        </w:rPr>
        <w:t xml:space="preserve"> </w:t>
      </w:r>
      <w:r>
        <w:rPr>
          <w:rFonts w:ascii="Times New Roman;serif" w:hAnsi="Times New Roman;serif"/>
          <w:b w:val="false"/>
          <w:i w:val="false"/>
          <w:caps w:val="false"/>
          <w:smallCaps w:val="false"/>
          <w:sz w:val="22"/>
        </w:rPr>
        <w:t xml:space="preserve">subscribers at </w:t>
      </w:r>
      <w:r>
        <w:rPr>
          <w:rFonts w:ascii="Times New Roman;serif" w:hAnsi="Times New Roman;serif"/>
          <w:b w:val="false"/>
          <w:i w:val="false"/>
          <w:caps w:val="false"/>
          <w:smallCaps w:val="false"/>
          <w:strike w:val="false"/>
          <w:dstrike w:val="false"/>
          <w:sz w:val="22"/>
          <w:u w:val="none"/>
          <w:effect w:val="none"/>
        </w:rPr>
        <w:t>June 30, 2025</w:t>
      </w:r>
      <w:r>
        <w:rPr>
          <w:rFonts w:ascii="Times New Roman;serif" w:hAnsi="Times New Roman;serif"/>
          <w:b w:val="false"/>
          <w:i w:val="false"/>
          <w:caps w:val="false"/>
          <w:smallCaps w:val="false"/>
          <w:sz w:val="22"/>
        </w:rPr>
        <w:t xml:space="preserve">.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Theatrical</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The decreases in theatrical revenues of </w:t>
      </w:r>
      <w:r>
        <w:rPr>
          <w:rFonts w:ascii="Times New Roman;serif" w:hAnsi="Times New Roman;serif"/>
          <w:b w:val="false"/>
          <w:i w:val="false"/>
          <w:caps w:val="false"/>
          <w:smallCaps w:val="false"/>
          <w:strike w:val="false"/>
          <w:dstrike w:val="false"/>
          <w:sz w:val="22"/>
          <w:u w:val="none"/>
          <w:effect w:val="none"/>
        </w:rPr>
        <w:t>$116 million</w:t>
      </w:r>
      <w:r>
        <w:rPr>
          <w:caps w:val="false"/>
          <w:smallCaps w:val="false"/>
          <w:sz w:val="24"/>
        </w:rPr>
        <w:t xml:space="preserve"> </w:t>
      </w:r>
      <w:r>
        <w:rPr>
          <w:rFonts w:ascii="Times New Roman;serif" w:hAnsi="Times New Roman;serif"/>
          <w:b w:val="false"/>
          <w:i w:val="false"/>
          <w:caps w:val="false"/>
          <w:smallCaps w:val="false"/>
          <w:sz w:val="22"/>
        </w:rPr>
        <w:t xml:space="preserve">and </w:t>
      </w:r>
      <w:r>
        <w:rPr>
          <w:rFonts w:ascii="Times New Roman;serif" w:hAnsi="Times New Roman;serif"/>
          <w:b w:val="false"/>
          <w:i w:val="false"/>
          <w:caps w:val="false"/>
          <w:smallCaps w:val="false"/>
          <w:strike w:val="false"/>
          <w:dstrike w:val="false"/>
          <w:sz w:val="22"/>
          <w:u w:val="none"/>
          <w:effect w:val="none"/>
        </w:rPr>
        <w:t>$112 million</w:t>
      </w:r>
      <w:r>
        <w:rPr>
          <w:caps w:val="false"/>
          <w:smallCaps w:val="false"/>
          <w:sz w:val="24"/>
        </w:rPr>
        <w:t xml:space="preserve"> </w:t>
      </w:r>
      <w:r>
        <w:rPr>
          <w:rFonts w:ascii="Times New Roman;serif" w:hAnsi="Times New Roman;serif"/>
          <w:b w:val="false"/>
          <w:i w:val="false"/>
          <w:caps w:val="false"/>
          <w:smallCaps w:val="false"/>
          <w:sz w:val="22"/>
        </w:rPr>
        <w:t xml:space="preserve">for the three- and six-month periods,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respectively, were driven by the comparison against t</w:t>
      </w:r>
      <w:r>
        <w:rPr>
          <w:rFonts w:ascii="Times New Roman;serif" w:hAnsi="Times New Roman;serif"/>
          <w:b w:val="false"/>
          <w:i w:val="false"/>
          <w:caps w:val="false"/>
          <w:smallCaps w:val="false"/>
          <w:strike w:val="false"/>
          <w:dstrike w:val="false"/>
          <w:sz w:val="22"/>
          <w:u w:val="none"/>
          <w:effect w:val="none"/>
        </w:rPr>
        <w:t>he second quarter 2025 rele</w:t>
      </w:r>
      <w:r>
        <w:rPr>
          <w:rFonts w:ascii="Times New Roman;serif" w:hAnsi="Times New Roman;serif"/>
          <w:b w:val="false"/>
          <w:i w:val="false"/>
          <w:caps w:val="false"/>
          <w:smallCaps w:val="false"/>
          <w:sz w:val="22"/>
        </w:rPr>
        <w:t xml:space="preserve">ase of </w:t>
      </w:r>
      <w:r>
        <w:rPr>
          <w:rFonts w:ascii="Times New Roman;serif" w:hAnsi="Times New Roman;serif"/>
          <w:b w:val="false"/>
          <w:i/>
          <w:sz w:val="22"/>
        </w:rPr>
        <w:t xml:space="preserve">Mission: Impossible - The </w:t>
      </w:r>
    </w:p>
    <w:p>
      <w:pPr>
        <w:pStyle w:val="TextBody"/>
        <w:bidi w:val="0"/>
        <w:spacing w:lineRule="atLeast" w:line="220" w:before="0" w:after="0"/>
        <w:jc w:val="left"/>
        <w:rPr>
          <w:sz w:val="24"/>
        </w:rPr>
      </w:pPr>
      <w:r>
        <w:rPr>
          <w:rFonts w:ascii="Times New Roman;serif" w:hAnsi="Times New Roman;serif"/>
          <w:b w:val="false"/>
          <w:i/>
          <w:sz w:val="22"/>
        </w:rPr>
        <w:t>Final Reckoning</w:t>
      </w:r>
      <w:r>
        <w:rPr>
          <w:rFonts w:ascii="Times New Roman;serif" w:hAnsi="Times New Roman;serif"/>
          <w:b w:val="false"/>
          <w:i w:val="false"/>
          <w:caps w:val="false"/>
          <w:smallCaps w:val="false"/>
          <w:sz w:val="22"/>
        </w:rPr>
        <w:t xml:space="preserve">. </w:t>
      </w:r>
      <w:r>
        <w:rPr>
          <w:rFonts w:ascii="Times New Roman;serif" w:hAnsi="Times New Roman;serif"/>
          <w:b w:val="false"/>
          <w:i w:val="false"/>
          <w:caps w:val="false"/>
          <w:smallCaps w:val="false"/>
          <w:strike w:val="false"/>
          <w:dstrike w:val="false"/>
          <w:sz w:val="22"/>
          <w:u w:val="none"/>
          <w:effect w:val="none"/>
        </w:rPr>
        <w:t xml:space="preserve">Theatrical releases in 2026 included </w:t>
      </w:r>
      <w:r>
        <w:rPr>
          <w:rFonts w:ascii="Times New Roman;serif" w:hAnsi="Times New Roman;serif"/>
          <w:b w:val="false"/>
          <w:i/>
          <w:strike w:val="false"/>
          <w:dstrike w:val="false"/>
          <w:sz w:val="22"/>
          <w:u w:val="none"/>
          <w:effect w:val="none"/>
        </w:rPr>
        <w:t xml:space="preserve">Scream 7 </w:t>
      </w:r>
      <w:r>
        <w:rPr>
          <w:rFonts w:ascii="Times New Roman;serif" w:hAnsi="Times New Roman;serif"/>
          <w:b w:val="false"/>
          <w:i w:val="false"/>
          <w:caps w:val="false"/>
          <w:smallCaps w:val="false"/>
          <w:strike w:val="false"/>
          <w:dstrike w:val="false"/>
          <w:sz w:val="22"/>
          <w:u w:val="none"/>
          <w:effect w:val="none"/>
        </w:rPr>
        <w:t xml:space="preserve">in the first quarter and </w:t>
      </w:r>
      <w:r>
        <w:rPr>
          <w:rFonts w:ascii="Times New Roman;serif" w:hAnsi="Times New Roman;serif"/>
          <w:b w:val="false"/>
          <w:i/>
          <w:strike w:val="false"/>
          <w:dstrike w:val="false"/>
          <w:sz w:val="22"/>
          <w:u w:val="none"/>
          <w:effect w:val="none"/>
        </w:rPr>
        <w:t xml:space="preserve">Scary Movie (2026) </w:t>
      </w:r>
      <w:r>
        <w:rPr>
          <w:rFonts w:ascii="Times New Roman;serif" w:hAnsi="Times New Roman;serif"/>
          <w:b w:val="false"/>
          <w:i w:val="false"/>
          <w:caps w:val="false"/>
          <w:smallCaps w:val="false"/>
          <w:strike w:val="false"/>
          <w:dstrike w:val="false"/>
          <w:sz w:val="22"/>
          <w:u w:val="none"/>
          <w:effect w:val="none"/>
        </w:rPr>
        <w:t xml:space="preserve">in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second quarter.</w:t>
      </w:r>
      <w:r>
        <w:rPr>
          <w:caps w:val="false"/>
          <w:smallCaps w:val="false"/>
          <w:sz w:val="24"/>
        </w:rPr>
        <w:t xml:space="preserve">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Licensing and other</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Licensing and other revenues are principally comprised of fees from the licensing of the rights to exhibit our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internally-produced television and film programming on various platforms in the secondary market after its initial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exhibition on our owned or third-party platforms; license fees from content produced or distributed for third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parties; home entertainment revenues, which primarily include revenues from the viewing of our content on 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transactional basis through transactional video-on-demand (TVOD) and electronic sell-through services; fees from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use of our trademarks and brands for consumer products, recreation and live events; revenues from games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other interactive content; and revenues from studio rentals and production services.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The increases in licensing and other revenues of </w:t>
      </w:r>
      <w:r>
        <w:rPr>
          <w:rFonts w:ascii="Times New Roman;serif" w:hAnsi="Times New Roman;serif"/>
          <w:b w:val="false"/>
          <w:i w:val="false"/>
          <w:caps w:val="false"/>
          <w:smallCaps w:val="false"/>
          <w:strike w:val="false"/>
          <w:dstrike w:val="false"/>
          <w:sz w:val="22"/>
          <w:u w:val="none"/>
          <w:effect w:val="none"/>
        </w:rPr>
        <w:t>30%</w:t>
      </w:r>
      <w:r>
        <w:rPr>
          <w:caps w:val="false"/>
          <w:smallCaps w:val="false"/>
          <w:sz w:val="24"/>
        </w:rPr>
        <w:t xml:space="preserve"> </w:t>
      </w:r>
      <w:r>
        <w:rPr>
          <w:rFonts w:ascii="Times New Roman;serif" w:hAnsi="Times New Roman;serif"/>
          <w:b w:val="false"/>
          <w:i w:val="false"/>
          <w:caps w:val="false"/>
          <w:smallCaps w:val="false"/>
          <w:sz w:val="20"/>
        </w:rPr>
        <w:t>and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20%</w:t>
      </w:r>
      <w:r>
        <w:rPr>
          <w:caps w:val="false"/>
          <w:smallCaps w:val="false"/>
          <w:sz w:val="24"/>
        </w:rPr>
        <w:t xml:space="preserve"> </w:t>
      </w:r>
      <w:r>
        <w:rPr>
          <w:rFonts w:ascii="Times New Roman;serif" w:hAnsi="Times New Roman;serif"/>
          <w:b w:val="false"/>
          <w:i w:val="false"/>
          <w:caps w:val="false"/>
          <w:smallCaps w:val="false"/>
          <w:sz w:val="22"/>
        </w:rPr>
        <w:t xml:space="preserve">for the </w:t>
      </w:r>
      <w:r>
        <w:rPr>
          <w:rFonts w:ascii="Times New Roman;serif" w:hAnsi="Times New Roman;serif"/>
          <w:b w:val="false"/>
          <w:i w:val="false"/>
          <w:caps w:val="false"/>
          <w:smallCaps w:val="false"/>
          <w:strike w:val="false"/>
          <w:dstrike w:val="false"/>
          <w:sz w:val="22"/>
          <w:u w:val="none"/>
          <w:effect w:val="none"/>
        </w:rPr>
        <w:t>three and 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rFonts w:ascii="Times New Roman;serif" w:hAnsi="Times New Roman;serif"/>
          <w:b w:val="false"/>
          <w:i w:val="false"/>
          <w:caps w:val="false"/>
          <w:smallCaps w:val="false"/>
          <w:sz w:val="22"/>
        </w:rPr>
        <w:t xml:space="preserv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respectively, were driven by the inclusion of Skydance following the Skydance Transactions in August 2025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increases in revenues from secondary market licensing and content produced for third parties.</w:t>
      </w:r>
    </w:p>
    <w:p>
      <w:pPr>
        <w:pStyle w:val="TextBody"/>
        <w:bidi w:val="0"/>
        <w:spacing w:lineRule="atLeast" w:line="220" w:before="0" w:after="0"/>
        <w:jc w:val="left"/>
        <w:rPr/>
      </w:pPr>
      <w:r>
        <w:rPr>
          <w:rFonts w:ascii="Times New Roman;serif" w:hAnsi="Times New Roman;serif"/>
          <w:b w:val="false"/>
          <w:i/>
          <w:sz w:val="22"/>
        </w:rPr>
        <w:t>Operating Expenses</w:t>
      </w:r>
      <w:r>
        <w:rPr>
          <w:caps w:val="false"/>
          <w:smallCaps w:val="false"/>
        </w:rPr>
        <w:t xml:space="preserve"> </w:t>
      </w:r>
    </w:p>
    <w:tbl>
      <w:tblPr>
        <w:tblW w:w="9769" w:type="dxa"/>
        <w:jc w:val="left"/>
        <w:tblInd w:w="0" w:type="dxa"/>
        <w:tblLayout w:type="fixed"/>
        <w:tblCellMar>
          <w:top w:w="28" w:type="dxa"/>
          <w:left w:w="28" w:type="dxa"/>
          <w:bottom w:w="28" w:type="dxa"/>
          <w:right w:w="28" w:type="dxa"/>
        </w:tblCellMar>
      </w:tblPr>
      <w:tblGrid>
        <w:gridCol w:w="2566"/>
        <w:gridCol w:w="109"/>
        <w:gridCol w:w="676"/>
        <w:gridCol w:w="109"/>
        <w:gridCol w:w="109"/>
        <w:gridCol w:w="173"/>
        <w:gridCol w:w="672"/>
        <w:gridCol w:w="174"/>
        <w:gridCol w:w="109"/>
        <w:gridCol w:w="1126"/>
        <w:gridCol w:w="109"/>
        <w:gridCol w:w="676"/>
        <w:gridCol w:w="109"/>
        <w:gridCol w:w="109"/>
        <w:gridCol w:w="173"/>
        <w:gridCol w:w="672"/>
        <w:gridCol w:w="174"/>
        <w:gridCol w:w="109"/>
        <w:gridCol w:w="905"/>
        <w:gridCol w:w="152"/>
        <w:gridCol w:w="758"/>
      </w:tblGrid>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56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20"/>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June 30,</w:t>
            </w:r>
          </w:p>
        </w:tc>
      </w:tr>
      <w:tr>
        <w:trPr/>
        <w:tc>
          <w:tcPr>
            <w:tcW w:w="2566" w:type="dxa"/>
            <w:tcBorders/>
            <w:vAlign w:val="center"/>
          </w:tcPr>
          <w:p>
            <w:pPr>
              <w:pStyle w:val="TableContents"/>
              <w:bidi w:val="0"/>
              <w:spacing w:before="0" w:after="283"/>
              <w:jc w:val="left"/>
              <w:rPr>
                <w:sz w:val="4"/>
                <w:szCs w:val="4"/>
              </w:rPr>
            </w:pPr>
            <w:r>
              <w:rPr>
                <w:sz w:val="4"/>
                <w:szCs w:val="4"/>
              </w:rPr>
            </w:r>
          </w:p>
        </w:tc>
        <w:tc>
          <w:tcPr>
            <w:tcW w:w="1848" w:type="dxa"/>
            <w:gridSpan w:val="6"/>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7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2022" w:type="dxa"/>
            <w:gridSpan w:val="7"/>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 of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Operating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Expenses</w:t>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 of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Operating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r>
      <w:tr>
        <w:trPr/>
        <w:tc>
          <w:tcPr>
            <w:tcW w:w="25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5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Operating expenses by Type: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Content costs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w:t>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w:t>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w:t>
            </w:r>
          </w:p>
        </w:tc>
        <w:tc>
          <w:tcPr>
            <w:tcW w:w="1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Distribution and other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1,176</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c>
          <w:tcPr>
            <w:tcW w:w="17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c>
          <w:tcPr>
            <w:tcW w:w="17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5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r>
        <w:trPr/>
        <w:tc>
          <w:tcPr>
            <w:tcW w:w="256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Operating Expenses</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$4,443</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7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$4,624</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7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$(181)</w:t>
            </w:r>
          </w:p>
        </w:tc>
        <w:tc>
          <w:tcPr>
            <w:tcW w:w="15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r>
    </w:tbl>
    <w:tbl>
      <w:tblPr>
        <w:tblW w:w="9769" w:type="dxa"/>
        <w:jc w:val="left"/>
        <w:tblInd w:w="0" w:type="dxa"/>
        <w:tblLayout w:type="fixed"/>
        <w:tblCellMar>
          <w:top w:w="28" w:type="dxa"/>
          <w:left w:w="28" w:type="dxa"/>
          <w:bottom w:w="28" w:type="dxa"/>
          <w:right w:w="28" w:type="dxa"/>
        </w:tblCellMar>
      </w:tblPr>
      <w:tblGrid>
        <w:gridCol w:w="2566"/>
        <w:gridCol w:w="109"/>
        <w:gridCol w:w="676"/>
        <w:gridCol w:w="109"/>
        <w:gridCol w:w="109"/>
        <w:gridCol w:w="173"/>
        <w:gridCol w:w="672"/>
        <w:gridCol w:w="174"/>
        <w:gridCol w:w="109"/>
        <w:gridCol w:w="1126"/>
        <w:gridCol w:w="109"/>
        <w:gridCol w:w="676"/>
        <w:gridCol w:w="109"/>
        <w:gridCol w:w="109"/>
        <w:gridCol w:w="173"/>
        <w:gridCol w:w="672"/>
        <w:gridCol w:w="174"/>
        <w:gridCol w:w="109"/>
        <w:gridCol w:w="905"/>
        <w:gridCol w:w="152"/>
        <w:gridCol w:w="758"/>
      </w:tblGrid>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56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20"/>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Six Months Ended June 30,</w:t>
            </w:r>
          </w:p>
        </w:tc>
      </w:tr>
      <w:tr>
        <w:trPr/>
        <w:tc>
          <w:tcPr>
            <w:tcW w:w="2566" w:type="dxa"/>
            <w:tcBorders/>
            <w:vAlign w:val="center"/>
          </w:tcPr>
          <w:p>
            <w:pPr>
              <w:pStyle w:val="TableContents"/>
              <w:bidi w:val="0"/>
              <w:spacing w:before="0" w:after="283"/>
              <w:jc w:val="left"/>
              <w:rPr>
                <w:sz w:val="4"/>
                <w:szCs w:val="4"/>
              </w:rPr>
            </w:pPr>
            <w:r>
              <w:rPr>
                <w:sz w:val="4"/>
                <w:szCs w:val="4"/>
              </w:rPr>
            </w:r>
          </w:p>
        </w:tc>
        <w:tc>
          <w:tcPr>
            <w:tcW w:w="1848" w:type="dxa"/>
            <w:gridSpan w:val="6"/>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7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2022" w:type="dxa"/>
            <w:gridSpan w:val="7"/>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 of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Operating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Expenses</w:t>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 of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Operating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r>
      <w:tr>
        <w:trPr/>
        <w:tc>
          <w:tcPr>
            <w:tcW w:w="25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5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Operating expenses by Type: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Content costs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w:t>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w:t>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$(238)</w:t>
            </w:r>
          </w:p>
        </w:tc>
        <w:tc>
          <w:tcPr>
            <w:tcW w:w="1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Distribution and other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2,251</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7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2,300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7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w:t>
            </w:r>
          </w:p>
        </w:tc>
        <w:tc>
          <w:tcPr>
            <w:tcW w:w="15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r>
        <w:trPr/>
        <w:tc>
          <w:tcPr>
            <w:tcW w:w="256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Operating Expenses</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$9,298</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7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$9,585</w:t>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7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$(287)</w:t>
            </w:r>
          </w:p>
        </w:tc>
        <w:tc>
          <w:tcPr>
            <w:tcW w:w="15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Content Costs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Content costs include the amortization of costs of internally-produced television content, theatrical film content,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and interactive game development; amortization of acquired program rights; other television production costs,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including on-air talent; and participation and residuals expenses, which reflect amounts owed to talent and other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participants in our content pursuant to contractual and collective bargaining arrangements.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The decreases of 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and 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for the three- and six-month periods, respectively,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primarily reflect reductions in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programming assets resulting from the pushdown of the Ultimate Parent’s basis and other cost reductions for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broadcast and cable programming, including lower costs for the NCAA Tournament, partially offset by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inclusion of Skydance in the current-year periods and higher sports costs for Paramount+.</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Distribution and Other</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Distribution and other operating expenses primarily include costs </w:t>
      </w:r>
      <w:r>
        <w:rPr>
          <w:rFonts w:ascii="Times New Roman;serif" w:hAnsi="Times New Roman;serif"/>
          <w:b w:val="false"/>
          <w:i w:val="false"/>
          <w:caps w:val="false"/>
          <w:smallCaps w:val="false"/>
          <w:strike w:val="false"/>
          <w:dstrike w:val="false"/>
          <w:sz w:val="22"/>
          <w:u w:val="none"/>
          <w:effect w:val="none"/>
        </w:rPr>
        <w:t xml:space="preserve">relating to the distribution of our content,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including marketing and other costs to support our theatrical releases</w:t>
      </w:r>
      <w:r>
        <w:rPr>
          <w:rFonts w:ascii="Times New Roman;serif" w:hAnsi="Times New Roman;serif"/>
          <w:b w:val="false"/>
          <w:i w:val="false"/>
          <w:caps w:val="false"/>
          <w:smallCaps w:val="false"/>
          <w:sz w:val="22"/>
        </w:rPr>
        <w:t>; revenue-sharing costs, including for third-</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party distribution and to television stations affiliated with the CBS Television Network; compensation; and other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costs associated with our operations.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Distribution and other operating expenses decreased </w:t>
      </w:r>
      <w:r>
        <w:rPr>
          <w:rFonts w:ascii="Times New Roman;serif" w:hAnsi="Times New Roman;serif"/>
          <w:b w:val="false"/>
          <w:i w:val="false"/>
          <w:caps w:val="false"/>
          <w:smallCaps w:val="false"/>
          <w:strike w:val="false"/>
          <w:dstrike w:val="false"/>
          <w:sz w:val="22"/>
          <w:u w:val="none"/>
          <w:effect w:val="none"/>
        </w:rPr>
        <w:t>2%</w:t>
      </w:r>
      <w:r>
        <w:rPr>
          <w:caps w:val="false"/>
          <w:smallCaps w:val="false"/>
          <w:sz w:val="24"/>
        </w:rPr>
        <w:t xml:space="preserve"> </w:t>
      </w:r>
      <w:r>
        <w:rPr>
          <w:rFonts w:ascii="Times New Roman;serif" w:hAnsi="Times New Roman;serif"/>
          <w:b w:val="false"/>
          <w:i w:val="false"/>
          <w:caps w:val="false"/>
          <w:smallCaps w:val="false"/>
          <w:sz w:val="22"/>
        </w:rPr>
        <w:t xml:space="preserve">for each of the three- and six-month periods ended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June 30, 2026</w:t>
      </w:r>
      <w:r>
        <w:rPr>
          <w:rFonts w:ascii="Times New Roman;serif" w:hAnsi="Times New Roman;serif"/>
          <w:b w:val="false"/>
          <w:i w:val="false"/>
          <w:caps w:val="false"/>
          <w:smallCaps w:val="false"/>
          <w:sz w:val="22"/>
        </w:rPr>
        <w:t xml:space="preserve">, </w:t>
      </w:r>
      <w:r>
        <w:rPr>
          <w:rFonts w:ascii="Times New Roman;serif" w:hAnsi="Times New Roman;serif"/>
          <w:b w:val="false"/>
          <w:i w:val="false"/>
          <w:caps w:val="false"/>
          <w:smallCaps w:val="false"/>
          <w:strike w:val="false"/>
          <w:dstrike w:val="false"/>
          <w:sz w:val="22"/>
          <w:u w:val="none"/>
          <w:effect w:val="none"/>
        </w:rPr>
        <w:t xml:space="preserve">primarily reflecting lower costs for the distribution of theatrical releases, driven by costs for </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Mission: Impossible - The Final Reckoning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in 2025, partially offset by higher revenue sharing costs for our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streaming services, mainly for third-party distribution.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Selling, General and Administrative Expenses</w:t>
      </w:r>
    </w:p>
    <w:tbl>
      <w:tblPr>
        <w:tblW w:w="7123" w:type="dxa"/>
        <w:jc w:val="left"/>
        <w:tblInd w:w="0" w:type="dxa"/>
        <w:tblLayout w:type="fixed"/>
        <w:tblCellMar>
          <w:top w:w="28" w:type="dxa"/>
          <w:left w:w="28" w:type="dxa"/>
          <w:bottom w:w="28" w:type="dxa"/>
          <w:right w:w="28" w:type="dxa"/>
        </w:tblCellMar>
      </w:tblPr>
      <w:tblGrid>
        <w:gridCol w:w="2191"/>
        <w:gridCol w:w="169"/>
        <w:gridCol w:w="1054"/>
        <w:gridCol w:w="172"/>
        <w:gridCol w:w="109"/>
        <w:gridCol w:w="109"/>
        <w:gridCol w:w="169"/>
        <w:gridCol w:w="1055"/>
        <w:gridCol w:w="171"/>
        <w:gridCol w:w="109"/>
        <w:gridCol w:w="169"/>
        <w:gridCol w:w="654"/>
        <w:gridCol w:w="169"/>
        <w:gridCol w:w="584"/>
        <w:gridCol w:w="239"/>
      </w:tblGrid>
      <w:tr>
        <w:trPr/>
        <w:tc>
          <w:tcPr>
            <w:tcW w:w="21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19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815" w:type="dxa"/>
            <w:gridSpan w:val="5"/>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r>
      <w:tr>
        <w:trPr/>
        <w:tc>
          <w:tcPr>
            <w:tcW w:w="2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5"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Selling, general and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administrative expenses</w:t>
            </w:r>
          </w:p>
        </w:tc>
        <w:tc>
          <w:tcPr>
            <w:tcW w:w="16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$1,443</w:t>
            </w:r>
          </w:p>
        </w:tc>
        <w:tc>
          <w:tcPr>
            <w:tcW w:w="17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5"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$1,401</w:t>
            </w:r>
          </w:p>
        </w:tc>
        <w:tc>
          <w:tcPr>
            <w:tcW w:w="17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5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16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23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7122" w:type="dxa"/>
        <w:jc w:val="left"/>
        <w:tblInd w:w="0" w:type="dxa"/>
        <w:tblLayout w:type="fixed"/>
        <w:tblCellMar>
          <w:top w:w="28" w:type="dxa"/>
          <w:left w:w="28" w:type="dxa"/>
          <w:bottom w:w="28" w:type="dxa"/>
          <w:right w:w="28" w:type="dxa"/>
        </w:tblCellMar>
      </w:tblPr>
      <w:tblGrid>
        <w:gridCol w:w="2191"/>
        <w:gridCol w:w="169"/>
        <w:gridCol w:w="1054"/>
        <w:gridCol w:w="172"/>
        <w:gridCol w:w="109"/>
        <w:gridCol w:w="109"/>
        <w:gridCol w:w="169"/>
        <w:gridCol w:w="1055"/>
        <w:gridCol w:w="171"/>
        <w:gridCol w:w="109"/>
        <w:gridCol w:w="140"/>
        <w:gridCol w:w="697"/>
        <w:gridCol w:w="140"/>
        <w:gridCol w:w="639"/>
        <w:gridCol w:w="198"/>
      </w:tblGrid>
      <w:tr>
        <w:trPr/>
        <w:tc>
          <w:tcPr>
            <w:tcW w:w="21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19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5"/>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r>
      <w:tr>
        <w:trPr/>
        <w:tc>
          <w:tcPr>
            <w:tcW w:w="2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5"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9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Selling, general and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administrative expenses</w:t>
            </w:r>
          </w:p>
        </w:tc>
        <w:tc>
          <w:tcPr>
            <w:tcW w:w="16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$2,854</w:t>
            </w:r>
          </w:p>
        </w:tc>
        <w:tc>
          <w:tcPr>
            <w:tcW w:w="17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5"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$2,944</w:t>
            </w:r>
          </w:p>
        </w:tc>
        <w:tc>
          <w:tcPr>
            <w:tcW w:w="17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7"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w:t>
            </w:r>
          </w:p>
        </w:tc>
        <w:tc>
          <w:tcPr>
            <w:tcW w:w="14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9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Selling, general and administrative (“SG&amp;A”) expenses include costs incurred for advertising and marketing for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linear networks and streaming services, research, occupancy, professional service fees, and back office support,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including employee compensation (inclusive of stock-based compensation expense) and technology. SG&amp;A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expenses increased </w:t>
      </w:r>
      <w:r>
        <w:rPr>
          <w:rFonts w:ascii="Times New Roman;serif" w:hAnsi="Times New Roman;serif"/>
          <w:b w:val="false"/>
          <w:i w:val="false"/>
          <w:caps w:val="false"/>
          <w:smallCaps w:val="false"/>
          <w:strike w:val="false"/>
          <w:dstrike w:val="false"/>
          <w:sz w:val="22"/>
          <w:u w:val="none"/>
          <w:effect w:val="none"/>
        </w:rPr>
        <w:t>3%</w:t>
      </w:r>
      <w:r>
        <w:rPr>
          <w:caps w:val="false"/>
          <w:smallCaps w:val="false"/>
          <w:sz w:val="24"/>
        </w:rPr>
        <w:t xml:space="preserve"> </w:t>
      </w:r>
      <w:r>
        <w:rPr>
          <w:rFonts w:ascii="Times New Roman;serif" w:hAnsi="Times New Roman;serif"/>
          <w:b w:val="false"/>
          <w:i w:val="false"/>
          <w:caps w:val="false"/>
          <w:smallCaps w:val="false"/>
          <w:sz w:val="22"/>
        </w:rPr>
        <w:t xml:space="preserve">for the three-month period, primarily reflecting higher costs for technology and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professional services. SG&amp;A expenses decreased </w:t>
      </w:r>
      <w:r>
        <w:rPr>
          <w:rFonts w:ascii="Times New Roman;serif" w:hAnsi="Times New Roman;serif"/>
          <w:b w:val="false"/>
          <w:i w:val="false"/>
          <w:caps w:val="false"/>
          <w:smallCaps w:val="false"/>
          <w:strike w:val="false"/>
          <w:dstrike w:val="false"/>
          <w:sz w:val="22"/>
          <w:u w:val="none"/>
          <w:effect w:val="none"/>
        </w:rPr>
        <w:t>3%</w:t>
      </w:r>
      <w:r>
        <w:rPr>
          <w:rFonts w:ascii="Times New Roman;serif" w:hAnsi="Times New Roman;serif"/>
          <w:b w:val="false"/>
          <w:i w:val="false"/>
          <w:caps w:val="false"/>
          <w:smallCaps w:val="false"/>
          <w:sz w:val="22"/>
        </w:rPr>
        <w:t xml:space="preserve">, for the six-month period, primarily reflecting lower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marketing costs and lower compensation costs resulting from our workforce restructuring activities, partially offset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by higher costs for technology and professional services.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Depreciation and Amortization</w:t>
      </w:r>
    </w:p>
    <w:tbl>
      <w:tblPr>
        <w:tblW w:w="8652" w:type="dxa"/>
        <w:jc w:val="left"/>
        <w:tblInd w:w="0" w:type="dxa"/>
        <w:tblLayout w:type="fixed"/>
        <w:tblCellMar>
          <w:top w:w="28" w:type="dxa"/>
          <w:left w:w="28" w:type="dxa"/>
          <w:bottom w:w="28" w:type="dxa"/>
          <w:right w:w="28" w:type="dxa"/>
        </w:tblCellMar>
      </w:tblPr>
      <w:tblGrid>
        <w:gridCol w:w="2596"/>
        <w:gridCol w:w="203"/>
        <w:gridCol w:w="986"/>
        <w:gridCol w:w="205"/>
        <w:gridCol w:w="109"/>
        <w:gridCol w:w="1126"/>
        <w:gridCol w:w="237"/>
        <w:gridCol w:w="918"/>
        <w:gridCol w:w="240"/>
        <w:gridCol w:w="109"/>
        <w:gridCol w:w="762"/>
        <w:gridCol w:w="158"/>
        <w:gridCol w:w="849"/>
        <w:gridCol w:w="154"/>
      </w:tblGrid>
      <w:tr>
        <w:trPr/>
        <w:tc>
          <w:tcPr>
            <w:tcW w:w="25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395"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5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Depreciation and amortization</w:t>
            </w:r>
          </w:p>
        </w:tc>
        <w:tc>
          <w:tcPr>
            <w:tcW w:w="20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$364</w:t>
            </w:r>
          </w:p>
        </w:tc>
        <w:tc>
          <w:tcPr>
            <w:tcW w:w="20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w:t>
            </w:r>
          </w:p>
        </w:tc>
        <w:tc>
          <w:tcPr>
            <w:tcW w:w="24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$277</w:t>
            </w:r>
          </w:p>
        </w:tc>
        <w:tc>
          <w:tcPr>
            <w:tcW w:w="15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318%</w:t>
            </w:r>
          </w:p>
        </w:tc>
        <w:tc>
          <w:tcPr>
            <w:tcW w:w="15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8651" w:type="dxa"/>
        <w:jc w:val="left"/>
        <w:tblInd w:w="0" w:type="dxa"/>
        <w:tblLayout w:type="fixed"/>
        <w:tblCellMar>
          <w:top w:w="28" w:type="dxa"/>
          <w:left w:w="28" w:type="dxa"/>
          <w:bottom w:w="28" w:type="dxa"/>
          <w:right w:w="28" w:type="dxa"/>
        </w:tblCellMar>
      </w:tblPr>
      <w:tblGrid>
        <w:gridCol w:w="2596"/>
        <w:gridCol w:w="203"/>
        <w:gridCol w:w="986"/>
        <w:gridCol w:w="205"/>
        <w:gridCol w:w="109"/>
        <w:gridCol w:w="1126"/>
        <w:gridCol w:w="204"/>
        <w:gridCol w:w="986"/>
        <w:gridCol w:w="204"/>
        <w:gridCol w:w="109"/>
        <w:gridCol w:w="762"/>
        <w:gridCol w:w="158"/>
        <w:gridCol w:w="849"/>
        <w:gridCol w:w="154"/>
      </w:tblGrid>
      <w:tr>
        <w:trPr/>
        <w:tc>
          <w:tcPr>
            <w:tcW w:w="25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394"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5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Depreciation and amortization</w:t>
            </w:r>
          </w:p>
        </w:tc>
        <w:tc>
          <w:tcPr>
            <w:tcW w:w="20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$726</w:t>
            </w:r>
          </w:p>
        </w:tc>
        <w:tc>
          <w:tcPr>
            <w:tcW w:w="20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w:t>
            </w:r>
          </w:p>
        </w:tc>
        <w:tc>
          <w:tcPr>
            <w:tcW w:w="20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$551</w:t>
            </w:r>
          </w:p>
        </w:tc>
        <w:tc>
          <w:tcPr>
            <w:tcW w:w="15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315%</w:t>
            </w:r>
          </w:p>
        </w:tc>
        <w:tc>
          <w:tcPr>
            <w:tcW w:w="15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0"/>
        <w:jc w:val="left"/>
        <w:rPr/>
      </w:pPr>
      <w:r>
        <w:rPr>
          <w:rFonts w:ascii="Times New Roman;serif" w:hAnsi="Times New Roman;serif"/>
          <w:b w:val="false"/>
          <w:i w:val="false"/>
          <w:caps w:val="false"/>
          <w:smallCaps w:val="false"/>
          <w:sz w:val="22"/>
        </w:rPr>
        <w:t>Depreciation and amortization expense reflects depreciation of fixed assets</w:t>
      </w:r>
      <w:r>
        <w:rPr>
          <w:caps w:val="false"/>
          <w:smallCaps w:val="false"/>
        </w:rPr>
        <w:t xml:space="preserve"> </w:t>
      </w:r>
      <w:r>
        <w:rPr>
          <w:rFonts w:ascii="Times New Roman;serif" w:hAnsi="Times New Roman;serif"/>
          <w:b w:val="false"/>
          <w:i w:val="false"/>
          <w:caps w:val="false"/>
          <w:smallCaps w:val="false"/>
          <w:sz w:val="22"/>
        </w:rPr>
        <w:t xml:space="preserve">and amortization of finite-lived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intangible assets. The increase primarily reflects amortization of intangible assets established in connection with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pushdown of the Ultimate Parent’s basis (See Note 2 to the consolidated financial statements).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Impairment Charges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During the second quarter of 2025, we performed interim impairment tests of FCC licenses in six markets, which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resulted in an impairment charge of $157 million to write down the carrying values of FCC licenses in these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markets to their then aggregate estimated fair value.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Restructuring and Transaction-Related Items</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During the </w:t>
      </w:r>
      <w:r>
        <w:rPr>
          <w:rFonts w:ascii="Times New Roman;serif" w:hAnsi="Times New Roman;serif"/>
          <w:b w:val="false"/>
          <w:i w:val="false"/>
          <w:caps w:val="false"/>
          <w:smallCaps w:val="false"/>
          <w:strike w:val="false"/>
          <w:dstrike w:val="false"/>
          <w:sz w:val="22"/>
          <w:u w:val="none"/>
          <w:effect w:val="none"/>
        </w:rPr>
        <w:t>three and 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 and 2025</w:t>
      </w:r>
      <w:r>
        <w:rPr>
          <w:rFonts w:ascii="Times New Roman;serif" w:hAnsi="Times New Roman;serif"/>
          <w:b w:val="false"/>
          <w:i w:val="false"/>
          <w:caps w:val="false"/>
          <w:smallCaps w:val="false"/>
          <w:sz w:val="22"/>
        </w:rPr>
        <w:t xml:space="preserve">, we recorded the following restructuring charges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and transaction-related items.</w:t>
      </w:r>
    </w:p>
    <w:tbl>
      <w:tblPr>
        <w:tblW w:w="10205" w:type="dxa"/>
        <w:jc w:val="left"/>
        <w:tblInd w:w="0" w:type="dxa"/>
        <w:tblLayout w:type="fixed"/>
        <w:tblCellMar>
          <w:top w:w="28" w:type="dxa"/>
          <w:left w:w="28" w:type="dxa"/>
          <w:bottom w:w="28" w:type="dxa"/>
          <w:right w:w="28" w:type="dxa"/>
        </w:tblCellMar>
      </w:tblPr>
      <w:tblGrid>
        <w:gridCol w:w="3109"/>
        <w:gridCol w:w="199"/>
        <w:gridCol w:w="970"/>
        <w:gridCol w:w="201"/>
        <w:gridCol w:w="109"/>
        <w:gridCol w:w="109"/>
        <w:gridCol w:w="201"/>
        <w:gridCol w:w="976"/>
        <w:gridCol w:w="203"/>
        <w:gridCol w:w="109"/>
        <w:gridCol w:w="199"/>
        <w:gridCol w:w="970"/>
        <w:gridCol w:w="201"/>
        <w:gridCol w:w="109"/>
        <w:gridCol w:w="1126"/>
        <w:gridCol w:w="194"/>
        <w:gridCol w:w="939"/>
        <w:gridCol w:w="281"/>
      </w:tblGrid>
      <w:tr>
        <w:trPr/>
        <w:tc>
          <w:tcPr>
            <w:tcW w:w="3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414"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09" w:type="dxa"/>
            <w:tcBorders/>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r>
      <w:tr>
        <w:trPr/>
        <w:tc>
          <w:tcPr>
            <w:tcW w:w="3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310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Severance</w:t>
            </w:r>
            <w:r>
              <w:rPr>
                <w:caps w:val="false"/>
                <w:smallCaps w:val="false"/>
              </w:rPr>
              <w:t xml:space="preserve"> </w:t>
            </w:r>
            <w:r>
              <w:rPr>
                <w:rFonts w:ascii="Times New Roman;serif" w:hAnsi="Times New Roman;serif"/>
                <w:b w:val="false"/>
                <w:i w:val="false"/>
                <w:caps w:val="false"/>
                <w:smallCaps w:val="false"/>
                <w:sz w:val="13"/>
              </w:rPr>
              <w:t>(a)</w:t>
            </w:r>
          </w:p>
        </w:tc>
        <w:tc>
          <w:tcPr>
            <w:tcW w:w="1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w:t>
            </w:r>
          </w:p>
        </w:tc>
        <w:tc>
          <w:tcPr>
            <w:tcW w:w="20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w:t>
            </w:r>
          </w:p>
        </w:tc>
        <w:tc>
          <w:tcPr>
            <w:tcW w:w="2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Exit costs</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0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0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Restructuring charges </w:t>
            </w:r>
          </w:p>
        </w:tc>
        <w:tc>
          <w:tcPr>
            <w:tcW w:w="1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w:t>
            </w:r>
          </w:p>
        </w:tc>
        <w:tc>
          <w:tcPr>
            <w:tcW w:w="20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242</w:t>
            </w:r>
          </w:p>
        </w:tc>
        <w:tc>
          <w:tcPr>
            <w:tcW w:w="2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Transaction-related items</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20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0"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0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Restructuring and transaction-related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items</w:t>
            </w:r>
          </w:p>
        </w:tc>
        <w:tc>
          <w:tcPr>
            <w:tcW w:w="19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$188</w:t>
            </w:r>
          </w:p>
        </w:tc>
        <w:tc>
          <w:tcPr>
            <w:tcW w:w="20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$181</w:t>
            </w:r>
          </w:p>
        </w:tc>
        <w:tc>
          <w:tcPr>
            <w:tcW w:w="20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0"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$291</w:t>
            </w:r>
          </w:p>
        </w:tc>
        <w:tc>
          <w:tcPr>
            <w:tcW w:w="20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$266</w:t>
            </w:r>
          </w:p>
        </w:tc>
        <w:tc>
          <w:tcPr>
            <w:tcW w:w="28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Severance costs include the accelerated vesting of stock-based compensation.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both"/>
        <w:rPr>
          <w:rFonts w:ascii="Times New Roman;serif" w:hAnsi="Times New Roman;serif"/>
          <w:b w:val="false"/>
          <w:i/>
          <w:sz w:val="22"/>
          <w:u w:val="single"/>
        </w:rPr>
      </w:pPr>
      <w:r>
        <w:rPr>
          <w:rFonts w:ascii="Times New Roman;serif" w:hAnsi="Times New Roman;serif"/>
          <w:b w:val="false"/>
          <w:i/>
          <w:sz w:val="22"/>
          <w:u w:val="single"/>
        </w:rPr>
        <w:t>Restructuring Charges</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During the second quarter of </w:t>
      </w:r>
      <w:r>
        <w:rPr>
          <w:rFonts w:ascii="Times New Roman;serif" w:hAnsi="Times New Roman;serif"/>
          <w:b w:val="false"/>
          <w:i w:val="false"/>
          <w:caps w:val="false"/>
          <w:smallCaps w:val="false"/>
          <w:strike w:val="false"/>
          <w:dstrike w:val="false"/>
          <w:sz w:val="22"/>
          <w:u w:val="none"/>
          <w:effect w:val="none"/>
        </w:rPr>
        <w:t>2026</w:t>
      </w:r>
      <w:r>
        <w:rPr>
          <w:rFonts w:ascii="Times New Roman;serif" w:hAnsi="Times New Roman;serif"/>
          <w:b w:val="false"/>
          <w:i w:val="false"/>
          <w:caps w:val="false"/>
          <w:smallCaps w:val="false"/>
          <w:sz w:val="22"/>
        </w:rPr>
        <w:t xml:space="preserve">, we recorded restructuring severance costs of  </w:t>
      </w:r>
      <w:r>
        <w:rPr>
          <w:rFonts w:ascii="Times New Roman;serif" w:hAnsi="Times New Roman;serif"/>
          <w:b w:val="false"/>
          <w:i w:val="false"/>
          <w:caps w:val="false"/>
          <w:smallCaps w:val="false"/>
          <w:strike w:val="false"/>
          <w:dstrike w:val="false"/>
          <w:sz w:val="22"/>
          <w:u w:val="none"/>
          <w:effect w:val="none"/>
        </w:rPr>
        <w:t>$35 million</w:t>
      </w:r>
      <w:r>
        <w:rPr>
          <w:caps w:val="false"/>
          <w:smallCaps w:val="false"/>
          <w:sz w:val="24"/>
        </w:rPr>
        <w:t xml:space="preserve"> </w:t>
      </w:r>
      <w:r>
        <w:rPr>
          <w:rFonts w:ascii="Times New Roman;serif" w:hAnsi="Times New Roman;serif"/>
          <w:b w:val="false"/>
          <w:i w:val="false"/>
          <w:caps w:val="false"/>
          <w:smallCaps w:val="false"/>
          <w:sz w:val="22"/>
        </w:rPr>
        <w:t xml:space="preserve">associated with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changes in management and aligning the business around our strategic priorities following the Skydance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Transactions, including costs related to a plan under which severance payments are being provided to certain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eligible employees who voluntarily elected to participate.</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Restructuring charges for the </w:t>
      </w:r>
      <w:r>
        <w:rPr>
          <w:rFonts w:ascii="Times New Roman;serif" w:hAnsi="Times New Roman;serif"/>
          <w:b w:val="false"/>
          <w:i w:val="false"/>
          <w:caps w:val="false"/>
          <w:smallCaps w:val="false"/>
          <w:strike w:val="false"/>
          <w:dstrike w:val="false"/>
          <w:sz w:val="22"/>
          <w:u w:val="none"/>
          <w:effect w:val="none"/>
        </w:rPr>
        <w:t>three and 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2025</w:t>
      </w:r>
      <w:r>
        <w:rPr>
          <w:caps w:val="false"/>
          <w:smallCaps w:val="false"/>
          <w:sz w:val="24"/>
        </w:rPr>
        <w:t xml:space="preserve"> </w:t>
      </w:r>
      <w:r>
        <w:rPr>
          <w:rFonts w:ascii="Times New Roman;serif" w:hAnsi="Times New Roman;serif"/>
          <w:b w:val="false"/>
          <w:i w:val="false"/>
          <w:caps w:val="false"/>
          <w:smallCaps w:val="false"/>
          <w:sz w:val="22"/>
        </w:rPr>
        <w:t xml:space="preserve">included severance costs of </w:t>
      </w:r>
      <w:r>
        <w:rPr>
          <w:rFonts w:ascii="Times New Roman;serif" w:hAnsi="Times New Roman;serif"/>
          <w:b w:val="false"/>
          <w:i w:val="false"/>
          <w:caps w:val="false"/>
          <w:smallCaps w:val="false"/>
          <w:strike w:val="false"/>
          <w:dstrike w:val="false"/>
          <w:sz w:val="22"/>
          <w:u w:val="none"/>
          <w:effect w:val="none"/>
        </w:rPr>
        <w:t>$177 million</w:t>
      </w:r>
      <w:r>
        <w:rPr>
          <w:caps w:val="false"/>
          <w:smallCaps w:val="false"/>
          <w:sz w:val="24"/>
        </w:rPr>
        <w:t xml:space="preserv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associated with strategic changes in our global workforce in order to streamline our organization. In addition,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during the six months ended </w:t>
      </w:r>
      <w:r>
        <w:rPr>
          <w:rFonts w:ascii="Times New Roman;serif" w:hAnsi="Times New Roman;serif"/>
          <w:b w:val="false"/>
          <w:i w:val="false"/>
          <w:caps w:val="false"/>
          <w:smallCaps w:val="false"/>
          <w:strike w:val="false"/>
          <w:dstrike w:val="false"/>
          <w:sz w:val="22"/>
          <w:u w:val="none"/>
          <w:effect w:val="none"/>
        </w:rPr>
        <w:t>June 30, 2025</w:t>
      </w:r>
      <w:r>
        <w:rPr>
          <w:rFonts w:ascii="Times New Roman;serif" w:hAnsi="Times New Roman;serif"/>
          <w:b w:val="false"/>
          <w:i w:val="false"/>
          <w:caps w:val="false"/>
          <w:smallCaps w:val="false"/>
          <w:sz w:val="22"/>
        </w:rPr>
        <w:t xml:space="preserve">, we recorded exit costs of </w:t>
      </w:r>
      <w:r>
        <w:rPr>
          <w:rFonts w:ascii="Times New Roman;serif" w:hAnsi="Times New Roman;serif"/>
          <w:b w:val="false"/>
          <w:i w:val="false"/>
          <w:caps w:val="false"/>
          <w:smallCaps w:val="false"/>
          <w:strike w:val="false"/>
          <w:dstrike w:val="false"/>
          <w:sz w:val="22"/>
          <w:u w:val="none"/>
          <w:effect w:val="none"/>
        </w:rPr>
        <w:t>$65 million</w:t>
      </w:r>
      <w:r>
        <w:rPr>
          <w:rFonts w:ascii="Times New Roman;serif" w:hAnsi="Times New Roman;serif"/>
          <w:b w:val="false"/>
          <w:i w:val="false"/>
          <w:caps w:val="false"/>
          <w:smallCaps w:val="false"/>
          <w:sz w:val="22"/>
        </w:rPr>
        <w:t xml:space="preserve">, primarily for the impairment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lease assets that we ceased use of in connection with initiatives to reduce our real estate footprint. </w:t>
      </w:r>
    </w:p>
    <w:p>
      <w:pPr>
        <w:pStyle w:val="TextBody"/>
        <w:bidi w:val="0"/>
        <w:spacing w:lineRule="atLeast" w:line="220" w:before="0" w:after="0"/>
        <w:jc w:val="both"/>
        <w:rPr>
          <w:rFonts w:ascii="Times New Roman;serif" w:hAnsi="Times New Roman;serif"/>
          <w:b w:val="false"/>
          <w:i/>
          <w:sz w:val="22"/>
          <w:u w:val="single"/>
        </w:rPr>
      </w:pPr>
      <w:r>
        <w:rPr>
          <w:rFonts w:ascii="Times New Roman;serif" w:hAnsi="Times New Roman;serif"/>
          <w:b w:val="false"/>
          <w:i/>
          <w:sz w:val="22"/>
          <w:u w:val="single"/>
        </w:rPr>
        <w:t>Transaction-Related Items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Transaction-related items include costs directly associated with prospective and completed mergers and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acquisitions, as well as related integration </w:t>
      </w:r>
      <w:r>
        <w:rPr>
          <w:rFonts w:ascii="Times New Roman;serif" w:hAnsi="Times New Roman;serif"/>
          <w:b w:val="false"/>
          <w:i w:val="false"/>
          <w:caps w:val="false"/>
          <w:smallCaps w:val="false"/>
          <w:strike w:val="false"/>
          <w:dstrike w:val="false"/>
          <w:sz w:val="22"/>
          <w:u w:val="none"/>
          <w:effect w:val="none"/>
        </w:rPr>
        <w:t>activities</w:t>
      </w:r>
      <w:r>
        <w:rPr>
          <w:rFonts w:ascii="Times New Roman;serif" w:hAnsi="Times New Roman;serif"/>
          <w:b w:val="false"/>
          <w:i w:val="false"/>
          <w:caps w:val="false"/>
          <w:smallCaps w:val="false"/>
          <w:sz w:val="22"/>
        </w:rPr>
        <w:t xml:space="preserve">. During the </w:t>
      </w:r>
      <w:r>
        <w:rPr>
          <w:rFonts w:ascii="Times New Roman;serif" w:hAnsi="Times New Roman;serif"/>
          <w:b w:val="false"/>
          <w:i w:val="false"/>
          <w:caps w:val="false"/>
          <w:smallCaps w:val="false"/>
          <w:strike w:val="false"/>
          <w:dstrike w:val="false"/>
          <w:sz w:val="22"/>
          <w:u w:val="none"/>
          <w:effect w:val="none"/>
        </w:rPr>
        <w:t>three and 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rFonts w:ascii="Times New Roman;serif" w:hAnsi="Times New Roman;serif"/>
          <w:b w:val="false"/>
          <w:i w:val="false"/>
          <w:caps w:val="false"/>
          <w:smallCaps w:val="false"/>
          <w:sz w:val="22"/>
        </w:rPr>
        <w:t xml:space="preserve">, we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recorded transaction-related costs of </w:t>
      </w:r>
      <w:r>
        <w:rPr>
          <w:rFonts w:ascii="Times New Roman;serif" w:hAnsi="Times New Roman;serif"/>
          <w:b w:val="false"/>
          <w:i w:val="false"/>
          <w:caps w:val="false"/>
          <w:smallCaps w:val="false"/>
          <w:strike w:val="false"/>
          <w:dstrike w:val="false"/>
          <w:sz w:val="22"/>
          <w:u w:val="none"/>
          <w:effect w:val="none"/>
        </w:rPr>
        <w:t>$153 million</w:t>
      </w:r>
      <w:r>
        <w:rPr>
          <w:caps w:val="false"/>
          <w:smallCaps w:val="false"/>
          <w:sz w:val="24"/>
        </w:rPr>
        <w:t xml:space="preserve"> </w:t>
      </w:r>
      <w:r>
        <w:rPr>
          <w:rFonts w:ascii="Times New Roman;serif" w:hAnsi="Times New Roman;serif"/>
          <w:b w:val="false"/>
          <w:i w:val="false"/>
          <w:caps w:val="false"/>
          <w:smallCaps w:val="false"/>
          <w:sz w:val="22"/>
        </w:rPr>
        <w:t>and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$256 million</w:t>
      </w:r>
      <w:r>
        <w:rPr>
          <w:rFonts w:ascii="Times New Roman;serif" w:hAnsi="Times New Roman;serif"/>
          <w:b w:val="false"/>
          <w:i w:val="false"/>
          <w:caps w:val="false"/>
          <w:smallCaps w:val="false"/>
          <w:sz w:val="22"/>
        </w:rPr>
        <w:t xml:space="preserve">, respectively, principally for legal, advisory,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and other professional fees associated with the planned WBD Merger and related integration. During the </w:t>
      </w:r>
      <w:r>
        <w:rPr>
          <w:rFonts w:ascii="Times New Roman;serif" w:hAnsi="Times New Roman;serif"/>
          <w:b w:val="false"/>
          <w:i w:val="false"/>
          <w:caps w:val="false"/>
          <w:smallCaps w:val="false"/>
          <w:strike w:val="false"/>
          <w:dstrike w:val="false"/>
          <w:sz w:val="22"/>
          <w:u w:val="none"/>
          <w:effect w:val="none"/>
        </w:rPr>
        <w:t xml:space="preserve">three and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2025</w:t>
      </w:r>
      <w:r>
        <w:rPr>
          <w:rFonts w:ascii="Times New Roman;serif" w:hAnsi="Times New Roman;serif"/>
          <w:b w:val="false"/>
          <w:i w:val="false"/>
          <w:caps w:val="false"/>
          <w:smallCaps w:val="false"/>
          <w:sz w:val="22"/>
        </w:rPr>
        <w:t xml:space="preserve">, we recorded legal, advisory, and other professional fees relating to the Skydance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Transactions of </w:t>
      </w:r>
      <w:r>
        <w:rPr>
          <w:rFonts w:ascii="Times New Roman;serif" w:hAnsi="Times New Roman;serif"/>
          <w:b w:val="false"/>
          <w:i w:val="false"/>
          <w:caps w:val="false"/>
          <w:smallCaps w:val="false"/>
          <w:strike w:val="false"/>
          <w:dstrike w:val="false"/>
          <w:sz w:val="22"/>
          <w:u w:val="none"/>
          <w:effect w:val="none"/>
        </w:rPr>
        <w:t>$4 million</w:t>
      </w:r>
      <w:r>
        <w:rPr>
          <w:caps w:val="false"/>
          <w:smallCaps w:val="false"/>
          <w:sz w:val="24"/>
        </w:rPr>
        <w:t xml:space="preserve"> </w:t>
      </w:r>
      <w:r>
        <w:rPr>
          <w:rFonts w:ascii="Times New Roman;serif" w:hAnsi="Times New Roman;serif"/>
          <w:b w:val="false"/>
          <w:i w:val="false"/>
          <w:caps w:val="false"/>
          <w:smallCaps w:val="false"/>
          <w:sz w:val="22"/>
        </w:rPr>
        <w:t xml:space="preserve">and </w:t>
      </w:r>
      <w:r>
        <w:rPr>
          <w:rFonts w:ascii="Times New Roman;serif" w:hAnsi="Times New Roman;serif"/>
          <w:b w:val="false"/>
          <w:i w:val="false"/>
          <w:caps w:val="false"/>
          <w:smallCaps w:val="false"/>
          <w:strike w:val="false"/>
          <w:dstrike w:val="false"/>
          <w:sz w:val="22"/>
          <w:u w:val="none"/>
          <w:effect w:val="none"/>
        </w:rPr>
        <w:t>$24 million</w:t>
      </w:r>
      <w:r>
        <w:rPr>
          <w:rFonts w:ascii="Times New Roman;serif" w:hAnsi="Times New Roman;serif"/>
          <w:b w:val="false"/>
          <w:i w:val="false"/>
          <w:caps w:val="false"/>
          <w:smallCaps w:val="false"/>
          <w:sz w:val="22"/>
        </w:rPr>
        <w:t>, respectively.</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Gain on Dispositions</w:t>
      </w:r>
    </w:p>
    <w:p>
      <w:pPr>
        <w:pStyle w:val="TextBody"/>
        <w:bidi w:val="0"/>
        <w:spacing w:lineRule="atLeast" w:line="220" w:before="0" w:after="0"/>
        <w:jc w:val="both"/>
        <w:rPr>
          <w:sz w:val="24"/>
          <w:u w:val="single"/>
        </w:rPr>
      </w:pPr>
      <w:r>
        <w:rPr>
          <w:rFonts w:ascii="Times New Roman;serif" w:hAnsi="Times New Roman;serif"/>
          <w:b w:val="false"/>
          <w:i w:val="false"/>
          <w:caps w:val="false"/>
          <w:smallCaps w:val="false"/>
          <w:sz w:val="22"/>
          <w:u w:val="single"/>
        </w:rPr>
        <w:t xml:space="preserve">During the first quarter of 2025, we recorded a gain on dispositions totaling </w:t>
      </w:r>
      <w:r>
        <w:rPr>
          <w:rFonts w:ascii="Times New Roman;serif" w:hAnsi="Times New Roman;serif"/>
          <w:b w:val="false"/>
          <w:i w:val="false"/>
          <w:caps w:val="false"/>
          <w:smallCaps w:val="false"/>
          <w:strike w:val="false"/>
          <w:dstrike w:val="false"/>
          <w:sz w:val="22"/>
          <w:u w:val="none"/>
          <w:effect w:val="none"/>
        </w:rPr>
        <w:t>$35 million</w:t>
      </w:r>
      <w:r>
        <w:rPr>
          <w:rFonts w:ascii="Times New Roman;serif" w:hAnsi="Times New Roman;serif"/>
          <w:b w:val="false"/>
          <w:i w:val="false"/>
          <w:caps w:val="false"/>
          <w:smallCaps w:val="false"/>
          <w:sz w:val="22"/>
          <w:u w:val="single"/>
        </w:rPr>
        <w:t>, principally associated</w:t>
      </w:r>
      <w:r>
        <w:rPr>
          <w:caps w:val="false"/>
          <w:smallCaps w:val="false"/>
          <w:sz w:val="24"/>
          <w:u w:val="single"/>
        </w:rPr>
        <w:t xml:space="preserve"> </w:t>
      </w:r>
    </w:p>
    <w:p>
      <w:pPr>
        <w:pStyle w:val="TextBody"/>
        <w:bidi w:val="0"/>
        <w:spacing w:lineRule="atLeast" w:line="220" w:before="0" w:after="0"/>
        <w:jc w:val="both"/>
        <w:rPr>
          <w:u w:val="single"/>
        </w:rPr>
      </w:pPr>
      <w:r>
        <w:rPr>
          <w:rFonts w:ascii="Times New Roman;serif" w:hAnsi="Times New Roman;serif"/>
          <w:b w:val="false"/>
          <w:i w:val="false"/>
          <w:caps w:val="false"/>
          <w:smallCaps w:val="false"/>
          <w:sz w:val="22"/>
          <w:u w:val="single"/>
        </w:rPr>
        <w:t>with the disposition of a noncore business.</w:t>
      </w:r>
      <w:r>
        <w:rPr>
          <w:caps w:val="false"/>
          <w:smallCaps w:val="false"/>
          <w:u w:val="single"/>
        </w:rPr>
        <w:t xml:space="preserve"> </w:t>
      </w:r>
    </w:p>
    <w:p>
      <w:pPr>
        <w:pStyle w:val="TextBody"/>
        <w:bidi w:val="0"/>
        <w:spacing w:lineRule="atLeast" w:line="220" w:before="0" w:after="0"/>
        <w:jc w:val="both"/>
        <w:rPr>
          <w:rFonts w:ascii="Times New Roman;serif" w:hAnsi="Times New Roman;serif"/>
          <w:b w:val="false"/>
          <w:i/>
          <w:sz w:val="22"/>
          <w:u w:val="single"/>
        </w:rPr>
      </w:pPr>
      <w:r>
        <w:rPr>
          <w:rFonts w:ascii="Times New Roman;serif" w:hAnsi="Times New Roman;serif"/>
          <w:b w:val="false"/>
          <w:i/>
          <w:sz w:val="22"/>
          <w:u w:val="single"/>
        </w:rPr>
        <w:t>Interest Expense/Income</w:t>
      </w:r>
    </w:p>
    <w:tbl>
      <w:tblPr>
        <w:tblW w:w="7481" w:type="dxa"/>
        <w:jc w:val="left"/>
        <w:tblInd w:w="0" w:type="dxa"/>
        <w:tblLayout w:type="fixed"/>
        <w:tblCellMar>
          <w:top w:w="28" w:type="dxa"/>
          <w:left w:w="28" w:type="dxa"/>
          <w:bottom w:w="28" w:type="dxa"/>
          <w:right w:w="28" w:type="dxa"/>
        </w:tblCellMar>
      </w:tblPr>
      <w:tblGrid>
        <w:gridCol w:w="1426"/>
        <w:gridCol w:w="203"/>
        <w:gridCol w:w="986"/>
        <w:gridCol w:w="205"/>
        <w:gridCol w:w="109"/>
        <w:gridCol w:w="1126"/>
        <w:gridCol w:w="204"/>
        <w:gridCol w:w="986"/>
        <w:gridCol w:w="204"/>
        <w:gridCol w:w="109"/>
        <w:gridCol w:w="741"/>
        <w:gridCol w:w="185"/>
        <w:gridCol w:w="843"/>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394"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expense</w:t>
            </w:r>
          </w:p>
        </w:tc>
        <w:tc>
          <w:tcPr>
            <w:tcW w:w="20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w:t>
            </w:r>
          </w:p>
        </w:tc>
        <w:tc>
          <w:tcPr>
            <w:tcW w:w="2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w:t>
            </w:r>
          </w:p>
        </w:tc>
        <w:tc>
          <w:tcPr>
            <w:tcW w:w="20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1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income</w:t>
            </w:r>
          </w:p>
        </w:tc>
        <w:tc>
          <w:tcPr>
            <w:tcW w:w="20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20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20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8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15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481" w:type="dxa"/>
        <w:jc w:val="left"/>
        <w:tblInd w:w="0" w:type="dxa"/>
        <w:tblLayout w:type="fixed"/>
        <w:tblCellMar>
          <w:top w:w="28" w:type="dxa"/>
          <w:left w:w="28" w:type="dxa"/>
          <w:bottom w:w="28" w:type="dxa"/>
          <w:right w:w="28" w:type="dxa"/>
        </w:tblCellMar>
      </w:tblPr>
      <w:tblGrid>
        <w:gridCol w:w="1426"/>
        <w:gridCol w:w="203"/>
        <w:gridCol w:w="986"/>
        <w:gridCol w:w="205"/>
        <w:gridCol w:w="109"/>
        <w:gridCol w:w="1126"/>
        <w:gridCol w:w="204"/>
        <w:gridCol w:w="986"/>
        <w:gridCol w:w="204"/>
        <w:gridCol w:w="109"/>
        <w:gridCol w:w="741"/>
        <w:gridCol w:w="185"/>
        <w:gridCol w:w="843"/>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394"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expense</w:t>
            </w:r>
          </w:p>
        </w:tc>
        <w:tc>
          <w:tcPr>
            <w:tcW w:w="20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$493</w:t>
            </w:r>
          </w:p>
        </w:tc>
        <w:tc>
          <w:tcPr>
            <w:tcW w:w="2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$431</w:t>
            </w:r>
          </w:p>
        </w:tc>
        <w:tc>
          <w:tcPr>
            <w:tcW w:w="20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w:t>
            </w:r>
          </w:p>
        </w:tc>
        <w:tc>
          <w:tcPr>
            <w:tcW w:w="1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income</w:t>
            </w:r>
          </w:p>
        </w:tc>
        <w:tc>
          <w:tcPr>
            <w:tcW w:w="20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w:t>
            </w:r>
          </w:p>
        </w:tc>
        <w:tc>
          <w:tcPr>
            <w:tcW w:w="20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20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8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5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connection with the pushdown of the Ultimate Parent’s basis, our debt was recorded at fair value, which resulted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in a decrease to our total debt balance of </w:t>
      </w:r>
      <w:r>
        <w:rPr>
          <w:rFonts w:ascii="Times New Roman;serif" w:hAnsi="Times New Roman;serif"/>
          <w:b w:val="false"/>
          <w:i w:val="false"/>
          <w:caps w:val="false"/>
          <w:smallCaps w:val="false"/>
          <w:strike w:val="false"/>
          <w:dstrike w:val="false"/>
          <w:sz w:val="22"/>
          <w:u w:val="none"/>
          <w:effect w:val="none"/>
        </w:rPr>
        <w:t>$898 million</w:t>
      </w:r>
      <w:r>
        <w:rPr>
          <w:rFonts w:ascii="Times New Roman;serif" w:hAnsi="Times New Roman;serif"/>
          <w:b w:val="false"/>
          <w:i w:val="false"/>
          <w:caps w:val="false"/>
          <w:smallCaps w:val="false"/>
          <w:sz w:val="22"/>
        </w:rPr>
        <w:t xml:space="preserve">. The adjustments to fair value for each of our senior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junior debt issuances are being amortized over the remaining term of the applicable issuance within interest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expense. The weighted average interest rate on our senior and junior debt was </w:t>
      </w:r>
      <w:r>
        <w:rPr>
          <w:rFonts w:ascii="Times New Roman;serif" w:hAnsi="Times New Roman;serif"/>
          <w:b w:val="false"/>
          <w:i w:val="false"/>
          <w:caps w:val="false"/>
          <w:smallCaps w:val="false"/>
          <w:strike w:val="false"/>
          <w:dstrike w:val="false"/>
          <w:sz w:val="22"/>
          <w:u w:val="none"/>
          <w:effect w:val="none"/>
        </w:rPr>
        <w:t>5.20</w:t>
      </w:r>
      <w:r>
        <w:rPr>
          <w:rFonts w:ascii="Times New Roman;serif" w:hAnsi="Times New Roman;serif"/>
          <w:b w:val="false"/>
          <w:i w:val="false"/>
          <w:caps w:val="false"/>
          <w:smallCaps w:val="false"/>
          <w:sz w:val="22"/>
        </w:rPr>
        <w:t xml:space="preserve">% at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(Successor)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and 5.17% at </w:t>
      </w:r>
      <w:r>
        <w:rPr>
          <w:rFonts w:ascii="Times New Roman;serif" w:hAnsi="Times New Roman;serif"/>
          <w:b w:val="false"/>
          <w:i w:val="false"/>
          <w:caps w:val="false"/>
          <w:smallCaps w:val="false"/>
          <w:strike w:val="false"/>
          <w:dstrike w:val="false"/>
          <w:sz w:val="22"/>
          <w:u w:val="none"/>
          <w:effect w:val="none"/>
        </w:rPr>
        <w:t>June 30, 2025</w:t>
      </w:r>
      <w:r>
        <w:rPr>
          <w:caps w:val="false"/>
          <w:smallCaps w:val="false"/>
          <w:sz w:val="24"/>
        </w:rPr>
        <w:t xml:space="preserve"> </w:t>
      </w:r>
      <w:r>
        <w:rPr>
          <w:rFonts w:ascii="Times New Roman;serif" w:hAnsi="Times New Roman;serif"/>
          <w:b w:val="false"/>
          <w:i w:val="false"/>
          <w:caps w:val="false"/>
          <w:smallCaps w:val="false"/>
          <w:sz w:val="22"/>
        </w:rPr>
        <w:t xml:space="preserve">(Predecessor). In addition, during the three and six months ended June 30, 2026 we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incurred $30 million and </w:t>
      </w:r>
      <w:r>
        <w:rPr>
          <w:rFonts w:ascii="Times New Roman;serif" w:hAnsi="Times New Roman;serif"/>
          <w:b w:val="false"/>
          <w:i w:val="false"/>
          <w:caps w:val="false"/>
          <w:smallCaps w:val="false"/>
          <w:strike w:val="false"/>
          <w:dstrike w:val="false"/>
          <w:sz w:val="22"/>
          <w:u w:val="none"/>
          <w:effect w:val="none"/>
        </w:rPr>
        <w:t xml:space="preserve">$41 million, respectively, </w:t>
      </w:r>
      <w:r>
        <w:rPr>
          <w:rFonts w:ascii="Times New Roman;serif" w:hAnsi="Times New Roman;serif"/>
          <w:b w:val="false"/>
          <w:i w:val="false"/>
          <w:caps w:val="false"/>
          <w:smallCaps w:val="false"/>
          <w:sz w:val="22"/>
        </w:rPr>
        <w:t xml:space="preserve">of interest expense associated with borrowings under our Credit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Facility (see </w:t>
      </w:r>
      <w:r>
        <w:rPr>
          <w:rFonts w:ascii="Times New Roman;serif" w:hAnsi="Times New Roman;serif"/>
          <w:b w:val="false"/>
          <w:i/>
          <w:sz w:val="22"/>
        </w:rPr>
        <w:t>Capital Structure</w:t>
      </w:r>
      <w:r>
        <w:rPr>
          <w:rFonts w:ascii="Times New Roman;serif" w:hAnsi="Times New Roman;serif"/>
          <w:b w:val="false"/>
          <w:i w:val="false"/>
          <w:caps w:val="false"/>
          <w:smallCaps w:val="false"/>
          <w:sz w:val="22"/>
        </w:rPr>
        <w:t xml:space="preserve">). Credit facility borrowings outstanding at the closing of the WBD Merger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expected to be repaid with the funding from the private placement described in Note 1 to the consolidated financial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statements.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Other Items, Net</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presents the components of “Other items, net.”</w:t>
      </w:r>
    </w:p>
    <w:tbl>
      <w:tblPr>
        <w:tblW w:w="9812" w:type="dxa"/>
        <w:jc w:val="left"/>
        <w:tblInd w:w="0" w:type="dxa"/>
        <w:tblLayout w:type="fixed"/>
        <w:tblCellMar>
          <w:top w:w="28" w:type="dxa"/>
          <w:left w:w="28" w:type="dxa"/>
          <w:bottom w:w="28" w:type="dxa"/>
          <w:right w:w="28" w:type="dxa"/>
        </w:tblCellMar>
      </w:tblPr>
      <w:tblGrid>
        <w:gridCol w:w="2746"/>
        <w:gridCol w:w="238"/>
        <w:gridCol w:w="918"/>
        <w:gridCol w:w="239"/>
        <w:gridCol w:w="109"/>
        <w:gridCol w:w="109"/>
        <w:gridCol w:w="237"/>
        <w:gridCol w:w="918"/>
        <w:gridCol w:w="240"/>
        <w:gridCol w:w="109"/>
        <w:gridCol w:w="238"/>
        <w:gridCol w:w="918"/>
        <w:gridCol w:w="239"/>
        <w:gridCol w:w="109"/>
        <w:gridCol w:w="1006"/>
        <w:gridCol w:w="228"/>
        <w:gridCol w:w="885"/>
        <w:gridCol w:w="326"/>
      </w:tblGrid>
      <w:tr>
        <w:trPr/>
        <w:tc>
          <w:tcPr>
            <w:tcW w:w="27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74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439"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tcBorders/>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r>
      <w:tr>
        <w:trPr/>
        <w:tc>
          <w:tcPr>
            <w:tcW w:w="27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274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Pension and postretirement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benefit costs</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2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w:t>
            </w:r>
          </w:p>
        </w:tc>
        <w:tc>
          <w:tcPr>
            <w:tcW w:w="3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exchange loss</w:t>
            </w:r>
          </w:p>
        </w:tc>
        <w:tc>
          <w:tcPr>
            <w:tcW w:w="23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326" w:type="dxa"/>
            <w:tcBorders/>
            <w:vAlign w:val="center"/>
          </w:tcPr>
          <w:p>
            <w:pPr>
              <w:pStyle w:val="TableContents"/>
              <w:bidi w:val="0"/>
              <w:spacing w:before="0" w:after="283"/>
              <w:jc w:val="left"/>
              <w:rPr>
                <w:sz w:val="4"/>
                <w:szCs w:val="4"/>
              </w:rPr>
            </w:pPr>
            <w:r>
              <w:rPr>
                <w:sz w:val="4"/>
                <w:szCs w:val="4"/>
              </w:rPr>
            </w:r>
          </w:p>
        </w:tc>
      </w:tr>
      <w:tr>
        <w:trPr/>
        <w:tc>
          <w:tcPr>
            <w:tcW w:w="27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Loss on non-designated interest </w:t>
            </w:r>
          </w:p>
          <w:p>
            <w:pPr>
              <w:pStyle w:val="TableContents"/>
              <w:bidi w:val="0"/>
              <w:spacing w:lineRule="atLeast" w:line="200" w:before="0" w:after="0"/>
              <w:jc w:val="left"/>
              <w:rPr/>
            </w:pPr>
            <w:r>
              <w:rPr>
                <w:caps w:val="false"/>
                <w:smallCaps w:val="false"/>
              </w:rPr>
              <w:t xml:space="preserve">  </w:t>
            </w:r>
            <w:r>
              <w:rPr>
                <w:rFonts w:ascii="Times New Roman;serif" w:hAnsi="Times New Roman;serif"/>
                <w:b w:val="false"/>
                <w:i w:val="false"/>
                <w:caps w:val="false"/>
                <w:smallCaps w:val="false"/>
                <w:sz w:val="20"/>
              </w:rPr>
              <w:t xml:space="preserve">rate hedges </w:t>
            </w:r>
            <w:r>
              <w:rPr>
                <w:rFonts w:ascii="Times New Roman;serif" w:hAnsi="Times New Roman;serif"/>
                <w:b w:val="false"/>
                <w:i w:val="false"/>
                <w:caps w:val="false"/>
                <w:smallCaps w:val="false"/>
                <w:sz w:val="13"/>
              </w:rPr>
              <w:t>(a)</w:t>
            </w:r>
          </w:p>
        </w:tc>
        <w:tc>
          <w:tcPr>
            <w:tcW w:w="23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2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items, net</w:t>
            </w:r>
          </w:p>
        </w:tc>
        <w:tc>
          <w:tcPr>
            <w:tcW w:w="23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c>
          <w:tcPr>
            <w:tcW w:w="23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24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w:t>
            </w:r>
          </w:p>
        </w:tc>
        <w:tc>
          <w:tcPr>
            <w:tcW w:w="23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5"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w:t>
            </w:r>
          </w:p>
        </w:tc>
        <w:tc>
          <w:tcPr>
            <w:tcW w:w="32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(a) See Note </w:t>
      </w:r>
      <w:r>
        <w:rPr>
          <w:rFonts w:ascii="Times New Roman;serif" w:hAnsi="Times New Roman;serif"/>
          <w:b w:val="false"/>
          <w:i w:val="false"/>
          <w:caps w:val="false"/>
          <w:smallCaps w:val="false"/>
          <w:strike w:val="false"/>
          <w:dstrike w:val="false"/>
          <w:sz w:val="18"/>
          <w:u w:val="none"/>
          <w:effect w:val="none"/>
        </w:rPr>
        <w:t>8</w:t>
      </w:r>
      <w:r>
        <w:rPr>
          <w:caps w:val="false"/>
          <w:smallCaps w:val="false"/>
          <w:sz w:val="24"/>
        </w:rPr>
        <w:t xml:space="preserve"> </w:t>
      </w:r>
      <w:r>
        <w:rPr>
          <w:rFonts w:ascii="Times New Roman;serif" w:hAnsi="Times New Roman;serif"/>
          <w:b w:val="false"/>
          <w:i w:val="false"/>
          <w:caps w:val="false"/>
          <w:smallCaps w:val="false"/>
          <w:sz w:val="18"/>
        </w:rPr>
        <w:t>to the consolidated financial statements.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 xml:space="preserve">Provision for Income Taxes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provision for income taxes represents federal, state and local, and foreign taxes on earnings before income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taxes and equity in loss of investee companies. For the </w:t>
      </w:r>
      <w:r>
        <w:rPr>
          <w:rFonts w:ascii="Times New Roman;serif" w:hAnsi="Times New Roman;serif"/>
          <w:b w:val="false"/>
          <w:i w:val="false"/>
          <w:caps w:val="false"/>
          <w:smallCaps w:val="false"/>
          <w:strike w:val="false"/>
          <w:dstrike w:val="false"/>
          <w:sz w:val="22"/>
          <w:u w:val="none"/>
          <w:effect w:val="none"/>
        </w:rPr>
        <w:t>three and 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(Successor),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we recorded a provision for income taxes of </w:t>
      </w:r>
      <w:r>
        <w:rPr>
          <w:rFonts w:ascii="Times New Roman;serif" w:hAnsi="Times New Roman;serif"/>
          <w:b w:val="false"/>
          <w:i w:val="false"/>
          <w:caps w:val="false"/>
          <w:smallCaps w:val="false"/>
          <w:strike w:val="false"/>
          <w:dstrike w:val="false"/>
          <w:sz w:val="22"/>
          <w:u w:val="none"/>
          <w:effect w:val="none"/>
        </w:rPr>
        <w:t>$120 million</w:t>
      </w:r>
      <w:r>
        <w:rPr>
          <w:caps w:val="false"/>
          <w:smallCaps w:val="false"/>
          <w:sz w:val="24"/>
        </w:rPr>
        <w:t xml:space="preserve"> </w:t>
      </w:r>
      <w:r>
        <w:rPr>
          <w:rFonts w:ascii="Times New Roman;serif" w:hAnsi="Times New Roman;serif"/>
          <w:b w:val="false"/>
          <w:i w:val="false"/>
          <w:caps w:val="false"/>
          <w:smallCaps w:val="false"/>
          <w:sz w:val="22"/>
        </w:rPr>
        <w:t xml:space="preserve">and </w:t>
      </w:r>
      <w:r>
        <w:rPr>
          <w:rFonts w:ascii="Times New Roman;serif" w:hAnsi="Times New Roman;serif"/>
          <w:b w:val="false"/>
          <w:i w:val="false"/>
          <w:caps w:val="false"/>
          <w:smallCaps w:val="false"/>
          <w:strike w:val="false"/>
          <w:dstrike w:val="false"/>
          <w:sz w:val="22"/>
          <w:u w:val="none"/>
          <w:effect w:val="none"/>
        </w:rPr>
        <w:t>$275 million</w:t>
      </w:r>
      <w:r>
        <w:rPr>
          <w:rFonts w:ascii="Times New Roman;serif" w:hAnsi="Times New Roman;serif"/>
          <w:b w:val="false"/>
          <w:i w:val="false"/>
          <w:caps w:val="false"/>
          <w:smallCaps w:val="false"/>
          <w:sz w:val="22"/>
        </w:rPr>
        <w:t xml:space="preserve">, reflecting an effective income tax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rate of </w:t>
      </w:r>
      <w:r>
        <w:rPr>
          <w:rFonts w:ascii="Times New Roman;serif" w:hAnsi="Times New Roman;serif"/>
          <w:b w:val="false"/>
          <w:i w:val="false"/>
          <w:caps w:val="false"/>
          <w:smallCaps w:val="false"/>
          <w:strike w:val="false"/>
          <w:dstrike w:val="false"/>
          <w:sz w:val="22"/>
          <w:u w:val="none"/>
          <w:effect w:val="none"/>
        </w:rPr>
        <w:t>55.8%</w:t>
      </w:r>
      <w:r>
        <w:rPr>
          <w:caps w:val="false"/>
          <w:smallCaps w:val="false"/>
          <w:sz w:val="24"/>
        </w:rPr>
        <w:t xml:space="preserve"> </w:t>
      </w:r>
      <w:r>
        <w:rPr>
          <w:rFonts w:ascii="Times New Roman;serif" w:hAnsi="Times New Roman;serif"/>
          <w:b w:val="false"/>
          <w:i w:val="false"/>
          <w:caps w:val="false"/>
          <w:smallCaps w:val="false"/>
          <w:sz w:val="22"/>
        </w:rPr>
        <w:t xml:space="preserve">and </w:t>
      </w:r>
      <w:r>
        <w:rPr>
          <w:rFonts w:ascii="Times New Roman;serif" w:hAnsi="Times New Roman;serif"/>
          <w:b w:val="false"/>
          <w:i w:val="false"/>
          <w:caps w:val="false"/>
          <w:smallCaps w:val="false"/>
          <w:strike w:val="false"/>
          <w:dstrike w:val="false"/>
          <w:sz w:val="22"/>
          <w:u w:val="none"/>
          <w:effect w:val="none"/>
        </w:rPr>
        <w:t>45.3%</w:t>
      </w:r>
      <w:r>
        <w:rPr>
          <w:rFonts w:ascii="Times New Roman;serif" w:hAnsi="Times New Roman;serif"/>
          <w:b w:val="false"/>
          <w:i w:val="false"/>
          <w:caps w:val="false"/>
          <w:smallCaps w:val="false"/>
          <w:sz w:val="22"/>
        </w:rPr>
        <w:t xml:space="preserve">, respectively. Included in the provision for income taxes are the following items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identified as affecting the comparability of our results, which in aggregate increased our effective income tax rate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by </w:t>
      </w:r>
      <w:r>
        <w:rPr>
          <w:rFonts w:ascii="Times New Roman;serif" w:hAnsi="Times New Roman;serif"/>
          <w:b w:val="false"/>
          <w:i w:val="false"/>
          <w:caps w:val="false"/>
          <w:smallCaps w:val="false"/>
          <w:strike w:val="false"/>
          <w:dstrike w:val="false"/>
          <w:sz w:val="22"/>
          <w:u w:val="none"/>
          <w:effect w:val="none"/>
        </w:rPr>
        <w:t>20.1</w:t>
      </w:r>
      <w:r>
        <w:rPr>
          <w:caps w:val="false"/>
          <w:smallCaps w:val="false"/>
          <w:sz w:val="24"/>
        </w:rPr>
        <w:t xml:space="preserve"> </w:t>
      </w:r>
      <w:r>
        <w:rPr>
          <w:rFonts w:ascii="Times New Roman;serif" w:hAnsi="Times New Roman;serif"/>
          <w:b w:val="false"/>
          <w:i w:val="false"/>
          <w:caps w:val="false"/>
          <w:smallCaps w:val="false"/>
          <w:sz w:val="22"/>
        </w:rPr>
        <w:t>percentage points and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10.9</w:t>
      </w:r>
      <w:r>
        <w:rPr>
          <w:caps w:val="false"/>
          <w:smallCaps w:val="false"/>
          <w:sz w:val="24"/>
        </w:rPr>
        <w:t xml:space="preserve"> </w:t>
      </w:r>
      <w:r>
        <w:rPr>
          <w:rFonts w:ascii="Times New Roman;serif" w:hAnsi="Times New Roman;serif"/>
          <w:b w:val="false"/>
          <w:i w:val="false"/>
          <w:caps w:val="false"/>
          <w:smallCaps w:val="false"/>
          <w:sz w:val="22"/>
        </w:rPr>
        <w:t xml:space="preserve">percentage points for their respective periods. The higher tax rate in each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period compared with the same periods of 2025 also reflects an increase in foreign earnings subject to current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U.S. tax, along with a reduced benefit from the foreign-derived intangible income deduction. </w:t>
      </w:r>
    </w:p>
    <w:tbl>
      <w:tblPr>
        <w:tblW w:w="9519" w:type="dxa"/>
        <w:jc w:val="left"/>
        <w:tblInd w:w="0" w:type="dxa"/>
        <w:tblLayout w:type="fixed"/>
        <w:tblCellMar>
          <w:top w:w="28" w:type="dxa"/>
          <w:left w:w="28" w:type="dxa"/>
          <w:bottom w:w="28" w:type="dxa"/>
          <w:right w:w="28" w:type="dxa"/>
        </w:tblCellMar>
      </w:tblPr>
      <w:tblGrid>
        <w:gridCol w:w="2881"/>
        <w:gridCol w:w="209"/>
        <w:gridCol w:w="1238"/>
        <w:gridCol w:w="209"/>
        <w:gridCol w:w="209"/>
        <w:gridCol w:w="238"/>
        <w:gridCol w:w="919"/>
        <w:gridCol w:w="238"/>
        <w:gridCol w:w="120"/>
        <w:gridCol w:w="120"/>
        <w:gridCol w:w="190"/>
        <w:gridCol w:w="1129"/>
        <w:gridCol w:w="190"/>
        <w:gridCol w:w="190"/>
        <w:gridCol w:w="229"/>
        <w:gridCol w:w="887"/>
        <w:gridCol w:w="323"/>
      </w:tblGrid>
      <w:tr>
        <w:trPr/>
        <w:tc>
          <w:tcPr>
            <w:tcW w:w="288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88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8" w:type="dxa"/>
            <w:gridSpan w:val="16"/>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Impact from Items Affecting Comparability</w:t>
            </w:r>
          </w:p>
        </w:tc>
      </w:tr>
      <w:tr>
        <w:trPr/>
        <w:tc>
          <w:tcPr>
            <w:tcW w:w="2881" w:type="dxa"/>
            <w:tcBorders/>
            <w:vAlign w:val="center"/>
          </w:tcPr>
          <w:p>
            <w:pPr>
              <w:pStyle w:val="TableContents"/>
              <w:bidi w:val="0"/>
              <w:spacing w:before="0" w:after="283"/>
              <w:jc w:val="left"/>
              <w:rPr>
                <w:sz w:val="4"/>
                <w:szCs w:val="4"/>
              </w:rPr>
            </w:pPr>
            <w:r>
              <w:rPr>
                <w:sz w:val="4"/>
                <w:szCs w:val="4"/>
              </w:rPr>
            </w:r>
          </w:p>
        </w:tc>
        <w:tc>
          <w:tcPr>
            <w:tcW w:w="6638" w:type="dxa"/>
            <w:gridSpan w:val="16"/>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r>
      <w:tr>
        <w:trPr/>
        <w:tc>
          <w:tcPr>
            <w:tcW w:w="2881" w:type="dxa"/>
            <w:tcBorders/>
            <w:vAlign w:val="center"/>
          </w:tcPr>
          <w:p>
            <w:pPr>
              <w:pStyle w:val="TableContents"/>
              <w:bidi w:val="0"/>
              <w:spacing w:before="0" w:after="283"/>
              <w:jc w:val="left"/>
              <w:rPr>
                <w:sz w:val="4"/>
                <w:szCs w:val="4"/>
              </w:rPr>
            </w:pPr>
            <w:r>
              <w:rPr>
                <w:sz w:val="4"/>
                <w:szCs w:val="4"/>
              </w:rPr>
            </w:r>
          </w:p>
        </w:tc>
        <w:tc>
          <w:tcPr>
            <w:tcW w:w="3260"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June 30, 2026</w:t>
            </w:r>
          </w:p>
        </w:tc>
        <w:tc>
          <w:tcPr>
            <w:tcW w:w="1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Six Months Ended June 30, 2026</w:t>
            </w:r>
          </w:p>
        </w:tc>
      </w:tr>
      <w:tr>
        <w:trPr/>
        <w:tc>
          <w:tcPr>
            <w:tcW w:w="28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Earnings (Loss)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Before Income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Taxes</w:t>
            </w:r>
          </w:p>
        </w:tc>
        <w:tc>
          <w:tcPr>
            <w:tcW w:w="2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Benefit from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(Provision for)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c>
          <w:tcPr>
            <w:tcW w:w="1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Earnings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(Loss) Before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c>
          <w:tcPr>
            <w:tcW w:w="1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Benefit from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(Provision for)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r>
      <w:tr>
        <w:trPr/>
        <w:tc>
          <w:tcPr>
            <w:tcW w:w="288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Restructuring charges (Note </w:t>
            </w:r>
            <w:r>
              <w:rPr>
                <w:rFonts w:ascii="Times New Roman;serif" w:hAnsi="Times New Roman;serif"/>
                <w:b w:val="false"/>
                <w:i w:val="false"/>
                <w:caps w:val="false"/>
                <w:smallCaps w:val="false"/>
                <w:strike w:val="false"/>
                <w:dstrike w:val="false"/>
                <w:sz w:val="20"/>
                <w:u w:val="none"/>
                <w:effect w:val="none"/>
              </w:rPr>
              <w:t>4</w:t>
            </w:r>
            <w:r>
              <w:rPr>
                <w:rFonts w:ascii="Times New Roman;serif" w:hAnsi="Times New Roman;serif"/>
                <w:b w:val="false"/>
                <w:i w:val="false"/>
                <w:caps w:val="false"/>
                <w:smallCaps w:val="false"/>
                <w:sz w:val="20"/>
              </w:rPr>
              <w:t>)</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32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Transaction-related items (Note </w:t>
            </w:r>
            <w:r>
              <w:rPr>
                <w:rFonts w:ascii="Times New Roman;serif" w:hAnsi="Times New Roman;serif"/>
                <w:b w:val="false"/>
                <w:i w:val="false"/>
                <w:caps w:val="false"/>
                <w:smallCaps w:val="false"/>
                <w:strike w:val="false"/>
                <w:dstrike w:val="false"/>
                <w:sz w:val="20"/>
                <w:u w:val="none"/>
                <w:effect w:val="none"/>
              </w:rPr>
              <w:t>4</w:t>
            </w:r>
            <w:r>
              <w:rPr>
                <w:rFonts w:ascii="Times New Roman;serif" w:hAnsi="Times New Roman;serif"/>
                <w:b w:val="false"/>
                <w:i w:val="false"/>
                <w:caps w:val="false"/>
                <w:smallCaps w:val="false"/>
                <w:sz w:val="20"/>
              </w:rPr>
              <w:t>)</w:t>
            </w:r>
          </w:p>
        </w:tc>
        <w:tc>
          <w:tcPr>
            <w:tcW w:w="2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w:t>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2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w:t>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323"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discrete tax benefit</w:t>
            </w:r>
          </w:p>
        </w:tc>
        <w:tc>
          <w:tcPr>
            <w:tcW w:w="2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8"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c>
          <w:tcPr>
            <w:tcW w:w="2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23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9"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c>
          <w:tcPr>
            <w:tcW w:w="19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32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 - not applicable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For the </w:t>
      </w:r>
      <w:r>
        <w:rPr>
          <w:rFonts w:ascii="Times New Roman;serif" w:hAnsi="Times New Roman;serif"/>
          <w:b w:val="false"/>
          <w:i w:val="false"/>
          <w:caps w:val="false"/>
          <w:smallCaps w:val="false"/>
          <w:strike w:val="false"/>
          <w:dstrike w:val="false"/>
          <w:sz w:val="22"/>
          <w:u w:val="none"/>
          <w:effect w:val="none"/>
        </w:rPr>
        <w:t>three and 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2025</w:t>
      </w:r>
      <w:r>
        <w:rPr>
          <w:caps w:val="false"/>
          <w:smallCaps w:val="false"/>
          <w:sz w:val="24"/>
        </w:rPr>
        <w:t xml:space="preserve"> </w:t>
      </w:r>
      <w:r>
        <w:rPr>
          <w:rFonts w:ascii="Times New Roman;serif" w:hAnsi="Times New Roman;serif"/>
          <w:b w:val="false"/>
          <w:i w:val="false"/>
          <w:caps w:val="false"/>
          <w:smallCaps w:val="false"/>
          <w:sz w:val="22"/>
        </w:rPr>
        <w:t xml:space="preserve">(Predecessor), we recorded a provision for income taxes of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$50 million</w:t>
      </w:r>
      <w:r>
        <w:rPr>
          <w:caps w:val="false"/>
          <w:smallCaps w:val="false"/>
          <w:sz w:val="24"/>
        </w:rPr>
        <w:t xml:space="preserve"> </w:t>
      </w:r>
      <w:r>
        <w:rPr>
          <w:rFonts w:ascii="Times New Roman;serif" w:hAnsi="Times New Roman;serif"/>
          <w:b w:val="false"/>
          <w:i w:val="false"/>
          <w:caps w:val="false"/>
          <w:smallCaps w:val="false"/>
          <w:sz w:val="22"/>
        </w:rPr>
        <w:t xml:space="preserve">and </w:t>
      </w:r>
      <w:r>
        <w:rPr>
          <w:rFonts w:ascii="Times New Roman;serif" w:hAnsi="Times New Roman;serif"/>
          <w:b w:val="false"/>
          <w:i w:val="false"/>
          <w:caps w:val="false"/>
          <w:smallCaps w:val="false"/>
          <w:strike w:val="false"/>
          <w:dstrike w:val="false"/>
          <w:sz w:val="22"/>
          <w:u w:val="none"/>
          <w:effect w:val="none"/>
        </w:rPr>
        <w:t>$150 million</w:t>
      </w:r>
      <w:r>
        <w:rPr>
          <w:rFonts w:ascii="Times New Roman;serif" w:hAnsi="Times New Roman;serif"/>
          <w:b w:val="false"/>
          <w:i w:val="false"/>
          <w:caps w:val="false"/>
          <w:smallCaps w:val="false"/>
          <w:sz w:val="22"/>
        </w:rPr>
        <w:t xml:space="preserve">, reflecting an effective income tax rate of </w:t>
      </w:r>
      <w:r>
        <w:rPr>
          <w:rFonts w:ascii="Times New Roman;serif" w:hAnsi="Times New Roman;serif"/>
          <w:b w:val="false"/>
          <w:i w:val="false"/>
          <w:caps w:val="false"/>
          <w:smallCaps w:val="false"/>
          <w:strike w:val="false"/>
          <w:dstrike w:val="false"/>
          <w:sz w:val="22"/>
          <w:u w:val="none"/>
          <w:effect w:val="none"/>
        </w:rPr>
        <w:t>28.1%</w:t>
      </w:r>
      <w:r>
        <w:rPr>
          <w:caps w:val="false"/>
          <w:smallCaps w:val="false"/>
          <w:sz w:val="24"/>
        </w:rPr>
        <w:t xml:space="preserve"> </w:t>
      </w:r>
      <w:r>
        <w:rPr>
          <w:rFonts w:ascii="Times New Roman;serif" w:hAnsi="Times New Roman;serif"/>
          <w:b w:val="false"/>
          <w:i w:val="false"/>
          <w:caps w:val="false"/>
          <w:smallCaps w:val="false"/>
          <w:sz w:val="22"/>
        </w:rPr>
        <w:t xml:space="preserve">and </w:t>
      </w:r>
      <w:r>
        <w:rPr>
          <w:rFonts w:ascii="Times New Roman;serif" w:hAnsi="Times New Roman;serif"/>
          <w:b w:val="false"/>
          <w:i w:val="false"/>
          <w:caps w:val="false"/>
          <w:smallCaps w:val="false"/>
          <w:strike w:val="false"/>
          <w:dstrike w:val="false"/>
          <w:sz w:val="22"/>
          <w:u w:val="none"/>
          <w:effect w:val="none"/>
        </w:rPr>
        <w:t>29.3%</w:t>
      </w:r>
      <w:r>
        <w:rPr>
          <w:rFonts w:ascii="Times New Roman;serif" w:hAnsi="Times New Roman;serif"/>
          <w:b w:val="false"/>
          <w:i w:val="false"/>
          <w:caps w:val="false"/>
          <w:smallCaps w:val="false"/>
          <w:sz w:val="22"/>
        </w:rPr>
        <w:t xml:space="preserve">, respectively.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Included in the provision for income taxes are the following items identified as affecting the comparability of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our results, which in aggregate increased our effective income tax rate by </w:t>
      </w:r>
      <w:r>
        <w:rPr>
          <w:rFonts w:ascii="Times New Roman;serif" w:hAnsi="Times New Roman;serif"/>
          <w:b w:val="false"/>
          <w:i w:val="false"/>
          <w:caps w:val="false"/>
          <w:smallCaps w:val="false"/>
          <w:strike w:val="false"/>
          <w:dstrike w:val="false"/>
          <w:sz w:val="22"/>
          <w:u w:val="none"/>
          <w:effect w:val="none"/>
        </w:rPr>
        <w:t>2.9</w:t>
      </w:r>
      <w:r>
        <w:rPr>
          <w:caps w:val="false"/>
          <w:smallCaps w:val="false"/>
          <w:sz w:val="24"/>
        </w:rPr>
        <w:t xml:space="preserve"> </w:t>
      </w:r>
      <w:r>
        <w:rPr>
          <w:rFonts w:ascii="Times New Roman;serif" w:hAnsi="Times New Roman;serif"/>
          <w:b w:val="false"/>
          <w:i w:val="false"/>
          <w:caps w:val="false"/>
          <w:smallCaps w:val="false"/>
          <w:sz w:val="22"/>
        </w:rPr>
        <w:t xml:space="preserve">percentage points and </w:t>
      </w:r>
      <w:r>
        <w:rPr>
          <w:rFonts w:ascii="Times New Roman;serif" w:hAnsi="Times New Roman;serif"/>
          <w:b w:val="false"/>
          <w:i w:val="false"/>
          <w:caps w:val="false"/>
          <w:smallCaps w:val="false"/>
          <w:strike w:val="false"/>
          <w:dstrike w:val="false"/>
          <w:sz w:val="22"/>
          <w:u w:val="none"/>
          <w:effect w:val="none"/>
        </w:rPr>
        <w:t>3.0</w:t>
      </w:r>
      <w:r>
        <w:rPr>
          <w:caps w:val="false"/>
          <w:smallCaps w:val="false"/>
          <w:sz w:val="24"/>
        </w:rPr>
        <w:t xml:space="preserv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percentage points for their respective periods.</w:t>
      </w:r>
    </w:p>
    <w:tbl>
      <w:tblPr>
        <w:tblW w:w="9367" w:type="dxa"/>
        <w:jc w:val="left"/>
        <w:tblInd w:w="0" w:type="dxa"/>
        <w:tblLayout w:type="fixed"/>
        <w:tblCellMar>
          <w:top w:w="28" w:type="dxa"/>
          <w:left w:w="28" w:type="dxa"/>
          <w:bottom w:w="28" w:type="dxa"/>
          <w:right w:w="28" w:type="dxa"/>
        </w:tblCellMar>
      </w:tblPr>
      <w:tblGrid>
        <w:gridCol w:w="2881"/>
        <w:gridCol w:w="206"/>
        <w:gridCol w:w="1230"/>
        <w:gridCol w:w="206"/>
        <w:gridCol w:w="206"/>
        <w:gridCol w:w="231"/>
        <w:gridCol w:w="932"/>
        <w:gridCol w:w="231"/>
        <w:gridCol w:w="122"/>
        <w:gridCol w:w="187"/>
        <w:gridCol w:w="1121"/>
        <w:gridCol w:w="187"/>
        <w:gridCol w:w="187"/>
        <w:gridCol w:w="222"/>
        <w:gridCol w:w="901"/>
        <w:gridCol w:w="317"/>
      </w:tblGrid>
      <w:tr>
        <w:trPr/>
        <w:tc>
          <w:tcPr>
            <w:tcW w:w="28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88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6" w:type="dxa"/>
            <w:gridSpan w:val="15"/>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Impact from Items Affecting Comparability</w:t>
            </w:r>
          </w:p>
        </w:tc>
      </w:tr>
      <w:tr>
        <w:trPr/>
        <w:tc>
          <w:tcPr>
            <w:tcW w:w="2881" w:type="dxa"/>
            <w:tcBorders/>
            <w:vAlign w:val="center"/>
          </w:tcPr>
          <w:p>
            <w:pPr>
              <w:pStyle w:val="TableContents"/>
              <w:bidi w:val="0"/>
              <w:spacing w:before="0" w:after="283"/>
              <w:jc w:val="left"/>
              <w:rPr>
                <w:sz w:val="4"/>
                <w:szCs w:val="4"/>
              </w:rPr>
            </w:pPr>
            <w:r>
              <w:rPr>
                <w:sz w:val="4"/>
                <w:szCs w:val="4"/>
              </w:rPr>
            </w:r>
          </w:p>
        </w:tc>
        <w:tc>
          <w:tcPr>
            <w:tcW w:w="6486" w:type="dxa"/>
            <w:gridSpan w:val="15"/>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r>
      <w:tr>
        <w:trPr/>
        <w:tc>
          <w:tcPr>
            <w:tcW w:w="2881" w:type="dxa"/>
            <w:tcBorders/>
            <w:vAlign w:val="center"/>
          </w:tcPr>
          <w:p>
            <w:pPr>
              <w:pStyle w:val="TableContents"/>
              <w:bidi w:val="0"/>
              <w:spacing w:before="0" w:after="283"/>
              <w:jc w:val="left"/>
              <w:rPr>
                <w:sz w:val="4"/>
                <w:szCs w:val="4"/>
              </w:rPr>
            </w:pPr>
            <w:r>
              <w:rPr>
                <w:sz w:val="4"/>
                <w:szCs w:val="4"/>
              </w:rPr>
            </w:r>
          </w:p>
        </w:tc>
        <w:tc>
          <w:tcPr>
            <w:tcW w:w="3242"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Three Months Ended June 30, 2025</w:t>
            </w:r>
          </w:p>
        </w:tc>
        <w:tc>
          <w:tcPr>
            <w:tcW w:w="1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Six Months Ended June 30, 2025</w:t>
            </w:r>
          </w:p>
        </w:tc>
      </w:tr>
      <w:tr>
        <w:trPr/>
        <w:tc>
          <w:tcPr>
            <w:tcW w:w="28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Earnings (Loss)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Before Income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Taxes</w:t>
            </w:r>
          </w:p>
        </w:tc>
        <w:tc>
          <w:tcPr>
            <w:tcW w:w="2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Benefit from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(Provision for)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c>
          <w:tcPr>
            <w:tcW w:w="12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Earnings (Loss)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Before Income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Taxes</w:t>
            </w:r>
          </w:p>
        </w:tc>
        <w:tc>
          <w:tcPr>
            <w:tcW w:w="18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Benefit from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(Provision for)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Taxes</w:t>
            </w:r>
          </w:p>
        </w:tc>
      </w:tr>
      <w:tr>
        <w:trPr/>
        <w:tc>
          <w:tcPr>
            <w:tcW w:w="288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Impairment charges (Note 15)</w:t>
            </w:r>
          </w:p>
        </w:tc>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w:t>
            </w:r>
          </w:p>
        </w:tc>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w:t>
            </w:r>
          </w:p>
        </w:tc>
        <w:tc>
          <w:tcPr>
            <w:tcW w:w="1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31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Restructuring charges (Note </w:t>
            </w:r>
            <w:r>
              <w:rPr>
                <w:rFonts w:ascii="Times New Roman;serif" w:hAnsi="Times New Roman;serif"/>
                <w:b w:val="false"/>
                <w:i w:val="false"/>
                <w:caps w:val="false"/>
                <w:smallCaps w:val="false"/>
                <w:strike w:val="false"/>
                <w:dstrike w:val="false"/>
                <w:sz w:val="20"/>
                <w:u w:val="none"/>
                <w:effect w:val="none"/>
              </w:rPr>
              <w:t>4</w:t>
            </w:r>
            <w:r>
              <w:rPr>
                <w:rFonts w:ascii="Times New Roman;serif" w:hAnsi="Times New Roman;serif"/>
                <w:b w:val="false"/>
                <w:i w:val="false"/>
                <w:caps w:val="false"/>
                <w:smallCaps w:val="false"/>
                <w:sz w:val="20"/>
              </w:rPr>
              <w:t>)</w:t>
            </w:r>
          </w:p>
        </w:tc>
        <w:tc>
          <w:tcPr>
            <w:tcW w:w="20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2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$(242)</w:t>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w:t>
            </w:r>
          </w:p>
        </w:tc>
        <w:tc>
          <w:tcPr>
            <w:tcW w:w="317" w:type="dxa"/>
            <w:tcBorders/>
            <w:vAlign w:val="center"/>
          </w:tcPr>
          <w:p>
            <w:pPr>
              <w:pStyle w:val="TableContents"/>
              <w:bidi w:val="0"/>
              <w:spacing w:before="0" w:after="283"/>
              <w:jc w:val="left"/>
              <w:rPr>
                <w:sz w:val="4"/>
                <w:szCs w:val="4"/>
              </w:rPr>
            </w:pPr>
            <w:r>
              <w:rPr>
                <w:sz w:val="4"/>
                <w:szCs w:val="4"/>
              </w:rPr>
            </w:r>
          </w:p>
        </w:tc>
      </w:tr>
      <w:tr>
        <w:trPr/>
        <w:tc>
          <w:tcPr>
            <w:tcW w:w="28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Transaction-related items (Note 4)</w:t>
            </w:r>
          </w:p>
        </w:tc>
        <w:tc>
          <w:tcPr>
            <w:tcW w:w="20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2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317" w:type="dxa"/>
            <w:tcBorders/>
            <w:vAlign w:val="center"/>
          </w:tcPr>
          <w:p>
            <w:pPr>
              <w:pStyle w:val="TableContents"/>
              <w:bidi w:val="0"/>
              <w:spacing w:before="0" w:after="283"/>
              <w:jc w:val="left"/>
              <w:rPr>
                <w:sz w:val="4"/>
                <w:szCs w:val="4"/>
              </w:rPr>
            </w:pPr>
            <w:r>
              <w:rPr>
                <w:sz w:val="4"/>
                <w:szCs w:val="4"/>
              </w:rPr>
            </w:r>
          </w:p>
        </w:tc>
      </w:tr>
      <w:tr>
        <w:trPr/>
        <w:tc>
          <w:tcPr>
            <w:tcW w:w="28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Gain from dispositions</w:t>
            </w:r>
          </w:p>
        </w:tc>
        <w:tc>
          <w:tcPr>
            <w:tcW w:w="20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2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317"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discrete tax provision</w:t>
            </w:r>
          </w:p>
        </w:tc>
        <w:tc>
          <w:tcPr>
            <w:tcW w:w="20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c>
          <w:tcPr>
            <w:tcW w:w="20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231"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c>
          <w:tcPr>
            <w:tcW w:w="187"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317"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 - not applicable</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Equity in Loss of Investee Companies, Net of Tax</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tables present equity in loss of investee companies for our equity-method investments.</w:t>
      </w:r>
    </w:p>
    <w:tbl>
      <w:tblPr>
        <w:tblW w:w="9128" w:type="dxa"/>
        <w:jc w:val="left"/>
        <w:tblInd w:w="0" w:type="dxa"/>
        <w:tblLayout w:type="fixed"/>
        <w:tblCellMar>
          <w:top w:w="28" w:type="dxa"/>
          <w:left w:w="28" w:type="dxa"/>
          <w:bottom w:w="28" w:type="dxa"/>
          <w:right w:w="28" w:type="dxa"/>
        </w:tblCellMar>
      </w:tblPr>
      <w:tblGrid>
        <w:gridCol w:w="3181"/>
        <w:gridCol w:w="217"/>
        <w:gridCol w:w="959"/>
        <w:gridCol w:w="218"/>
        <w:gridCol w:w="109"/>
        <w:gridCol w:w="1126"/>
        <w:gridCol w:w="200"/>
        <w:gridCol w:w="995"/>
        <w:gridCol w:w="200"/>
        <w:gridCol w:w="109"/>
        <w:gridCol w:w="699"/>
        <w:gridCol w:w="140"/>
        <w:gridCol w:w="776"/>
        <w:gridCol w:w="199"/>
      </w:tblGrid>
      <w:tr>
        <w:trPr/>
        <w:tc>
          <w:tcPr>
            <w:tcW w:w="318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395"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4"/>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r>
      <w:tr>
        <w:trPr/>
        <w:tc>
          <w:tcPr>
            <w:tcW w:w="3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in loss of investee companies</w:t>
            </w:r>
          </w:p>
        </w:tc>
        <w:tc>
          <w:tcPr>
            <w:tcW w:w="21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w:t>
            </w:r>
          </w:p>
        </w:tc>
        <w:tc>
          <w:tcPr>
            <w:tcW w:w="2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w:t>
            </w:r>
          </w:p>
        </w:tc>
        <w:tc>
          <w:tcPr>
            <w:tcW w:w="20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Tax provision</w:t>
            </w:r>
          </w:p>
        </w:tc>
        <w:tc>
          <w:tcPr>
            <w:tcW w:w="21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2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20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Equity in loss of investee companies,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net of tax</w:t>
            </w:r>
          </w:p>
        </w:tc>
        <w:tc>
          <w:tcPr>
            <w:tcW w:w="21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w:t>
            </w:r>
          </w:p>
        </w:tc>
        <w:tc>
          <w:tcPr>
            <w:tcW w:w="21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5"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w:t>
            </w:r>
          </w:p>
        </w:tc>
        <w:tc>
          <w:tcPr>
            <w:tcW w:w="20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4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9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128" w:type="dxa"/>
        <w:jc w:val="left"/>
        <w:tblInd w:w="0" w:type="dxa"/>
        <w:tblLayout w:type="fixed"/>
        <w:tblCellMar>
          <w:top w:w="28" w:type="dxa"/>
          <w:left w:w="28" w:type="dxa"/>
          <w:bottom w:w="28" w:type="dxa"/>
          <w:right w:w="28" w:type="dxa"/>
        </w:tblCellMar>
      </w:tblPr>
      <w:tblGrid>
        <w:gridCol w:w="3181"/>
        <w:gridCol w:w="188"/>
        <w:gridCol w:w="1016"/>
        <w:gridCol w:w="190"/>
        <w:gridCol w:w="109"/>
        <w:gridCol w:w="1126"/>
        <w:gridCol w:w="176"/>
        <w:gridCol w:w="1043"/>
        <w:gridCol w:w="176"/>
        <w:gridCol w:w="109"/>
        <w:gridCol w:w="699"/>
        <w:gridCol w:w="140"/>
        <w:gridCol w:w="776"/>
        <w:gridCol w:w="199"/>
      </w:tblGrid>
      <w:tr>
        <w:trPr/>
        <w:tc>
          <w:tcPr>
            <w:tcW w:w="318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395"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4"/>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r>
      <w:tr>
        <w:trPr/>
        <w:tc>
          <w:tcPr>
            <w:tcW w:w="3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in loss of investee companies</w:t>
            </w:r>
          </w:p>
        </w:tc>
        <w:tc>
          <w:tcPr>
            <w:tcW w:w="1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$(114)</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w:t>
            </w:r>
          </w:p>
        </w:tc>
        <w:tc>
          <w:tcPr>
            <w:tcW w:w="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Tax provision</w:t>
            </w:r>
          </w:p>
        </w:tc>
        <w:tc>
          <w:tcPr>
            <w:tcW w:w="18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3"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Equity in loss of investee companies,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net of tax</w:t>
            </w:r>
          </w:p>
        </w:tc>
        <w:tc>
          <w:tcPr>
            <w:tcW w:w="188"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w:t>
            </w:r>
          </w:p>
        </w:tc>
        <w:tc>
          <w:tcPr>
            <w:tcW w:w="19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3"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w:t>
            </w:r>
          </w:p>
        </w:tc>
        <w:tc>
          <w:tcPr>
            <w:tcW w:w="17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4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9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Net Earnings Attributable to Parent and Diluted EPS</w:t>
      </w:r>
    </w:p>
    <w:tbl>
      <w:tblPr>
        <w:tblW w:w="8842" w:type="dxa"/>
        <w:jc w:val="left"/>
        <w:tblInd w:w="0" w:type="dxa"/>
        <w:tblLayout w:type="fixed"/>
        <w:tblCellMar>
          <w:top w:w="28" w:type="dxa"/>
          <w:left w:w="28" w:type="dxa"/>
          <w:bottom w:w="28" w:type="dxa"/>
          <w:right w:w="28" w:type="dxa"/>
        </w:tblCellMar>
      </w:tblPr>
      <w:tblGrid>
        <w:gridCol w:w="2896"/>
        <w:gridCol w:w="236"/>
        <w:gridCol w:w="919"/>
        <w:gridCol w:w="239"/>
        <w:gridCol w:w="109"/>
        <w:gridCol w:w="1126"/>
        <w:gridCol w:w="237"/>
        <w:gridCol w:w="918"/>
        <w:gridCol w:w="240"/>
        <w:gridCol w:w="109"/>
        <w:gridCol w:w="733"/>
        <w:gridCol w:w="136"/>
        <w:gridCol w:w="752"/>
        <w:gridCol w:w="192"/>
      </w:tblGrid>
      <w:tr>
        <w:trPr/>
        <w:tc>
          <w:tcPr>
            <w:tcW w:w="289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9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395"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813" w:type="dxa"/>
            <w:gridSpan w:val="4"/>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r>
      <w:tr>
        <w:trPr/>
        <w:tc>
          <w:tcPr>
            <w:tcW w:w="28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3"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earnings attributable to Parent</w:t>
            </w:r>
          </w:p>
        </w:tc>
        <w:tc>
          <w:tcPr>
            <w:tcW w:w="2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2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Diluted EPS </w:t>
            </w:r>
          </w:p>
        </w:tc>
        <w:tc>
          <w:tcPr>
            <w:tcW w:w="23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23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24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3"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3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c>
          <w:tcPr>
            <w:tcW w:w="19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841" w:type="dxa"/>
        <w:jc w:val="left"/>
        <w:tblInd w:w="0" w:type="dxa"/>
        <w:tblLayout w:type="fixed"/>
        <w:tblCellMar>
          <w:top w:w="28" w:type="dxa"/>
          <w:left w:w="28" w:type="dxa"/>
          <w:bottom w:w="28" w:type="dxa"/>
          <w:right w:w="28" w:type="dxa"/>
        </w:tblCellMar>
      </w:tblPr>
      <w:tblGrid>
        <w:gridCol w:w="2896"/>
        <w:gridCol w:w="203"/>
        <w:gridCol w:w="986"/>
        <w:gridCol w:w="205"/>
        <w:gridCol w:w="109"/>
        <w:gridCol w:w="1126"/>
        <w:gridCol w:w="204"/>
        <w:gridCol w:w="986"/>
        <w:gridCol w:w="204"/>
        <w:gridCol w:w="109"/>
        <w:gridCol w:w="733"/>
        <w:gridCol w:w="136"/>
        <w:gridCol w:w="752"/>
        <w:gridCol w:w="192"/>
      </w:tblGrid>
      <w:tr>
        <w:trPr/>
        <w:tc>
          <w:tcPr>
            <w:tcW w:w="28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9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394"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813" w:type="dxa"/>
            <w:gridSpan w:val="4"/>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Increase/(Decrease)</w:t>
            </w:r>
          </w:p>
        </w:tc>
      </w:tr>
      <w:tr>
        <w:trPr/>
        <w:tc>
          <w:tcPr>
            <w:tcW w:w="28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3"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earnings attributable to Parent</w:t>
            </w:r>
          </w:p>
        </w:tc>
        <w:tc>
          <w:tcPr>
            <w:tcW w:w="20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w:t>
            </w:r>
          </w:p>
        </w:tc>
        <w:tc>
          <w:tcPr>
            <w:tcW w:w="2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w:t>
            </w:r>
          </w:p>
        </w:tc>
        <w:tc>
          <w:tcPr>
            <w:tcW w:w="20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Diluted EPS </w:t>
            </w:r>
          </w:p>
        </w:tc>
        <w:tc>
          <w:tcPr>
            <w:tcW w:w="20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20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20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3"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3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19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For the three months ended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(Successor), we reported net earnings attributable to Parent of </w:t>
      </w:r>
      <w:r>
        <w:rPr>
          <w:rFonts w:ascii="Times New Roman;serif" w:hAnsi="Times New Roman;serif"/>
          <w:b w:val="false"/>
          <w:i w:val="false"/>
          <w:caps w:val="false"/>
          <w:smallCaps w:val="false"/>
          <w:strike w:val="false"/>
          <w:dstrike w:val="false"/>
          <w:sz w:val="22"/>
          <w:u w:val="none"/>
          <w:effect w:val="none"/>
        </w:rPr>
        <w:t xml:space="preserve">$41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million</w:t>
      </w:r>
      <w:r>
        <w:rPr>
          <w:rFonts w:ascii="Times New Roman;serif" w:hAnsi="Times New Roman;serif"/>
          <w:b w:val="false"/>
          <w:i w:val="false"/>
          <w:caps w:val="false"/>
          <w:smallCaps w:val="false"/>
          <w:sz w:val="22"/>
        </w:rPr>
        <w:t xml:space="preserve">, or </w:t>
      </w:r>
      <w:r>
        <w:rPr>
          <w:rFonts w:ascii="Times New Roman;serif" w:hAnsi="Times New Roman;serif"/>
          <w:b w:val="false"/>
          <w:i w:val="false"/>
          <w:caps w:val="false"/>
          <w:smallCaps w:val="false"/>
          <w:strike w:val="false"/>
          <w:dstrike w:val="false"/>
          <w:sz w:val="22"/>
          <w:u w:val="none"/>
          <w:effect w:val="none"/>
        </w:rPr>
        <w:t>$.04</w:t>
      </w:r>
      <w:r>
        <w:rPr>
          <w:caps w:val="false"/>
          <w:smallCaps w:val="false"/>
          <w:sz w:val="24"/>
        </w:rPr>
        <w:t xml:space="preserve"> </w:t>
      </w:r>
      <w:r>
        <w:rPr>
          <w:rFonts w:ascii="Times New Roman;serif" w:hAnsi="Times New Roman;serif"/>
          <w:b w:val="false"/>
          <w:i w:val="false"/>
          <w:caps w:val="false"/>
          <w:smallCaps w:val="false"/>
          <w:sz w:val="22"/>
        </w:rPr>
        <w:t xml:space="preserve">per diluted share, compared with net earnings attributable to Parent of </w:t>
      </w:r>
      <w:r>
        <w:rPr>
          <w:rFonts w:ascii="Times New Roman;serif" w:hAnsi="Times New Roman;serif"/>
          <w:b w:val="false"/>
          <w:i w:val="false"/>
          <w:caps w:val="false"/>
          <w:smallCaps w:val="false"/>
          <w:strike w:val="false"/>
          <w:dstrike w:val="false"/>
          <w:sz w:val="22"/>
          <w:u w:val="none"/>
          <w:effect w:val="none"/>
        </w:rPr>
        <w:t>$57 million</w:t>
      </w:r>
      <w:r>
        <w:rPr>
          <w:rFonts w:ascii="Times New Roman;serif" w:hAnsi="Times New Roman;serif"/>
          <w:b w:val="false"/>
          <w:i w:val="false"/>
          <w:caps w:val="false"/>
          <w:smallCaps w:val="false"/>
          <w:sz w:val="22"/>
        </w:rPr>
        <w:t xml:space="preserve">, or </w:t>
      </w:r>
      <w:r>
        <w:rPr>
          <w:rFonts w:ascii="Times New Roman;serif" w:hAnsi="Times New Roman;serif"/>
          <w:b w:val="false"/>
          <w:i w:val="false"/>
          <w:caps w:val="false"/>
          <w:smallCaps w:val="false"/>
          <w:strike w:val="false"/>
          <w:dstrike w:val="false"/>
          <w:sz w:val="22"/>
          <w:u w:val="none"/>
          <w:effect w:val="none"/>
        </w:rPr>
        <w:t>$.08</w:t>
      </w:r>
      <w:r>
        <w:rPr>
          <w:caps w:val="false"/>
          <w:smallCaps w:val="false"/>
          <w:sz w:val="24"/>
        </w:rPr>
        <w:t xml:space="preserve"> </w:t>
      </w:r>
      <w:r>
        <w:rPr>
          <w:rFonts w:ascii="Times New Roman;serif" w:hAnsi="Times New Roman;serif"/>
          <w:b w:val="false"/>
          <w:i w:val="false"/>
          <w:caps w:val="false"/>
          <w:smallCaps w:val="false"/>
          <w:sz w:val="22"/>
        </w:rPr>
        <w:t xml:space="preserve">per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diluted share, for the three months ended </w:t>
      </w:r>
      <w:r>
        <w:rPr>
          <w:rFonts w:ascii="Times New Roman;serif" w:hAnsi="Times New Roman;serif"/>
          <w:b w:val="false"/>
          <w:i w:val="false"/>
          <w:caps w:val="false"/>
          <w:smallCaps w:val="false"/>
          <w:strike w:val="false"/>
          <w:dstrike w:val="false"/>
          <w:sz w:val="22"/>
          <w:u w:val="none"/>
          <w:effect w:val="none"/>
        </w:rPr>
        <w:t>June 30, 2025</w:t>
      </w:r>
      <w:r>
        <w:rPr>
          <w:caps w:val="false"/>
          <w:smallCaps w:val="false"/>
          <w:sz w:val="24"/>
        </w:rPr>
        <w:t xml:space="preserve"> </w:t>
      </w:r>
      <w:r>
        <w:rPr>
          <w:rFonts w:ascii="Times New Roman;serif" w:hAnsi="Times New Roman;serif"/>
          <w:b w:val="false"/>
          <w:i w:val="false"/>
          <w:caps w:val="false"/>
          <w:smallCaps w:val="false"/>
          <w:sz w:val="22"/>
        </w:rPr>
        <w:t xml:space="preserve">(Predecessor).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(Successor), we reported net earnings attributable to Parent of </w:t>
      </w:r>
      <w:r>
        <w:rPr>
          <w:rFonts w:ascii="Times New Roman;serif" w:hAnsi="Times New Roman;serif"/>
          <w:b w:val="false"/>
          <w:i w:val="false"/>
          <w:caps w:val="false"/>
          <w:smallCaps w:val="false"/>
          <w:strike w:val="false"/>
          <w:dstrike w:val="false"/>
          <w:sz w:val="22"/>
          <w:u w:val="none"/>
          <w:effect w:val="none"/>
        </w:rPr>
        <w:t>$209 million</w:t>
      </w:r>
      <w:r>
        <w:rPr>
          <w:rFonts w:ascii="Times New Roman;serif" w:hAnsi="Times New Roman;serif"/>
          <w:b w:val="false"/>
          <w:i w:val="false"/>
          <w:caps w:val="false"/>
          <w:smallCaps w:val="false"/>
          <w:sz w:val="22"/>
        </w:rPr>
        <w:t xml:space="preserve">, or </w:t>
      </w:r>
      <w:r>
        <w:rPr>
          <w:rFonts w:ascii="Times New Roman;serif" w:hAnsi="Times New Roman;serif"/>
          <w:b w:val="false"/>
          <w:i w:val="false"/>
          <w:caps w:val="false"/>
          <w:smallCaps w:val="false"/>
          <w:strike w:val="false"/>
          <w:dstrike w:val="false"/>
          <w:sz w:val="22"/>
          <w:u w:val="none"/>
          <w:effect w:val="none"/>
        </w:rPr>
        <w:t>$.19</w:t>
      </w:r>
      <w:r>
        <w:rPr>
          <w:caps w:val="false"/>
          <w:smallCaps w:val="false"/>
          <w:sz w:val="24"/>
        </w:rPr>
        <w:t xml:space="preserve"> </w:t>
      </w:r>
      <w:r>
        <w:rPr>
          <w:rFonts w:ascii="Times New Roman;serif" w:hAnsi="Times New Roman;serif"/>
          <w:b w:val="false"/>
          <w:i w:val="false"/>
          <w:caps w:val="false"/>
          <w:smallCaps w:val="false"/>
          <w:sz w:val="22"/>
        </w:rPr>
        <w:t xml:space="preserve">per diluted share, compared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with net earnings attributable to Parent of </w:t>
      </w:r>
      <w:r>
        <w:rPr>
          <w:rFonts w:ascii="Times New Roman;serif" w:hAnsi="Times New Roman;serif"/>
          <w:b w:val="false"/>
          <w:i w:val="false"/>
          <w:caps w:val="false"/>
          <w:smallCaps w:val="false"/>
          <w:strike w:val="false"/>
          <w:dstrike w:val="false"/>
          <w:sz w:val="22"/>
          <w:u w:val="none"/>
          <w:effect w:val="none"/>
        </w:rPr>
        <w:t>$209 million</w:t>
      </w:r>
      <w:r>
        <w:rPr>
          <w:rFonts w:ascii="Times New Roman;serif" w:hAnsi="Times New Roman;serif"/>
          <w:b w:val="false"/>
          <w:i w:val="false"/>
          <w:caps w:val="false"/>
          <w:smallCaps w:val="false"/>
          <w:sz w:val="22"/>
        </w:rPr>
        <w:t xml:space="preserve">, or </w:t>
      </w:r>
      <w:r>
        <w:rPr>
          <w:rFonts w:ascii="Times New Roman;serif" w:hAnsi="Times New Roman;serif"/>
          <w:b w:val="false"/>
          <w:i w:val="false"/>
          <w:caps w:val="false"/>
          <w:smallCaps w:val="false"/>
          <w:strike w:val="false"/>
          <w:dstrike w:val="false"/>
          <w:sz w:val="22"/>
          <w:u w:val="none"/>
          <w:effect w:val="none"/>
        </w:rPr>
        <w:t>$.31</w:t>
      </w:r>
      <w:r>
        <w:rPr>
          <w:caps w:val="false"/>
          <w:smallCaps w:val="false"/>
          <w:sz w:val="24"/>
        </w:rPr>
        <w:t xml:space="preserve"> </w:t>
      </w:r>
      <w:r>
        <w:rPr>
          <w:rFonts w:ascii="Times New Roman;serif" w:hAnsi="Times New Roman;serif"/>
          <w:b w:val="false"/>
          <w:i w:val="false"/>
          <w:caps w:val="false"/>
          <w:smallCaps w:val="false"/>
          <w:sz w:val="22"/>
        </w:rPr>
        <w:t xml:space="preserve">per diluted share,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 xml:space="preserve">June 30,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2025</w:t>
      </w:r>
      <w:r>
        <w:rPr>
          <w:caps w:val="false"/>
          <w:smallCaps w:val="false"/>
          <w:sz w:val="24"/>
        </w:rPr>
        <w:t xml:space="preserve"> </w:t>
      </w:r>
      <w:r>
        <w:rPr>
          <w:rFonts w:ascii="Times New Roman;serif" w:hAnsi="Times New Roman;serif"/>
          <w:b w:val="false"/>
          <w:i w:val="false"/>
          <w:caps w:val="false"/>
          <w:smallCaps w:val="false"/>
          <w:sz w:val="22"/>
        </w:rPr>
        <w:t xml:space="preserve">(Predecessor). For both the three- and six-month periods, the decrease in diluted EPS reflects shares issued in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connection with the Skydance Transactions and the NAI Transaction (see Note </w:t>
      </w:r>
      <w:r>
        <w:rPr>
          <w:rFonts w:ascii="Times New Roman;serif" w:hAnsi="Times New Roman;serif"/>
          <w:b w:val="false"/>
          <w:i w:val="false"/>
          <w:caps w:val="false"/>
          <w:smallCaps w:val="false"/>
          <w:strike w:val="false"/>
          <w:dstrike w:val="false"/>
          <w:sz w:val="22"/>
          <w:u w:val="none"/>
          <w:effect w:val="none"/>
        </w:rPr>
        <w:t>10</w:t>
      </w:r>
      <w:r>
        <w:rPr>
          <w:caps w:val="false"/>
          <w:smallCaps w:val="false"/>
          <w:sz w:val="24"/>
        </w:rPr>
        <w:t xml:space="preserve"> </w:t>
      </w:r>
      <w:r>
        <w:rPr>
          <w:rFonts w:ascii="Times New Roman;serif" w:hAnsi="Times New Roman;serif"/>
          <w:b w:val="false"/>
          <w:i w:val="false"/>
          <w:caps w:val="false"/>
          <w:smallCaps w:val="false"/>
          <w:sz w:val="22"/>
        </w:rPr>
        <w:t xml:space="preserve">to the consolidated financial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Segment Results of Operations</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Beginning in 2026, we transitioned our reporting structure into three new segments: </w:t>
      </w:r>
      <w:r>
        <w:rPr>
          <w:rFonts w:ascii="Times New Roman;serif" w:hAnsi="Times New Roman;serif"/>
          <w:b w:val="false"/>
          <w:i/>
          <w:sz w:val="22"/>
        </w:rPr>
        <w:t>Studios</w:t>
      </w:r>
      <w:r>
        <w:rPr>
          <w:rFonts w:ascii="Times New Roman;serif" w:hAnsi="Times New Roman;serif"/>
          <w:b w:val="false"/>
          <w:i w:val="false"/>
          <w:caps w:val="false"/>
          <w:smallCaps w:val="false"/>
          <w:sz w:val="22"/>
        </w:rPr>
        <w:t>,</w:t>
      </w:r>
      <w:r>
        <w:rPr/>
        <w:t xml:space="preserve"> </w:t>
      </w:r>
      <w:r>
        <w:rPr>
          <w:rFonts w:ascii="Times New Roman;serif" w:hAnsi="Times New Roman;serif"/>
          <w:b w:val="false"/>
          <w:i/>
          <w:sz w:val="22"/>
        </w:rPr>
        <w:t>Direct-to-Consumer</w:t>
      </w:r>
      <w:r>
        <w:rPr>
          <w:rFonts w:ascii="Times New Roman;serif" w:hAnsi="Times New Roman;serif"/>
          <w:b w:val="false"/>
          <w:i w:val="false"/>
          <w:caps w:val="false"/>
          <w:smallCaps w:val="false"/>
          <w:sz w:val="22"/>
        </w:rPr>
        <w:t xml:space="preserve">,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and </w:t>
      </w:r>
      <w:r>
        <w:rPr>
          <w:rFonts w:ascii="Times New Roman;serif" w:hAnsi="Times New Roman;serif"/>
          <w:b w:val="false"/>
          <w:i/>
          <w:sz w:val="22"/>
        </w:rPr>
        <w:t>TV Media</w:t>
      </w:r>
      <w:r>
        <w:rPr>
          <w:rFonts w:ascii="Times New Roman;serif" w:hAnsi="Times New Roman;serif"/>
          <w:b w:val="false"/>
          <w:i w:val="false"/>
          <w:caps w:val="false"/>
          <w:smallCaps w:val="false"/>
          <w:sz w:val="22"/>
        </w:rPr>
        <w:t xml:space="preserve">. Under the new segment structure, our </w:t>
      </w:r>
      <w:r>
        <w:rPr>
          <w:rFonts w:ascii="Times New Roman;serif" w:hAnsi="Times New Roman;serif"/>
          <w:b w:val="false"/>
          <w:i/>
          <w:sz w:val="22"/>
        </w:rPr>
        <w:t>Studios</w:t>
      </w:r>
      <w:r>
        <w:rPr>
          <w:caps w:val="false"/>
          <w:smallCaps w:val="false"/>
        </w:rPr>
        <w:t xml:space="preserve"> </w:t>
      </w:r>
      <w:r>
        <w:rPr>
          <w:rFonts w:ascii="Times New Roman;serif" w:hAnsi="Times New Roman;serif"/>
          <w:b w:val="false"/>
          <w:i w:val="false"/>
          <w:caps w:val="false"/>
          <w:smallCaps w:val="false"/>
          <w:sz w:val="22"/>
        </w:rPr>
        <w:t xml:space="preserve">segment reflects the combination of the historical </w:t>
      </w:r>
    </w:p>
    <w:p>
      <w:pPr>
        <w:pStyle w:val="TextBody"/>
        <w:bidi w:val="0"/>
        <w:spacing w:lineRule="atLeast" w:line="220" w:before="0" w:after="0"/>
        <w:jc w:val="left"/>
        <w:rPr/>
      </w:pPr>
      <w:r>
        <w:rPr>
          <w:rFonts w:ascii="Times New Roman;serif" w:hAnsi="Times New Roman;serif"/>
          <w:b w:val="false"/>
          <w:i/>
          <w:sz w:val="22"/>
        </w:rPr>
        <w:t>Filmed Entertainment</w:t>
      </w:r>
      <w:r>
        <w:rPr>
          <w:caps w:val="false"/>
          <w:smallCaps w:val="false"/>
        </w:rPr>
        <w:t xml:space="preserve"> </w:t>
      </w:r>
      <w:r>
        <w:rPr>
          <w:rFonts w:ascii="Times New Roman;serif" w:hAnsi="Times New Roman;serif"/>
          <w:b w:val="false"/>
          <w:i w:val="false"/>
          <w:caps w:val="false"/>
          <w:smallCaps w:val="false"/>
          <w:sz w:val="22"/>
        </w:rPr>
        <w:t xml:space="preserve">segment with the historical </w:t>
      </w:r>
      <w:r>
        <w:rPr>
          <w:rFonts w:ascii="Times New Roman;serif" w:hAnsi="Times New Roman;serif"/>
          <w:b w:val="false"/>
          <w:i/>
          <w:sz w:val="22"/>
        </w:rPr>
        <w:t>TV Media</w:t>
      </w:r>
      <w:r>
        <w:rPr>
          <w:caps w:val="false"/>
          <w:smallCaps w:val="false"/>
        </w:rPr>
        <w:t xml:space="preserve"> </w:t>
      </w:r>
      <w:r>
        <w:rPr>
          <w:rFonts w:ascii="Times New Roman;serif" w:hAnsi="Times New Roman;serif"/>
          <w:b w:val="false"/>
          <w:i w:val="false"/>
          <w:caps w:val="false"/>
          <w:smallCaps w:val="false"/>
          <w:sz w:val="22"/>
        </w:rPr>
        <w:t xml:space="preserve">studio operations, consolidating our content creation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activities. Additionally, our premium cable channel, Paramount+ with Showtime, which was previously under the </w:t>
      </w:r>
    </w:p>
    <w:p>
      <w:pPr>
        <w:pStyle w:val="TextBody"/>
        <w:bidi w:val="0"/>
        <w:spacing w:lineRule="atLeast" w:line="220" w:before="0" w:after="0"/>
        <w:jc w:val="left"/>
        <w:rPr/>
      </w:pPr>
      <w:r>
        <w:rPr>
          <w:rFonts w:ascii="Times New Roman;serif" w:hAnsi="Times New Roman;serif"/>
          <w:b w:val="false"/>
          <w:i/>
          <w:sz w:val="22"/>
        </w:rPr>
        <w:t>TV Media</w:t>
      </w:r>
      <w:r>
        <w:rPr>
          <w:caps w:val="false"/>
          <w:smallCaps w:val="false"/>
        </w:rPr>
        <w:t xml:space="preserve"> </w:t>
      </w:r>
      <w:r>
        <w:rPr>
          <w:rFonts w:ascii="Times New Roman;serif" w:hAnsi="Times New Roman;serif"/>
          <w:b w:val="false"/>
          <w:i w:val="false"/>
          <w:caps w:val="false"/>
          <w:smallCaps w:val="false"/>
          <w:sz w:val="22"/>
        </w:rPr>
        <w:t xml:space="preserve">segment, is now managed under the </w:t>
      </w:r>
      <w:r>
        <w:rPr>
          <w:rFonts w:ascii="Times New Roman;serif" w:hAnsi="Times New Roman;serif"/>
          <w:b w:val="false"/>
          <w:i/>
          <w:sz w:val="22"/>
        </w:rPr>
        <w:t xml:space="preserve">Direct-to-Consumer </w:t>
      </w:r>
      <w:r>
        <w:rPr>
          <w:rFonts w:ascii="Times New Roman;serif" w:hAnsi="Times New Roman;serif"/>
          <w:b w:val="false"/>
          <w:i w:val="false"/>
          <w:caps w:val="false"/>
          <w:smallCaps w:val="false"/>
          <w:sz w:val="22"/>
        </w:rPr>
        <w:t xml:space="preserve">segment. Concurrent with the change to our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segments, we updated our segment expense allocations to better reflect how we operate and make cost decisions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across the business (together with the segment change, the “new segment presentation”). Certain centralized costs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that were previously allocated at the segment level are now reported within corporate expenses.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tables below set forth our financial information by reportable segment. As a result of the new accounting basis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established in connection with the Skydance Transactions and NAI Transaction on August 7, 2025, which makes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results of operations not comparable between the Successor and Predecessor periods, we are required to present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segment information for periods prior to August 7, 2025 based on our previous segments, </w:t>
      </w:r>
      <w:r>
        <w:rPr>
          <w:rFonts w:ascii="Times New Roman;serif" w:hAnsi="Times New Roman;serif"/>
          <w:b w:val="false"/>
          <w:i/>
          <w:sz w:val="22"/>
        </w:rPr>
        <w:t>Filmed Entertainment</w:t>
      </w:r>
      <w:r>
        <w:rPr>
          <w:rFonts w:ascii="Times New Roman;serif" w:hAnsi="Times New Roman;serif"/>
          <w:b w:val="false"/>
          <w:i w:val="false"/>
          <w:caps w:val="false"/>
          <w:smallCaps w:val="false"/>
          <w:sz w:val="22"/>
        </w:rPr>
        <w:t>,</w:t>
      </w:r>
      <w:r>
        <w:rPr/>
        <w:t xml:space="preserve"> </w:t>
      </w:r>
    </w:p>
    <w:p>
      <w:pPr>
        <w:pStyle w:val="TextBody"/>
        <w:bidi w:val="0"/>
        <w:spacing w:lineRule="atLeast" w:line="220" w:before="0" w:after="0"/>
        <w:jc w:val="left"/>
        <w:rPr/>
      </w:pPr>
      <w:r>
        <w:rPr>
          <w:rFonts w:ascii="Times New Roman;serif" w:hAnsi="Times New Roman;serif"/>
          <w:b w:val="false"/>
          <w:i/>
          <w:sz w:val="22"/>
        </w:rPr>
        <w:t xml:space="preserve">Direct-to-Consumer, </w:t>
      </w:r>
      <w:r>
        <w:rPr>
          <w:rFonts w:ascii="Times New Roman;serif" w:hAnsi="Times New Roman;serif"/>
          <w:b w:val="false"/>
          <w:i w:val="false"/>
          <w:caps w:val="false"/>
          <w:smallCaps w:val="false"/>
          <w:sz w:val="22"/>
        </w:rPr>
        <w:t xml:space="preserve">and </w:t>
      </w:r>
      <w:r>
        <w:rPr>
          <w:rFonts w:ascii="Times New Roman;serif" w:hAnsi="Times New Roman;serif"/>
          <w:b w:val="false"/>
          <w:i/>
          <w:sz w:val="22"/>
        </w:rPr>
        <w:t>TV Media</w:t>
      </w:r>
      <w:r>
        <w:rPr>
          <w:rFonts w:ascii="Times New Roman;serif" w:hAnsi="Times New Roman;serif"/>
          <w:b w:val="false"/>
          <w:i w:val="false"/>
          <w:caps w:val="false"/>
          <w:smallCaps w:val="false"/>
          <w:sz w:val="22"/>
        </w:rPr>
        <w:t xml:space="preserve">. In addition, in order to provide useful information for investors that is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consistent with the manner in which our management reviews our results, on the following pages we have provided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supplemental non-GAAP presentations reflecting the Predecessor amounts for the three and six months ended June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30, 2025 recast under the new segment presentation, as well as the related reconciliations from the GAAP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presentation.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155" w:type="dxa"/>
        <w:jc w:val="left"/>
        <w:tblInd w:w="0" w:type="dxa"/>
        <w:tblLayout w:type="fixed"/>
        <w:tblCellMar>
          <w:top w:w="28" w:type="dxa"/>
          <w:left w:w="28" w:type="dxa"/>
          <w:bottom w:w="28" w:type="dxa"/>
          <w:right w:w="28" w:type="dxa"/>
        </w:tblCellMar>
      </w:tblPr>
      <w:tblGrid>
        <w:gridCol w:w="2191"/>
        <w:gridCol w:w="219"/>
        <w:gridCol w:w="1361"/>
        <w:gridCol w:w="219"/>
        <w:gridCol w:w="109"/>
        <w:gridCol w:w="109"/>
        <w:gridCol w:w="241"/>
        <w:gridCol w:w="1509"/>
        <w:gridCol w:w="244"/>
        <w:gridCol w:w="109"/>
        <w:gridCol w:w="213"/>
        <w:gridCol w:w="1328"/>
        <w:gridCol w:w="303"/>
      </w:tblGrid>
      <w:tr>
        <w:trPr/>
        <w:tc>
          <w:tcPr>
            <w:tcW w:w="219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19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1"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GAAP</w:t>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Non-GAAP </w:t>
            </w:r>
            <w:r>
              <w:rPr>
                <w:rFonts w:ascii="Times New Roman;serif" w:hAnsi="Times New Roman;serif"/>
                <w:b/>
                <w:i w:val="false"/>
                <w:caps w:val="false"/>
                <w:smallCaps w:val="false"/>
                <w:sz w:val="12"/>
              </w:rPr>
              <w:t>(a)</w:t>
            </w:r>
          </w:p>
        </w:tc>
      </w:tr>
      <w:tr>
        <w:trPr/>
        <w:tc>
          <w:tcPr>
            <w:tcW w:w="2191" w:type="dxa"/>
            <w:tcBorders/>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r>
      <w:tr>
        <w:trPr/>
        <w:tc>
          <w:tcPr>
            <w:tcW w:w="2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Ended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Ended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Ended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w:t>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219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Revenues:</w:t>
            </w:r>
          </w:p>
        </w:tc>
        <w:tc>
          <w:tcPr>
            <w:tcW w:w="2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sz w:val="4"/>
                <w:szCs w:val="4"/>
              </w:rPr>
            </w:pPr>
            <w:r>
              <w:rPr>
                <w:sz w:val="4"/>
                <w:szCs w:val="4"/>
              </w:rPr>
            </w:r>
          </w:p>
        </w:tc>
        <w:tc>
          <w:tcPr>
            <w:tcW w:w="179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Studios</w:t>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Filmed Entertainment</w:t>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Studios</w:t>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Theatrical</w:t>
            </w:r>
          </w:p>
        </w:tc>
        <w:tc>
          <w:tcPr>
            <w:tcW w:w="2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w:t>
            </w:r>
          </w:p>
        </w:tc>
        <w:tc>
          <w:tcPr>
            <w:tcW w:w="2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$254</w:t>
            </w:r>
          </w:p>
        </w:tc>
        <w:tc>
          <w:tcPr>
            <w:tcW w:w="2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$254</w:t>
            </w:r>
          </w:p>
        </w:tc>
        <w:tc>
          <w:tcPr>
            <w:tcW w:w="30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21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1,172</w:t>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434</w:t>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877</w:t>
            </w:r>
          </w:p>
        </w:tc>
        <w:tc>
          <w:tcPr>
            <w:tcW w:w="303"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21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21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30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w:t>
            </w:r>
          </w:p>
        </w:tc>
        <w:tc>
          <w:tcPr>
            <w:tcW w:w="2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1,314</w:t>
            </w:r>
          </w:p>
        </w:tc>
        <w:tc>
          <w:tcPr>
            <w:tcW w:w="2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690</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1,135</w:t>
            </w:r>
          </w:p>
        </w:tc>
        <w:tc>
          <w:tcPr>
            <w:tcW w:w="30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Direct-to-Consumer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rPr>
              <w:t xml:space="preserve">Direct-to-Consumer </w:t>
            </w:r>
            <w:r>
              <w:rPr>
                <w:rFonts w:ascii="Times New Roman;serif" w:hAnsi="Times New Roman;serif"/>
                <w:b/>
                <w:i w:val="false"/>
                <w:caps w:val="false"/>
                <w:smallCaps w:val="false"/>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Direct-to-Consumer</w:t>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2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535</w:t>
            </w:r>
          </w:p>
        </w:tc>
        <w:tc>
          <w:tcPr>
            <w:tcW w:w="2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494</w:t>
            </w:r>
          </w:p>
        </w:tc>
        <w:tc>
          <w:tcPr>
            <w:tcW w:w="2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494</w:t>
            </w:r>
          </w:p>
        </w:tc>
        <w:tc>
          <w:tcPr>
            <w:tcW w:w="30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and subscription</w:t>
            </w:r>
          </w:p>
        </w:tc>
        <w:tc>
          <w:tcPr>
            <w:tcW w:w="21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1,939</w:t>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1,665</w:t>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1,769</w:t>
            </w:r>
          </w:p>
        </w:tc>
        <w:tc>
          <w:tcPr>
            <w:tcW w:w="303"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w:t>
            </w:r>
          </w:p>
        </w:tc>
        <w:tc>
          <w:tcPr>
            <w:tcW w:w="21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1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30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w:t>
            </w:r>
          </w:p>
        </w:tc>
        <w:tc>
          <w:tcPr>
            <w:tcW w:w="2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2,474</w:t>
            </w:r>
          </w:p>
        </w:tc>
        <w:tc>
          <w:tcPr>
            <w:tcW w:w="2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2,160</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2,264</w:t>
            </w:r>
          </w:p>
        </w:tc>
        <w:tc>
          <w:tcPr>
            <w:tcW w:w="30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TV Media</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rPr>
              <w:t xml:space="preserve">TV Media </w:t>
            </w:r>
            <w:r>
              <w:rPr>
                <w:rFonts w:ascii="Times New Roman;serif" w:hAnsi="Times New Roman;serif"/>
                <w:b/>
                <w:i w:val="false"/>
                <w:caps w:val="false"/>
                <w:smallCaps w:val="false"/>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TV Media</w:t>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2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1,420</w:t>
            </w:r>
          </w:p>
        </w:tc>
        <w:tc>
          <w:tcPr>
            <w:tcW w:w="2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1,657</w:t>
            </w:r>
          </w:p>
        </w:tc>
        <w:tc>
          <w:tcPr>
            <w:tcW w:w="2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1,655</w:t>
            </w:r>
          </w:p>
        </w:tc>
        <w:tc>
          <w:tcPr>
            <w:tcW w:w="30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and subscription</w:t>
            </w:r>
          </w:p>
        </w:tc>
        <w:tc>
          <w:tcPr>
            <w:tcW w:w="21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1,581</w:t>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1,780</w:t>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1,676</w:t>
            </w:r>
          </w:p>
        </w:tc>
        <w:tc>
          <w:tcPr>
            <w:tcW w:w="303"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21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w:t>
            </w:r>
          </w:p>
        </w:tc>
        <w:tc>
          <w:tcPr>
            <w:tcW w:w="21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9"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574</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w:t>
            </w:r>
          </w:p>
        </w:tc>
        <w:tc>
          <w:tcPr>
            <w:tcW w:w="30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w:t>
            </w:r>
          </w:p>
        </w:tc>
        <w:tc>
          <w:tcPr>
            <w:tcW w:w="2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3,128</w:t>
            </w:r>
          </w:p>
        </w:tc>
        <w:tc>
          <w:tcPr>
            <w:tcW w:w="2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4,011</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3,454</w:t>
            </w:r>
          </w:p>
        </w:tc>
        <w:tc>
          <w:tcPr>
            <w:tcW w:w="30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Eliminations</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Eliminations</w:t>
            </w:r>
          </w:p>
        </w:tc>
      </w:tr>
      <w:tr>
        <w:trPr/>
        <w:tc>
          <w:tcPr>
            <w:tcW w:w="2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2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30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Revenues</w:t>
            </w:r>
          </w:p>
        </w:tc>
        <w:tc>
          <w:tcPr>
            <w:tcW w:w="21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$6,913</w:t>
            </w:r>
          </w:p>
        </w:tc>
        <w:tc>
          <w:tcPr>
            <w:tcW w:w="21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$6,849</w:t>
            </w:r>
          </w:p>
        </w:tc>
        <w:tc>
          <w:tcPr>
            <w:tcW w:w="24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$6,849</w:t>
            </w:r>
          </w:p>
        </w:tc>
        <w:tc>
          <w:tcPr>
            <w:tcW w:w="30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tbl>
      <w:tblPr>
        <w:tblW w:w="9387" w:type="dxa"/>
        <w:jc w:val="left"/>
        <w:tblInd w:w="0" w:type="dxa"/>
        <w:tblLayout w:type="fixed"/>
        <w:tblCellMar>
          <w:top w:w="28" w:type="dxa"/>
          <w:left w:w="28" w:type="dxa"/>
          <w:bottom w:w="28" w:type="dxa"/>
          <w:right w:w="28" w:type="dxa"/>
        </w:tblCellMar>
      </w:tblPr>
      <w:tblGrid>
        <w:gridCol w:w="1696"/>
        <w:gridCol w:w="193"/>
        <w:gridCol w:w="915"/>
        <w:gridCol w:w="196"/>
        <w:gridCol w:w="109"/>
        <w:gridCol w:w="109"/>
        <w:gridCol w:w="1726"/>
        <w:gridCol w:w="216"/>
        <w:gridCol w:w="869"/>
        <w:gridCol w:w="219"/>
        <w:gridCol w:w="109"/>
        <w:gridCol w:w="1681"/>
        <w:gridCol w:w="209"/>
        <w:gridCol w:w="841"/>
        <w:gridCol w:w="299"/>
      </w:tblGrid>
      <w:tr>
        <w:trPr/>
        <w:tc>
          <w:tcPr>
            <w:tcW w:w="169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6248" w:type="dxa"/>
            <w:gridSpan w:val="10"/>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GAAP</w:t>
            </w:r>
          </w:p>
        </w:tc>
        <w:tc>
          <w:tcPr>
            <w:tcW w:w="109" w:type="dxa"/>
            <w:tcBorders/>
            <w:vAlign w:val="center"/>
          </w:tcPr>
          <w:p>
            <w:pPr>
              <w:pStyle w:val="TableContents"/>
              <w:bidi w:val="0"/>
              <w:spacing w:before="0" w:after="283"/>
              <w:jc w:val="left"/>
              <w:rPr>
                <w:sz w:val="4"/>
                <w:szCs w:val="4"/>
              </w:rPr>
            </w:pPr>
            <w:r>
              <w:rPr>
                <w:sz w:val="4"/>
                <w:szCs w:val="4"/>
              </w:rPr>
            </w:r>
          </w:p>
        </w:tc>
        <w:tc>
          <w:tcPr>
            <w:tcW w:w="3030" w:type="dxa"/>
            <w:gridSpan w:val="4"/>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Non-GAAP </w:t>
            </w:r>
            <w:r>
              <w:rPr>
                <w:rFonts w:ascii="Times New Roman;serif" w:hAnsi="Times New Roman;serif"/>
                <w:b/>
                <w:i w:val="false"/>
                <w:caps w:val="false"/>
                <w:smallCaps w:val="false"/>
                <w:sz w:val="12"/>
              </w:rPr>
              <w:t>(a)</w:t>
            </w:r>
          </w:p>
        </w:tc>
      </w:tr>
      <w:tr>
        <w:trPr/>
        <w:tc>
          <w:tcPr>
            <w:tcW w:w="16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r>
      <w:tr>
        <w:trPr/>
        <w:tc>
          <w:tcPr>
            <w:tcW w:w="1696"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16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169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Adjusted EBITDA:</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Adjusted OIBDA</w:t>
            </w:r>
            <w:r>
              <w:rPr>
                <w:rFonts w:ascii="Times New Roman;serif" w:hAnsi="Times New Roman;serif"/>
                <w:b/>
                <w:i w:val="false"/>
                <w:caps w:val="false"/>
                <w:smallCaps w:val="false"/>
                <w:sz w:val="12"/>
              </w:rPr>
              <w:t>(c)</w:t>
            </w:r>
            <w:r>
              <w:rPr>
                <w:rFonts w:ascii="Times New Roman;serif" w:hAnsi="Times New Roman;serif"/>
                <w:b/>
                <w:i w:val="false"/>
                <w:caps w:val="false"/>
                <w:smallCaps w:val="false"/>
                <w:sz w:val="18"/>
              </w:rPr>
              <w:t>:</w:t>
            </w:r>
          </w:p>
        </w:tc>
        <w:tc>
          <w:tcPr>
            <w:tcW w:w="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Adjusted EBITDA:</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Studios</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Filmed Entertainment</w:t>
            </w:r>
          </w:p>
        </w:tc>
        <w:tc>
          <w:tcPr>
            <w:tcW w:w="21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$(84)</w:t>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Studios</w:t>
            </w:r>
          </w:p>
        </w:tc>
        <w:tc>
          <w:tcPr>
            <w:tcW w:w="2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w:t>
            </w:r>
          </w:p>
        </w:tc>
        <w:tc>
          <w:tcPr>
            <w:tcW w:w="299"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Direct-to-Consumer</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366</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Direct-to-Consumer </w:t>
            </w:r>
            <w:r>
              <w:rPr>
                <w:rFonts w:ascii="Times New Roman;serif" w:hAnsi="Times New Roman;serif"/>
                <w:b w:val="false"/>
                <w:i w:val="false"/>
                <w:caps w:val="false"/>
                <w:smallCaps w:val="false"/>
                <w:sz w:val="12"/>
              </w:rPr>
              <w:t>(b)</w:t>
            </w:r>
          </w:p>
        </w:tc>
        <w:tc>
          <w:tcPr>
            <w:tcW w:w="21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157</w:t>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Direct-to-Consumer</w:t>
            </w:r>
          </w:p>
        </w:tc>
        <w:tc>
          <w:tcPr>
            <w:tcW w:w="2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254</w:t>
            </w:r>
          </w:p>
        </w:tc>
        <w:tc>
          <w:tcPr>
            <w:tcW w:w="299"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TV Media</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1,063</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TV Media </w:t>
            </w:r>
            <w:r>
              <w:rPr>
                <w:rFonts w:ascii="Times New Roman;serif" w:hAnsi="Times New Roman;serif"/>
                <w:b w:val="false"/>
                <w:i w:val="false"/>
                <w:caps w:val="false"/>
                <w:smallCaps w:val="false"/>
                <w:sz w:val="12"/>
              </w:rPr>
              <w:t>(b)</w:t>
            </w:r>
          </w:p>
        </w:tc>
        <w:tc>
          <w:tcPr>
            <w:tcW w:w="21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863</w:t>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TV Media</w:t>
            </w:r>
          </w:p>
        </w:tc>
        <w:tc>
          <w:tcPr>
            <w:tcW w:w="2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912</w:t>
            </w:r>
          </w:p>
        </w:tc>
        <w:tc>
          <w:tcPr>
            <w:tcW w:w="299"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Eliminations </w:t>
            </w:r>
            <w:r>
              <w:rPr>
                <w:rFonts w:ascii="Times New Roman;serif" w:hAnsi="Times New Roman;serif"/>
                <w:b w:val="false"/>
                <w:i w:val="false"/>
                <w:caps w:val="false"/>
                <w:smallCaps w:val="false"/>
                <w:sz w:val="12"/>
              </w:rPr>
              <w:t>(d)</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(366)</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Eliminations </w:t>
            </w:r>
            <w:r>
              <w:rPr>
                <w:rFonts w:ascii="Times New Roman;serif" w:hAnsi="Times New Roman;serif"/>
                <w:b w:val="false"/>
                <w:i w:val="false"/>
                <w:caps w:val="false"/>
                <w:smallCaps w:val="false"/>
                <w:sz w:val="12"/>
              </w:rPr>
              <w:t>(d)</w:t>
            </w:r>
          </w:p>
        </w:tc>
        <w:tc>
          <w:tcPr>
            <w:tcW w:w="21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(73)</w:t>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Eliminations </w:t>
            </w:r>
            <w:r>
              <w:rPr>
                <w:rFonts w:ascii="Times New Roman;serif" w:hAnsi="Times New Roman;serif"/>
                <w:b w:val="false"/>
                <w:i w:val="false"/>
                <w:caps w:val="false"/>
                <w:smallCaps w:val="false"/>
                <w:sz w:val="12"/>
              </w:rPr>
              <w:t>(d)</w:t>
            </w:r>
          </w:p>
        </w:tc>
        <w:tc>
          <w:tcPr>
            <w:tcW w:w="2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(272)</w:t>
            </w:r>
          </w:p>
        </w:tc>
        <w:tc>
          <w:tcPr>
            <w:tcW w:w="299"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Stock-based </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compensation </w:t>
            </w:r>
            <w:r>
              <w:rPr>
                <w:rFonts w:ascii="Times New Roman;serif" w:hAnsi="Times New Roman;serif"/>
                <w:b w:val="false"/>
                <w:i w:val="false"/>
                <w:caps w:val="false"/>
                <w:smallCaps w:val="false"/>
                <w:sz w:val="12"/>
              </w:rPr>
              <w:t>(e)</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(72)</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Stock-based </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compensation </w:t>
            </w:r>
            <w:r>
              <w:rPr>
                <w:rFonts w:ascii="Times New Roman;serif" w:hAnsi="Times New Roman;serif"/>
                <w:b w:val="false"/>
                <w:i w:val="false"/>
                <w:caps w:val="false"/>
                <w:smallCaps w:val="false"/>
                <w:sz w:val="12"/>
              </w:rPr>
              <w:t>(e)</w:t>
            </w:r>
          </w:p>
        </w:tc>
        <w:tc>
          <w:tcPr>
            <w:tcW w:w="21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w:t>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Stock-based </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compensation </w:t>
            </w:r>
            <w:r>
              <w:rPr>
                <w:rFonts w:ascii="Times New Roman;serif" w:hAnsi="Times New Roman;serif"/>
                <w:b w:val="false"/>
                <w:i w:val="false"/>
                <w:caps w:val="false"/>
                <w:smallCaps w:val="false"/>
                <w:sz w:val="12"/>
              </w:rPr>
              <w:t>(e)</w:t>
            </w:r>
          </w:p>
        </w:tc>
        <w:tc>
          <w:tcPr>
            <w:tcW w:w="2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w:t>
            </w:r>
          </w:p>
        </w:tc>
        <w:tc>
          <w:tcPr>
            <w:tcW w:w="299"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Depreciation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amortization</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(364)</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Depreciation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amortization</w:t>
            </w:r>
          </w:p>
        </w:tc>
        <w:tc>
          <w:tcPr>
            <w:tcW w:w="21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(87)</w:t>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Depreciation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amortization</w:t>
            </w:r>
          </w:p>
        </w:tc>
        <w:tc>
          <w:tcPr>
            <w:tcW w:w="2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(87)</w:t>
            </w:r>
          </w:p>
        </w:tc>
        <w:tc>
          <w:tcPr>
            <w:tcW w:w="299"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Impairment charges</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Impairment charges</w:t>
            </w:r>
          </w:p>
        </w:tc>
        <w:tc>
          <w:tcPr>
            <w:tcW w:w="21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(157)</w:t>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Impairment charges</w:t>
            </w:r>
          </w:p>
        </w:tc>
        <w:tc>
          <w:tcPr>
            <w:tcW w:w="2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(157)</w:t>
            </w:r>
          </w:p>
        </w:tc>
        <w:tc>
          <w:tcPr>
            <w:tcW w:w="299"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Restructuring and </w:t>
            </w:r>
          </w:p>
          <w:p>
            <w:pPr>
              <w:pStyle w:val="TableContents"/>
              <w:bidi w:val="0"/>
              <w:spacing w:lineRule="atLeast" w:line="180"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18"/>
              </w:rPr>
              <w:t xml:space="preserve">transaction-related </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items </w:t>
            </w:r>
            <w:r>
              <w:rPr>
                <w:rFonts w:ascii="Times New Roman;serif" w:hAnsi="Times New Roman;serif"/>
                <w:b w:val="false"/>
                <w:i w:val="false"/>
                <w:caps w:val="false"/>
                <w:smallCaps w:val="false"/>
                <w:sz w:val="12"/>
              </w:rPr>
              <w:t>(e)</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(188)</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Restructuring and </w:t>
            </w:r>
          </w:p>
          <w:p>
            <w:pPr>
              <w:pStyle w:val="TableContents"/>
              <w:bidi w:val="0"/>
              <w:spacing w:lineRule="atLeast" w:line="180"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18"/>
              </w:rPr>
              <w:t xml:space="preserve">transaction-related </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items </w:t>
            </w:r>
            <w:r>
              <w:rPr>
                <w:rFonts w:ascii="Times New Roman;serif" w:hAnsi="Times New Roman;serif"/>
                <w:b w:val="false"/>
                <w:i w:val="false"/>
                <w:caps w:val="false"/>
                <w:smallCaps w:val="false"/>
                <w:sz w:val="12"/>
              </w:rPr>
              <w:t>(e)</w:t>
            </w:r>
          </w:p>
        </w:tc>
        <w:tc>
          <w:tcPr>
            <w:tcW w:w="2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(181)</w:t>
            </w:r>
          </w:p>
        </w:tc>
        <w:tc>
          <w:tcPr>
            <w:tcW w:w="21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Restructuring and </w:t>
            </w:r>
          </w:p>
          <w:p>
            <w:pPr>
              <w:pStyle w:val="TableContents"/>
              <w:bidi w:val="0"/>
              <w:spacing w:lineRule="atLeast" w:line="180"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18"/>
              </w:rPr>
              <w:t xml:space="preserve">transaction-related </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items </w:t>
            </w:r>
            <w:r>
              <w:rPr>
                <w:rFonts w:ascii="Times New Roman;serif" w:hAnsi="Times New Roman;serif"/>
                <w:b w:val="false"/>
                <w:i w:val="false"/>
                <w:caps w:val="false"/>
                <w:smallCaps w:val="false"/>
                <w:sz w:val="12"/>
              </w:rPr>
              <w:t>(e)</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(181)</w:t>
            </w:r>
          </w:p>
        </w:tc>
        <w:tc>
          <w:tcPr>
            <w:tcW w:w="299" w:type="dxa"/>
            <w:tcBorders/>
            <w:vAlign w:val="center"/>
          </w:tcPr>
          <w:p>
            <w:pPr>
              <w:pStyle w:val="TableContents"/>
              <w:bidi w:val="0"/>
              <w:spacing w:before="0" w:after="283"/>
              <w:jc w:val="left"/>
              <w:rPr>
                <w:sz w:val="4"/>
                <w:szCs w:val="4"/>
              </w:rPr>
            </w:pPr>
            <w:r>
              <w:rPr>
                <w:sz w:val="4"/>
                <w:szCs w:val="4"/>
              </w:rPr>
            </w:r>
          </w:p>
        </w:tc>
      </w:tr>
      <w:tr>
        <w:trPr/>
        <w:tc>
          <w:tcPr>
            <w:tcW w:w="169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Operating income</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475</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Operating income</w:t>
            </w:r>
          </w:p>
        </w:tc>
        <w:tc>
          <w:tcPr>
            <w:tcW w:w="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399</w:t>
            </w:r>
          </w:p>
        </w:tc>
        <w:tc>
          <w:tcPr>
            <w:tcW w:w="2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Operating income</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399</w:t>
            </w:r>
          </w:p>
        </w:tc>
        <w:tc>
          <w:tcPr>
            <w:tcW w:w="299"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expense, net</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(226)</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expense, net</w:t>
            </w:r>
          </w:p>
        </w:tc>
        <w:tc>
          <w:tcPr>
            <w:tcW w:w="21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(182)</w:t>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expense, net</w:t>
            </w:r>
          </w:p>
        </w:tc>
        <w:tc>
          <w:tcPr>
            <w:tcW w:w="2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(182)</w:t>
            </w:r>
          </w:p>
        </w:tc>
        <w:tc>
          <w:tcPr>
            <w:tcW w:w="299"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items, net</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items, net</w:t>
            </w:r>
          </w:p>
        </w:tc>
        <w:tc>
          <w:tcPr>
            <w:tcW w:w="2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w:t>
            </w:r>
          </w:p>
        </w:tc>
        <w:tc>
          <w:tcPr>
            <w:tcW w:w="21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items, net</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w:t>
            </w:r>
          </w:p>
        </w:tc>
        <w:tc>
          <w:tcPr>
            <w:tcW w:w="2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Earnings before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income taxes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equity in loss of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investee companies</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215</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Earnings before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income taxes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equity in loss of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investee companies</w:t>
            </w:r>
          </w:p>
        </w:tc>
        <w:tc>
          <w:tcPr>
            <w:tcW w:w="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178</w:t>
            </w:r>
          </w:p>
        </w:tc>
        <w:tc>
          <w:tcPr>
            <w:tcW w:w="2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Earnings before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income taxes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equity in loss of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investee companies</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178</w:t>
            </w:r>
          </w:p>
        </w:tc>
        <w:tc>
          <w:tcPr>
            <w:tcW w:w="2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Provision for income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taxes</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(120)</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Provision for income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taxes</w:t>
            </w:r>
          </w:p>
        </w:tc>
        <w:tc>
          <w:tcPr>
            <w:tcW w:w="21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w:t>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Provision for income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taxes</w:t>
            </w:r>
          </w:p>
        </w:tc>
        <w:tc>
          <w:tcPr>
            <w:tcW w:w="2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w:t>
            </w:r>
          </w:p>
        </w:tc>
        <w:tc>
          <w:tcPr>
            <w:tcW w:w="299"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Equity in loss of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investee companies,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net of tax</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(54)</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Equity in loss of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investee companies,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net of tax</w:t>
            </w:r>
          </w:p>
        </w:tc>
        <w:tc>
          <w:tcPr>
            <w:tcW w:w="2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(67)</w:t>
            </w:r>
          </w:p>
        </w:tc>
        <w:tc>
          <w:tcPr>
            <w:tcW w:w="21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Equity in loss of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investee companies,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net of tax</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(67)</w:t>
            </w:r>
          </w:p>
        </w:tc>
        <w:tc>
          <w:tcPr>
            <w:tcW w:w="2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(Parent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and 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(Parent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and 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w:t>
            </w:r>
          </w:p>
        </w:tc>
        <w:tc>
          <w:tcPr>
            <w:tcW w:w="2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(Parent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and 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w:t>
            </w:r>
          </w:p>
        </w:tc>
        <w:tc>
          <w:tcPr>
            <w:tcW w:w="2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attributable to</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attributable to</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2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21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attributable to</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2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attributable to Parent</w:t>
            </w:r>
          </w:p>
        </w:tc>
        <w:tc>
          <w:tcPr>
            <w:tcW w:w="19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w:t>
            </w:r>
          </w:p>
        </w:tc>
        <w:tc>
          <w:tcPr>
            <w:tcW w:w="19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attributable to Parent</w:t>
            </w:r>
          </w:p>
        </w:tc>
        <w:tc>
          <w:tcPr>
            <w:tcW w:w="21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w:t>
            </w:r>
          </w:p>
        </w:tc>
        <w:tc>
          <w:tcPr>
            <w:tcW w:w="21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attributable to Parent</w:t>
            </w:r>
          </w:p>
        </w:tc>
        <w:tc>
          <w:tcPr>
            <w:tcW w:w="2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w:t>
            </w:r>
          </w:p>
        </w:tc>
        <w:tc>
          <w:tcPr>
            <w:tcW w:w="29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(a) As discussed above, Adjusted EBITDA by segment recast under our new segment presentation is non-GAAP. See </w:t>
      </w:r>
      <w:r>
        <w:rPr>
          <w:rFonts w:ascii="Times New Roman;serif" w:hAnsi="Times New Roman;serif"/>
          <w:b w:val="false"/>
          <w:i/>
          <w:sz w:val="18"/>
        </w:rPr>
        <w:t>Studios</w:t>
      </w:r>
      <w:r>
        <w:rPr>
          <w:rFonts w:ascii="Times New Roman;serif" w:hAnsi="Times New Roman;serif"/>
          <w:b w:val="false"/>
          <w:i w:val="false"/>
          <w:caps w:val="false"/>
          <w:smallCaps w:val="false"/>
          <w:sz w:val="18"/>
        </w:rPr>
        <w:t>,</w:t>
      </w:r>
      <w:r>
        <w:rPr/>
        <w:t xml:space="preserve"> </w:t>
      </w:r>
      <w:r>
        <w:rPr>
          <w:rFonts w:ascii="Times New Roman;serif" w:hAnsi="Times New Roman;serif"/>
          <w:b w:val="false"/>
          <w:i/>
          <w:sz w:val="18"/>
        </w:rPr>
        <w:t>Direct-</w:t>
      </w:r>
    </w:p>
    <w:p>
      <w:pPr>
        <w:pStyle w:val="TextBody"/>
        <w:bidi w:val="0"/>
        <w:spacing w:lineRule="atLeast" w:line="180" w:before="0" w:after="0"/>
        <w:jc w:val="left"/>
        <w:rPr/>
      </w:pPr>
      <w:r>
        <w:rPr>
          <w:rFonts w:ascii="Times New Roman;serif" w:hAnsi="Times New Roman;serif"/>
          <w:b w:val="false"/>
          <w:i/>
          <w:sz w:val="18"/>
        </w:rPr>
        <w:t>to-Consumer</w:t>
      </w:r>
      <w:r>
        <w:rPr>
          <w:rFonts w:ascii="Times New Roman;serif" w:hAnsi="Times New Roman;serif"/>
          <w:b w:val="false"/>
          <w:i w:val="false"/>
          <w:caps w:val="false"/>
          <w:smallCaps w:val="false"/>
          <w:sz w:val="18"/>
        </w:rPr>
        <w:t>, and</w:t>
      </w:r>
      <w:r>
        <w:rPr/>
        <w:t xml:space="preserve"> </w:t>
      </w:r>
      <w:r>
        <w:rPr>
          <w:rFonts w:ascii="Times New Roman;serif" w:hAnsi="Times New Roman;serif"/>
          <w:b w:val="false"/>
          <w:i/>
          <w:sz w:val="18"/>
        </w:rPr>
        <w:t>TV Media</w:t>
      </w:r>
      <w:r>
        <w:rPr>
          <w:caps w:val="false"/>
          <w:smallCaps w:val="false"/>
        </w:rPr>
        <w:t xml:space="preserve"> </w:t>
      </w:r>
      <w:r>
        <w:rPr>
          <w:rFonts w:ascii="Times New Roman;serif" w:hAnsi="Times New Roman;serif"/>
          <w:b w:val="false"/>
          <w:i w:val="false"/>
          <w:caps w:val="false"/>
          <w:smallCaps w:val="false"/>
          <w:sz w:val="18"/>
        </w:rPr>
        <w:t xml:space="preserve">on the following pages for reconciliations from the GAAP segment presentation for the three months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ended June 30, 2025 to the non-GAAP recast amounts. All other amounts in this table are presented on a GAAP basis. </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(b) Reflects the historical segment composition for </w:t>
      </w:r>
      <w:r>
        <w:rPr>
          <w:rFonts w:ascii="Times New Roman;serif" w:hAnsi="Times New Roman;serif"/>
          <w:b w:val="false"/>
          <w:i/>
          <w:sz w:val="18"/>
        </w:rPr>
        <w:t>Direct-to-Consumer</w:t>
      </w:r>
      <w:r>
        <w:rPr>
          <w:caps w:val="false"/>
          <w:smallCaps w:val="false"/>
        </w:rPr>
        <w:t xml:space="preserve"> </w:t>
      </w:r>
      <w:r>
        <w:rPr>
          <w:rFonts w:ascii="Times New Roman;serif" w:hAnsi="Times New Roman;serif"/>
          <w:b w:val="false"/>
          <w:i w:val="false"/>
          <w:caps w:val="false"/>
          <w:smallCaps w:val="false"/>
          <w:sz w:val="18"/>
        </w:rPr>
        <w:t xml:space="preserve">and </w:t>
      </w:r>
      <w:r>
        <w:rPr>
          <w:rFonts w:ascii="Times New Roman;serif" w:hAnsi="Times New Roman;serif"/>
          <w:b w:val="false"/>
          <w:i/>
          <w:sz w:val="18"/>
        </w:rPr>
        <w:t>TV Media</w:t>
      </w:r>
      <w:r>
        <w:rPr>
          <w:rFonts w:ascii="Times New Roman;serif" w:hAnsi="Times New Roman;serif"/>
          <w:b w:val="false"/>
          <w:i w:val="false"/>
          <w:caps w:val="false"/>
          <w:smallCaps w:val="false"/>
          <w:sz w:val="18"/>
        </w:rPr>
        <w:t xml:space="preserv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 In the first quarter of 2026, we renamed our primary measure of profit and loss for our operating segments from Adjusted OIBDA to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Adjusted EBITDA. See Note </w:t>
      </w:r>
      <w:r>
        <w:rPr>
          <w:rFonts w:ascii="Times New Roman;serif" w:hAnsi="Times New Roman;serif"/>
          <w:b w:val="false"/>
          <w:i w:val="false"/>
          <w:caps w:val="false"/>
          <w:smallCaps w:val="false"/>
          <w:strike w:val="false"/>
          <w:dstrike w:val="false"/>
          <w:sz w:val="18"/>
          <w:u w:val="none"/>
          <w:effect w:val="none"/>
        </w:rPr>
        <w:t>13</w:t>
      </w:r>
      <w:r>
        <w:rPr>
          <w:caps w:val="false"/>
          <w:smallCaps w:val="false"/>
          <w:sz w:val="24"/>
        </w:rPr>
        <w:t xml:space="preserve"> </w:t>
      </w:r>
      <w:r>
        <w:rPr>
          <w:rFonts w:ascii="Times New Roman;serif" w:hAnsi="Times New Roman;serif"/>
          <w:b w:val="false"/>
          <w:i w:val="false"/>
          <w:caps w:val="false"/>
          <w:smallCaps w:val="false"/>
          <w:sz w:val="18"/>
        </w:rPr>
        <w:t>to the consolidated financial statements for further discussion.</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(d) As noted above, concurrent with the change to our segments, we updated our segment expense allocations to better reflect how we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operate and make cost decisions across the business, which resulted in higher costs at Corporate. The increase compared with the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non-GAAP Predecessor presentation was driven by higher technology costs and consulting fees.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(e) The increase in stock-based compensation expense between the 2026 and 2025 periods was driven by grants following the Skydance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Transactions and the comparison to lower expenses in 2025 as a result of accelerated vesting in December 2024 of certain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employees’ RSUs and PSUs to help mitigate potential tax impacts that would otherwise arise under Sections 280G and 4999 of the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Internal Revenue Code. Stock-based compensation expense of </w:t>
      </w:r>
      <w:r>
        <w:rPr>
          <w:rFonts w:ascii="Times New Roman;serif" w:hAnsi="Times New Roman;serif"/>
          <w:b w:val="false"/>
          <w:i w:val="false"/>
          <w:caps w:val="false"/>
          <w:smallCaps w:val="false"/>
          <w:strike w:val="false"/>
          <w:dstrike w:val="false"/>
          <w:sz w:val="18"/>
          <w:u w:val="none"/>
          <w:effect w:val="none"/>
        </w:rPr>
        <w:t>$9 million</w:t>
      </w:r>
      <w:r>
        <w:rPr>
          <w:caps w:val="false"/>
          <w:smallCaps w:val="false"/>
          <w:sz w:val="24"/>
        </w:rPr>
        <w:t xml:space="preserve"> </w:t>
      </w:r>
      <w:r>
        <w:rPr>
          <w:rFonts w:ascii="Times New Roman;serif" w:hAnsi="Times New Roman;serif"/>
          <w:b w:val="false"/>
          <w:i w:val="false"/>
          <w:caps w:val="false"/>
          <w:smallCaps w:val="false"/>
          <w:sz w:val="18"/>
        </w:rPr>
        <w:t xml:space="preserve">for three months ended </w:t>
      </w:r>
      <w:r>
        <w:rPr>
          <w:rFonts w:ascii="Times New Roman;serif" w:hAnsi="Times New Roman;serif"/>
          <w:b w:val="false"/>
          <w:i w:val="false"/>
          <w:caps w:val="false"/>
          <w:smallCaps w:val="false"/>
          <w:strike w:val="false"/>
          <w:dstrike w:val="false"/>
          <w:sz w:val="18"/>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18"/>
        </w:rPr>
        <w:t xml:space="preserve">(Successor) and </w:t>
      </w:r>
      <w:r>
        <w:rPr>
          <w:rFonts w:ascii="Times New Roman;serif" w:hAnsi="Times New Roman;serif"/>
          <w:b w:val="false"/>
          <w:i w:val="false"/>
          <w:caps w:val="false"/>
          <w:smallCaps w:val="false"/>
          <w:strike w:val="false"/>
          <w:dstrike w:val="false"/>
          <w:sz w:val="18"/>
          <w:u w:val="none"/>
          <w:effect w:val="none"/>
        </w:rPr>
        <w:t xml:space="preserve">$4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million</w:t>
      </w:r>
      <w:r>
        <w:rPr>
          <w:caps w:val="false"/>
          <w:smallCaps w:val="false"/>
          <w:sz w:val="24"/>
        </w:rPr>
        <w:t xml:space="preserve"> </w:t>
      </w:r>
      <w:r>
        <w:rPr>
          <w:rFonts w:ascii="Times New Roman;serif" w:hAnsi="Times New Roman;serif"/>
          <w:b w:val="false"/>
          <w:i w:val="false"/>
          <w:caps w:val="false"/>
          <w:smallCaps w:val="false"/>
          <w:sz w:val="18"/>
        </w:rPr>
        <w:t xml:space="preserve">for the three months ended </w:t>
      </w:r>
      <w:r>
        <w:rPr>
          <w:rFonts w:ascii="Times New Roman;serif" w:hAnsi="Times New Roman;serif"/>
          <w:b w:val="false"/>
          <w:i w:val="false"/>
          <w:caps w:val="false"/>
          <w:smallCaps w:val="false"/>
          <w:strike w:val="false"/>
          <w:dstrike w:val="false"/>
          <w:sz w:val="18"/>
          <w:u w:val="none"/>
          <w:effect w:val="none"/>
        </w:rPr>
        <w:t>June 30, 2025</w:t>
      </w:r>
      <w:r>
        <w:rPr>
          <w:caps w:val="false"/>
          <w:smallCaps w:val="false"/>
          <w:sz w:val="24"/>
        </w:rPr>
        <w:t xml:space="preserve"> </w:t>
      </w:r>
      <w:r>
        <w:rPr>
          <w:rFonts w:ascii="Times New Roman;serif" w:hAnsi="Times New Roman;serif"/>
          <w:b w:val="false"/>
          <w:i w:val="false"/>
          <w:caps w:val="false"/>
          <w:smallCaps w:val="false"/>
          <w:sz w:val="18"/>
        </w:rPr>
        <w:t xml:space="preserve">(Predecessor) is included in “Restructuring and transaction-related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267" w:type="dxa"/>
        <w:jc w:val="left"/>
        <w:tblInd w:w="0" w:type="dxa"/>
        <w:tblLayout w:type="fixed"/>
        <w:tblCellMar>
          <w:top w:w="28" w:type="dxa"/>
          <w:left w:w="28" w:type="dxa"/>
          <w:bottom w:w="28" w:type="dxa"/>
          <w:right w:w="28" w:type="dxa"/>
        </w:tblCellMar>
      </w:tblPr>
      <w:tblGrid>
        <w:gridCol w:w="2191"/>
        <w:gridCol w:w="243"/>
        <w:gridCol w:w="1748"/>
        <w:gridCol w:w="243"/>
        <w:gridCol w:w="109"/>
        <w:gridCol w:w="109"/>
        <w:gridCol w:w="242"/>
        <w:gridCol w:w="1747"/>
        <w:gridCol w:w="246"/>
        <w:gridCol w:w="109"/>
        <w:gridCol w:w="236"/>
        <w:gridCol w:w="1707"/>
        <w:gridCol w:w="337"/>
      </w:tblGrid>
      <w:tr>
        <w:trPr/>
        <w:tc>
          <w:tcPr>
            <w:tcW w:w="219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19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GAAP</w:t>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Non-GAAP </w:t>
            </w:r>
            <w:r>
              <w:rPr>
                <w:rFonts w:ascii="Times New Roman;serif" w:hAnsi="Times New Roman;serif"/>
                <w:b/>
                <w:i w:val="false"/>
                <w:caps w:val="false"/>
                <w:smallCaps w:val="false"/>
                <w:sz w:val="12"/>
              </w:rPr>
              <w:t>(a)</w:t>
            </w:r>
          </w:p>
        </w:tc>
      </w:tr>
      <w:tr>
        <w:trPr/>
        <w:tc>
          <w:tcPr>
            <w:tcW w:w="2191" w:type="dxa"/>
            <w:tcBorders/>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r>
      <w:tr>
        <w:trPr/>
        <w:tc>
          <w:tcPr>
            <w:tcW w:w="2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Six Months 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Six Months Ended June 30,</w:t>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219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Revenues:</w:t>
            </w:r>
          </w:p>
        </w:tc>
        <w:tc>
          <w:tcPr>
            <w:tcW w:w="2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sz w:val="4"/>
                <w:szCs w:val="4"/>
              </w:rPr>
            </w:pPr>
            <w:r>
              <w:rPr>
                <w:sz w:val="4"/>
                <w:szCs w:val="4"/>
              </w:rPr>
            </w:r>
          </w:p>
        </w:tc>
        <w:tc>
          <w:tcPr>
            <w:tcW w:w="223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Studios</w:t>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Filmed Entertainment</w:t>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Studios</w:t>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Theatrical</w:t>
            </w:r>
          </w:p>
        </w:tc>
        <w:tc>
          <w:tcPr>
            <w:tcW w:w="2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w:t>
            </w:r>
          </w:p>
        </w:tc>
        <w:tc>
          <w:tcPr>
            <w:tcW w:w="2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w:t>
            </w:r>
          </w:p>
        </w:tc>
        <w:tc>
          <w:tcPr>
            <w:tcW w:w="2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w:t>
            </w:r>
          </w:p>
        </w:tc>
        <w:tc>
          <w:tcPr>
            <w:tcW w:w="33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2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2,299</w:t>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910</w:t>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1,883</w:t>
            </w:r>
          </w:p>
        </w:tc>
        <w:tc>
          <w:tcPr>
            <w:tcW w:w="337"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33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w:t>
            </w:r>
          </w:p>
        </w:tc>
        <w:tc>
          <w:tcPr>
            <w:tcW w:w="2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4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2,597</w:t>
            </w:r>
          </w:p>
        </w:tc>
        <w:tc>
          <w:tcPr>
            <w:tcW w:w="2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4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1,317</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0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2,294</w:t>
            </w:r>
          </w:p>
        </w:tc>
        <w:tc>
          <w:tcPr>
            <w:tcW w:w="3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Direct-to-Consumer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rPr>
              <w:t xml:space="preserve">Direct-to-Consumer </w:t>
            </w:r>
            <w:r>
              <w:rPr>
                <w:rFonts w:ascii="Times New Roman;serif" w:hAnsi="Times New Roman;serif"/>
                <w:b/>
                <w:i w:val="false"/>
                <w:caps w:val="false"/>
                <w:smallCaps w:val="false"/>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Direct-to-Consumer</w:t>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2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1,052</w:t>
            </w:r>
          </w:p>
        </w:tc>
        <w:tc>
          <w:tcPr>
            <w:tcW w:w="2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967</w:t>
            </w:r>
          </w:p>
        </w:tc>
        <w:tc>
          <w:tcPr>
            <w:tcW w:w="2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967</w:t>
            </w:r>
          </w:p>
        </w:tc>
        <w:tc>
          <w:tcPr>
            <w:tcW w:w="33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and subscription</w:t>
            </w:r>
          </w:p>
        </w:tc>
        <w:tc>
          <w:tcPr>
            <w:tcW w:w="2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3,820</w:t>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3,236</w:t>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3,447</w:t>
            </w:r>
          </w:p>
        </w:tc>
        <w:tc>
          <w:tcPr>
            <w:tcW w:w="337"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33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w:t>
            </w:r>
          </w:p>
        </w:tc>
        <w:tc>
          <w:tcPr>
            <w:tcW w:w="2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4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4,872</w:t>
            </w:r>
          </w:p>
        </w:tc>
        <w:tc>
          <w:tcPr>
            <w:tcW w:w="2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4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4,204</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0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4,415</w:t>
            </w:r>
          </w:p>
        </w:tc>
        <w:tc>
          <w:tcPr>
            <w:tcW w:w="3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TV Media</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rPr>
              <w:t xml:space="preserve">TV Media </w:t>
            </w:r>
            <w:r>
              <w:rPr>
                <w:rFonts w:ascii="Times New Roman;serif" w:hAnsi="Times New Roman;serif"/>
                <w:b/>
                <w:i w:val="false"/>
                <w:caps w:val="false"/>
                <w:smallCaps w:val="false"/>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TV Media</w:t>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Advertising</w:t>
            </w:r>
          </w:p>
        </w:tc>
        <w:tc>
          <w:tcPr>
            <w:tcW w:w="2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3,341</w:t>
            </w:r>
          </w:p>
        </w:tc>
        <w:tc>
          <w:tcPr>
            <w:tcW w:w="2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3,695</w:t>
            </w:r>
          </w:p>
        </w:tc>
        <w:tc>
          <w:tcPr>
            <w:tcW w:w="2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3,691</w:t>
            </w:r>
          </w:p>
        </w:tc>
        <w:tc>
          <w:tcPr>
            <w:tcW w:w="33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and subscription</w:t>
            </w:r>
          </w:p>
        </w:tc>
        <w:tc>
          <w:tcPr>
            <w:tcW w:w="2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3,201</w:t>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3,606</w:t>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3,395</w:t>
            </w:r>
          </w:p>
        </w:tc>
        <w:tc>
          <w:tcPr>
            <w:tcW w:w="337"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Licensing and other</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252</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1,248</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252</w:t>
            </w:r>
          </w:p>
        </w:tc>
        <w:tc>
          <w:tcPr>
            <w:tcW w:w="33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w:t>
            </w:r>
          </w:p>
        </w:tc>
        <w:tc>
          <w:tcPr>
            <w:tcW w:w="2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4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6,794</w:t>
            </w:r>
          </w:p>
        </w:tc>
        <w:tc>
          <w:tcPr>
            <w:tcW w:w="2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4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8,549</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0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7,338</w:t>
            </w:r>
          </w:p>
        </w:tc>
        <w:tc>
          <w:tcPr>
            <w:tcW w:w="3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Eliminations</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Eliminations</w:t>
            </w:r>
          </w:p>
        </w:tc>
      </w:tr>
      <w:tr>
        <w:trPr/>
        <w:tc>
          <w:tcPr>
            <w:tcW w:w="2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4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2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4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0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3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 Revenues</w:t>
            </w:r>
          </w:p>
        </w:tc>
        <w:tc>
          <w:tcPr>
            <w:tcW w:w="24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48"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$14,260</w:t>
            </w:r>
          </w:p>
        </w:tc>
        <w:tc>
          <w:tcPr>
            <w:tcW w:w="24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47"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$14,041</w:t>
            </w:r>
          </w:p>
        </w:tc>
        <w:tc>
          <w:tcPr>
            <w:tcW w:w="24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07"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$14,041</w:t>
            </w:r>
          </w:p>
        </w:tc>
        <w:tc>
          <w:tcPr>
            <w:tcW w:w="33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tbl>
      <w:tblPr>
        <w:tblW w:w="9388" w:type="dxa"/>
        <w:jc w:val="left"/>
        <w:tblInd w:w="0" w:type="dxa"/>
        <w:tblLayout w:type="fixed"/>
        <w:tblCellMar>
          <w:top w:w="28" w:type="dxa"/>
          <w:left w:w="28" w:type="dxa"/>
          <w:bottom w:w="28" w:type="dxa"/>
          <w:right w:w="28" w:type="dxa"/>
        </w:tblCellMar>
      </w:tblPr>
      <w:tblGrid>
        <w:gridCol w:w="1696"/>
        <w:gridCol w:w="193"/>
        <w:gridCol w:w="915"/>
        <w:gridCol w:w="196"/>
        <w:gridCol w:w="109"/>
        <w:gridCol w:w="109"/>
        <w:gridCol w:w="1726"/>
        <w:gridCol w:w="194"/>
        <w:gridCol w:w="915"/>
        <w:gridCol w:w="196"/>
        <w:gridCol w:w="109"/>
        <w:gridCol w:w="1681"/>
        <w:gridCol w:w="190"/>
        <w:gridCol w:w="890"/>
        <w:gridCol w:w="269"/>
      </w:tblGrid>
      <w:tr>
        <w:trPr/>
        <w:tc>
          <w:tcPr>
            <w:tcW w:w="169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6249" w:type="dxa"/>
            <w:gridSpan w:val="10"/>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GAAP</w:t>
            </w:r>
          </w:p>
        </w:tc>
        <w:tc>
          <w:tcPr>
            <w:tcW w:w="109" w:type="dxa"/>
            <w:tcBorders/>
            <w:vAlign w:val="center"/>
          </w:tcPr>
          <w:p>
            <w:pPr>
              <w:pStyle w:val="TableContents"/>
              <w:bidi w:val="0"/>
              <w:spacing w:before="0" w:after="283"/>
              <w:jc w:val="left"/>
              <w:rPr>
                <w:sz w:val="4"/>
                <w:szCs w:val="4"/>
              </w:rPr>
            </w:pPr>
            <w:r>
              <w:rPr>
                <w:sz w:val="4"/>
                <w:szCs w:val="4"/>
              </w:rPr>
            </w:r>
          </w:p>
        </w:tc>
        <w:tc>
          <w:tcPr>
            <w:tcW w:w="3030" w:type="dxa"/>
            <w:gridSpan w:val="4"/>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Non-GAAP </w:t>
            </w:r>
            <w:r>
              <w:rPr>
                <w:rFonts w:ascii="Times New Roman;serif" w:hAnsi="Times New Roman;serif"/>
                <w:b/>
                <w:i w:val="false"/>
                <w:caps w:val="false"/>
                <w:smallCaps w:val="false"/>
                <w:sz w:val="12"/>
              </w:rPr>
              <w:t>(a)</w:t>
            </w:r>
          </w:p>
        </w:tc>
      </w:tr>
      <w:tr>
        <w:trPr/>
        <w:tc>
          <w:tcPr>
            <w:tcW w:w="16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r>
      <w:tr>
        <w:trPr/>
        <w:tc>
          <w:tcPr>
            <w:tcW w:w="1696"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16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169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Adjusted EBITDA:</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Adjusted OIBDA</w:t>
            </w:r>
            <w:r>
              <w:rPr>
                <w:rFonts w:ascii="Times New Roman;serif" w:hAnsi="Times New Roman;serif"/>
                <w:b/>
                <w:i w:val="false"/>
                <w:caps w:val="false"/>
                <w:smallCaps w:val="false"/>
                <w:sz w:val="12"/>
              </w:rPr>
              <w:t>(c)</w:t>
            </w:r>
            <w:r>
              <w:rPr>
                <w:rFonts w:ascii="Times New Roman;serif" w:hAnsi="Times New Roman;serif"/>
                <w:b/>
                <w:i w:val="false"/>
                <w:caps w:val="false"/>
                <w:smallCaps w:val="false"/>
                <w:sz w:val="18"/>
              </w:rPr>
              <w:t>:</w:t>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Adjusted EBITDA:</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Studios</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$200</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Filmed Entertainment</w:t>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$(64)</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Studios</w:t>
            </w:r>
          </w:p>
        </w:tc>
        <w:tc>
          <w:tcPr>
            <w:tcW w:w="1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w:t>
            </w:r>
          </w:p>
        </w:tc>
        <w:tc>
          <w:tcPr>
            <w:tcW w:w="269"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Direct-to-Consumer</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617</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Direct-to-Consumer </w:t>
            </w:r>
            <w:r>
              <w:rPr>
                <w:rFonts w:ascii="Times New Roman;serif" w:hAnsi="Times New Roman;serif"/>
                <w:b w:val="false"/>
                <w:i w:val="false"/>
                <w:caps w:val="false"/>
                <w:smallCaps w:val="false"/>
                <w:sz w:val="12"/>
              </w:rPr>
              <w:t>(b)</w:t>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Direct-to-Consumer</w:t>
            </w:r>
          </w:p>
        </w:tc>
        <w:tc>
          <w:tcPr>
            <w:tcW w:w="1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250</w:t>
            </w:r>
          </w:p>
        </w:tc>
        <w:tc>
          <w:tcPr>
            <w:tcW w:w="269"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TV Media</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2,118</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TV Media </w:t>
            </w:r>
            <w:r>
              <w:rPr>
                <w:rFonts w:ascii="Times New Roman;serif" w:hAnsi="Times New Roman;serif"/>
                <w:b w:val="false"/>
                <w:i w:val="false"/>
                <w:caps w:val="false"/>
                <w:smallCaps w:val="false"/>
                <w:sz w:val="12"/>
              </w:rPr>
              <w:t>(b)</w:t>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1,785</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TV Media</w:t>
            </w:r>
          </w:p>
        </w:tc>
        <w:tc>
          <w:tcPr>
            <w:tcW w:w="1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1,863</w:t>
            </w:r>
          </w:p>
        </w:tc>
        <w:tc>
          <w:tcPr>
            <w:tcW w:w="269"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Eliminations </w:t>
            </w:r>
            <w:r>
              <w:rPr>
                <w:rFonts w:ascii="Times New Roman;serif" w:hAnsi="Times New Roman;serif"/>
                <w:b w:val="false"/>
                <w:i w:val="false"/>
                <w:caps w:val="false"/>
                <w:smallCaps w:val="false"/>
                <w:sz w:val="12"/>
              </w:rPr>
              <w:t>(d)</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(675)</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Eliminations </w:t>
            </w:r>
            <w:r>
              <w:rPr>
                <w:rFonts w:ascii="Times New Roman;serif" w:hAnsi="Times New Roman;serif"/>
                <w:b w:val="false"/>
                <w:i w:val="false"/>
                <w:caps w:val="false"/>
                <w:smallCaps w:val="false"/>
                <w:sz w:val="12"/>
              </w:rPr>
              <w:t>(d)</w:t>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(174)</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Eliminations </w:t>
            </w:r>
            <w:r>
              <w:rPr>
                <w:rFonts w:ascii="Times New Roman;serif" w:hAnsi="Times New Roman;serif"/>
                <w:b w:val="false"/>
                <w:i w:val="false"/>
                <w:caps w:val="false"/>
                <w:smallCaps w:val="false"/>
                <w:sz w:val="12"/>
              </w:rPr>
              <w:t>(d)</w:t>
            </w:r>
          </w:p>
        </w:tc>
        <w:tc>
          <w:tcPr>
            <w:tcW w:w="1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(569)</w:t>
            </w:r>
          </w:p>
        </w:tc>
        <w:tc>
          <w:tcPr>
            <w:tcW w:w="269"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Stock-based </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compensation </w:t>
            </w:r>
            <w:r>
              <w:rPr>
                <w:rFonts w:ascii="Times New Roman;serif" w:hAnsi="Times New Roman;serif"/>
                <w:b w:val="false"/>
                <w:i w:val="false"/>
                <w:caps w:val="false"/>
                <w:smallCaps w:val="false"/>
                <w:sz w:val="12"/>
              </w:rPr>
              <w:t>(e)</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(152)</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Stock-based </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compensation </w:t>
            </w:r>
            <w:r>
              <w:rPr>
                <w:rFonts w:ascii="Times New Roman;serif" w:hAnsi="Times New Roman;serif"/>
                <w:b w:val="false"/>
                <w:i w:val="false"/>
                <w:caps w:val="false"/>
                <w:smallCaps w:val="false"/>
                <w:sz w:val="12"/>
              </w:rPr>
              <w:t>(e)</w:t>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(83)</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Stock-based </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compensation </w:t>
            </w:r>
            <w:r>
              <w:rPr>
                <w:rFonts w:ascii="Times New Roman;serif" w:hAnsi="Times New Roman;serif"/>
                <w:b w:val="false"/>
                <w:i w:val="false"/>
                <w:caps w:val="false"/>
                <w:smallCaps w:val="false"/>
                <w:sz w:val="12"/>
              </w:rPr>
              <w:t>(e)</w:t>
            </w:r>
          </w:p>
        </w:tc>
        <w:tc>
          <w:tcPr>
            <w:tcW w:w="1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(83)</w:t>
            </w:r>
          </w:p>
        </w:tc>
        <w:tc>
          <w:tcPr>
            <w:tcW w:w="269"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Depreciation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amortization</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(726)</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Depreciation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amortization</w:t>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(175)</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Depreciation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amortization</w:t>
            </w:r>
          </w:p>
        </w:tc>
        <w:tc>
          <w:tcPr>
            <w:tcW w:w="1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(175)</w:t>
            </w:r>
          </w:p>
        </w:tc>
        <w:tc>
          <w:tcPr>
            <w:tcW w:w="269"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Impairment charges</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Impairment charges</w:t>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(157)</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Impairment charges</w:t>
            </w:r>
          </w:p>
        </w:tc>
        <w:tc>
          <w:tcPr>
            <w:tcW w:w="1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(157)</w:t>
            </w:r>
          </w:p>
        </w:tc>
        <w:tc>
          <w:tcPr>
            <w:tcW w:w="269"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Restructuring and </w:t>
            </w:r>
          </w:p>
          <w:p>
            <w:pPr>
              <w:pStyle w:val="TableContents"/>
              <w:bidi w:val="0"/>
              <w:spacing w:lineRule="atLeast" w:line="180"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18"/>
              </w:rPr>
              <w:t xml:space="preserve">transaction-related </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items </w:t>
            </w:r>
            <w:r>
              <w:rPr>
                <w:rFonts w:ascii="Times New Roman;serif" w:hAnsi="Times New Roman;serif"/>
                <w:b w:val="false"/>
                <w:i w:val="false"/>
                <w:caps w:val="false"/>
                <w:smallCaps w:val="false"/>
                <w:sz w:val="12"/>
              </w:rPr>
              <w:t>(e)</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(291)</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Restructuring and </w:t>
            </w:r>
          </w:p>
          <w:p>
            <w:pPr>
              <w:pStyle w:val="TableContents"/>
              <w:bidi w:val="0"/>
              <w:spacing w:lineRule="atLeast" w:line="180"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18"/>
              </w:rPr>
              <w:t xml:space="preserve">transaction-related </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items </w:t>
            </w:r>
            <w:r>
              <w:rPr>
                <w:rFonts w:ascii="Times New Roman;serif" w:hAnsi="Times New Roman;serif"/>
                <w:b w:val="false"/>
                <w:i w:val="false"/>
                <w:caps w:val="false"/>
                <w:smallCaps w:val="false"/>
                <w:sz w:val="12"/>
              </w:rPr>
              <w:t>(e)</w:t>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(266)</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Restructuring and </w:t>
            </w:r>
          </w:p>
          <w:p>
            <w:pPr>
              <w:pStyle w:val="TableContents"/>
              <w:bidi w:val="0"/>
              <w:spacing w:lineRule="atLeast" w:line="180"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18"/>
              </w:rPr>
              <w:t xml:space="preserve">transaction-related </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items </w:t>
            </w:r>
            <w:r>
              <w:rPr>
                <w:rFonts w:ascii="Times New Roman;serif" w:hAnsi="Times New Roman;serif"/>
                <w:b w:val="false"/>
                <w:i w:val="false"/>
                <w:caps w:val="false"/>
                <w:smallCaps w:val="false"/>
                <w:sz w:val="12"/>
              </w:rPr>
              <w:t>(e)</w:t>
            </w:r>
          </w:p>
        </w:tc>
        <w:tc>
          <w:tcPr>
            <w:tcW w:w="1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(266)</w:t>
            </w:r>
          </w:p>
        </w:tc>
        <w:tc>
          <w:tcPr>
            <w:tcW w:w="269"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Gain on dispositions</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Gain on dispositions</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Gain on dispositions</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w:t>
            </w:r>
          </w:p>
        </w:tc>
        <w:tc>
          <w:tcPr>
            <w:tcW w:w="2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Operating income</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1,091</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Operating income</w:t>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949</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Operating income</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949</w:t>
            </w:r>
          </w:p>
        </w:tc>
        <w:tc>
          <w:tcPr>
            <w:tcW w:w="2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expense, net</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(426)</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expense, net</w:t>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(361)</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Interest expense, net</w:t>
            </w:r>
          </w:p>
        </w:tc>
        <w:tc>
          <w:tcPr>
            <w:tcW w:w="1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(361)</w:t>
            </w:r>
          </w:p>
        </w:tc>
        <w:tc>
          <w:tcPr>
            <w:tcW w:w="269"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items, net</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(58)</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items, net</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(76)</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items, net</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(76)</w:t>
            </w:r>
          </w:p>
        </w:tc>
        <w:tc>
          <w:tcPr>
            <w:tcW w:w="2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Earnings before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income taxes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equity in loss of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investee companies</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607</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Earnings before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income taxes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equity in loss of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investee companies</w:t>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512</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Earnings before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income taxes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equity in loss of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investee companies</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512</w:t>
            </w:r>
          </w:p>
        </w:tc>
        <w:tc>
          <w:tcPr>
            <w:tcW w:w="2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Provision for income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taxes</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(275)</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Provision for income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taxes</w:t>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(150)</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Provision for income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taxes</w:t>
            </w:r>
          </w:p>
        </w:tc>
        <w:tc>
          <w:tcPr>
            <w:tcW w:w="1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(150)</w:t>
            </w:r>
          </w:p>
        </w:tc>
        <w:tc>
          <w:tcPr>
            <w:tcW w:w="269"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Equity in loss of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investee companies,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net of tax</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(116)</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Equity in loss of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investee companies,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net of tax</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(140)</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Equity in loss of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investee companies,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net of tax</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(140)</w:t>
            </w:r>
          </w:p>
        </w:tc>
        <w:tc>
          <w:tcPr>
            <w:tcW w:w="2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(Parent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and 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216</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(Parent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and 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222</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(Parent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and 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222</w:t>
            </w:r>
          </w:p>
        </w:tc>
        <w:tc>
          <w:tcPr>
            <w:tcW w:w="2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attributable to</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attributable to</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attributable to</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 xml:space="preserve">noncontrolling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interests</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w:t>
            </w:r>
          </w:p>
        </w:tc>
        <w:tc>
          <w:tcPr>
            <w:tcW w:w="2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attributable to Parent</w:t>
            </w:r>
          </w:p>
        </w:tc>
        <w:tc>
          <w:tcPr>
            <w:tcW w:w="19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$209</w:t>
            </w:r>
          </w:p>
        </w:tc>
        <w:tc>
          <w:tcPr>
            <w:tcW w:w="19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attributable to Parent</w:t>
            </w:r>
          </w:p>
        </w:tc>
        <w:tc>
          <w:tcPr>
            <w:tcW w:w="19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$209</w:t>
            </w:r>
          </w:p>
        </w:tc>
        <w:tc>
          <w:tcPr>
            <w:tcW w:w="19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earnings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attributable to Parent</w:t>
            </w:r>
          </w:p>
        </w:tc>
        <w:tc>
          <w:tcPr>
            <w:tcW w:w="19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$209</w:t>
            </w:r>
          </w:p>
        </w:tc>
        <w:tc>
          <w:tcPr>
            <w:tcW w:w="26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(a) As discussed above, Adjusted EBITDA by segment recast under our new segment presentation is non-GAAP. See </w:t>
      </w:r>
      <w:r>
        <w:rPr>
          <w:rFonts w:ascii="Times New Roman;serif" w:hAnsi="Times New Roman;serif"/>
          <w:b w:val="false"/>
          <w:i/>
          <w:sz w:val="18"/>
        </w:rPr>
        <w:t>Studios</w:t>
      </w:r>
      <w:r>
        <w:rPr>
          <w:rFonts w:ascii="Times New Roman;serif" w:hAnsi="Times New Roman;serif"/>
          <w:b w:val="false"/>
          <w:i w:val="false"/>
          <w:caps w:val="false"/>
          <w:smallCaps w:val="false"/>
          <w:sz w:val="18"/>
        </w:rPr>
        <w:t>,</w:t>
      </w:r>
      <w:r>
        <w:rPr/>
        <w:t xml:space="preserve"> </w:t>
      </w:r>
      <w:r>
        <w:rPr>
          <w:rFonts w:ascii="Times New Roman;serif" w:hAnsi="Times New Roman;serif"/>
          <w:b w:val="false"/>
          <w:i/>
          <w:sz w:val="18"/>
        </w:rPr>
        <w:t>Direct-</w:t>
      </w:r>
    </w:p>
    <w:p>
      <w:pPr>
        <w:pStyle w:val="TextBody"/>
        <w:bidi w:val="0"/>
        <w:spacing w:lineRule="atLeast" w:line="180" w:before="0" w:after="0"/>
        <w:jc w:val="left"/>
        <w:rPr/>
      </w:pPr>
      <w:r>
        <w:rPr>
          <w:rFonts w:ascii="Times New Roman;serif" w:hAnsi="Times New Roman;serif"/>
          <w:b w:val="false"/>
          <w:i/>
          <w:sz w:val="18"/>
        </w:rPr>
        <w:t>to-Consumer</w:t>
      </w:r>
      <w:r>
        <w:rPr>
          <w:rFonts w:ascii="Times New Roman;serif" w:hAnsi="Times New Roman;serif"/>
          <w:b w:val="false"/>
          <w:i w:val="false"/>
          <w:caps w:val="false"/>
          <w:smallCaps w:val="false"/>
          <w:sz w:val="18"/>
        </w:rPr>
        <w:t>, and</w:t>
      </w:r>
      <w:r>
        <w:rPr/>
        <w:t xml:space="preserve"> </w:t>
      </w:r>
      <w:r>
        <w:rPr>
          <w:rFonts w:ascii="Times New Roman;serif" w:hAnsi="Times New Roman;serif"/>
          <w:b w:val="false"/>
          <w:i/>
          <w:sz w:val="18"/>
        </w:rPr>
        <w:t>TV Media</w:t>
      </w:r>
      <w:r>
        <w:rPr>
          <w:caps w:val="false"/>
          <w:smallCaps w:val="false"/>
        </w:rPr>
        <w:t xml:space="preserve"> </w:t>
      </w:r>
      <w:r>
        <w:rPr>
          <w:rFonts w:ascii="Times New Roman;serif" w:hAnsi="Times New Roman;serif"/>
          <w:b w:val="false"/>
          <w:i w:val="false"/>
          <w:caps w:val="false"/>
          <w:smallCaps w:val="false"/>
          <w:sz w:val="18"/>
        </w:rPr>
        <w:t xml:space="preserve">on the following pages for reconciliations from the GAAP segment presentation for the six months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ended June 30, 2025 to the non-GAAP recast amounts. All other amounts in this table are presented on a GAAP basis. </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(b) Reflects the historical segment composition for </w:t>
      </w:r>
      <w:r>
        <w:rPr>
          <w:rFonts w:ascii="Times New Roman;serif" w:hAnsi="Times New Roman;serif"/>
          <w:b w:val="false"/>
          <w:i/>
          <w:sz w:val="18"/>
        </w:rPr>
        <w:t>Direct-to-Consumer</w:t>
      </w:r>
      <w:r>
        <w:rPr>
          <w:caps w:val="false"/>
          <w:smallCaps w:val="false"/>
        </w:rPr>
        <w:t xml:space="preserve"> </w:t>
      </w:r>
      <w:r>
        <w:rPr>
          <w:rFonts w:ascii="Times New Roman;serif" w:hAnsi="Times New Roman;serif"/>
          <w:b w:val="false"/>
          <w:i w:val="false"/>
          <w:caps w:val="false"/>
          <w:smallCaps w:val="false"/>
          <w:sz w:val="18"/>
        </w:rPr>
        <w:t xml:space="preserve">and </w:t>
      </w:r>
      <w:r>
        <w:rPr>
          <w:rFonts w:ascii="Times New Roman;serif" w:hAnsi="Times New Roman;serif"/>
          <w:b w:val="false"/>
          <w:i/>
          <w:sz w:val="18"/>
        </w:rPr>
        <w:t>TV Media</w:t>
      </w:r>
      <w:r>
        <w:rPr>
          <w:rFonts w:ascii="Times New Roman;serif" w:hAnsi="Times New Roman;serif"/>
          <w:b w:val="false"/>
          <w:i w:val="false"/>
          <w:caps w:val="false"/>
          <w:smallCaps w:val="false"/>
          <w:sz w:val="18"/>
        </w:rPr>
        <w:t xml:space="preserv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 In the first quarter of 2026, we renamed our primary measure of profit and loss for our operating segments from Adjusted OIBDA to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Adjusted EBITDA. See Note </w:t>
      </w:r>
      <w:r>
        <w:rPr>
          <w:rFonts w:ascii="Times New Roman;serif" w:hAnsi="Times New Roman;serif"/>
          <w:b w:val="false"/>
          <w:i w:val="false"/>
          <w:caps w:val="false"/>
          <w:smallCaps w:val="false"/>
          <w:strike w:val="false"/>
          <w:dstrike w:val="false"/>
          <w:sz w:val="18"/>
          <w:u w:val="none"/>
          <w:effect w:val="none"/>
        </w:rPr>
        <w:t>13</w:t>
      </w:r>
      <w:r>
        <w:rPr>
          <w:caps w:val="false"/>
          <w:smallCaps w:val="false"/>
          <w:sz w:val="24"/>
        </w:rPr>
        <w:t xml:space="preserve"> </w:t>
      </w:r>
      <w:r>
        <w:rPr>
          <w:rFonts w:ascii="Times New Roman;serif" w:hAnsi="Times New Roman;serif"/>
          <w:b w:val="false"/>
          <w:i w:val="false"/>
          <w:caps w:val="false"/>
          <w:smallCaps w:val="false"/>
          <w:sz w:val="18"/>
        </w:rPr>
        <w:t>to the consolidated financial statements for further discussion.</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(d) As noted above, concurrent with the change to our segments, we updated our segment expense allocations to better reflect how we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operate and make cost decisions across the business, which resulted in higher costs at Corporate. The increase compared with the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non-GAAP Predecessor presentation was driven by higher technology costs and consulting fees.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(e) The increase in stock-based compensation expense between the 2026 and 2025 periods was driven by grants following the Skydance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Transactions and the comparison to lower expenses in 2025 as a result of accelerated vesting in December 2024 of certain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employees’ RSUs and PSUs to help mitigate potential tax impacts that would otherwise arise under Sections 280G and 4999 of the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Internal Revenue Code. Stock-based compensation expense of </w:t>
      </w:r>
      <w:r>
        <w:rPr>
          <w:rFonts w:ascii="Times New Roman;serif" w:hAnsi="Times New Roman;serif"/>
          <w:b w:val="false"/>
          <w:i w:val="false"/>
          <w:caps w:val="false"/>
          <w:smallCaps w:val="false"/>
          <w:strike w:val="false"/>
          <w:dstrike w:val="false"/>
          <w:sz w:val="18"/>
          <w:u w:val="none"/>
          <w:effect w:val="none"/>
        </w:rPr>
        <w:t>$9 million</w:t>
      </w:r>
      <w:r>
        <w:rPr>
          <w:caps w:val="false"/>
          <w:smallCaps w:val="false"/>
          <w:sz w:val="24"/>
        </w:rPr>
        <w:t xml:space="preserve"> </w:t>
      </w:r>
      <w:r>
        <w:rPr>
          <w:rFonts w:ascii="Times New Roman;serif" w:hAnsi="Times New Roman;serif"/>
          <w:b w:val="false"/>
          <w:i w:val="false"/>
          <w:caps w:val="false"/>
          <w:smallCaps w:val="false"/>
          <w:sz w:val="18"/>
        </w:rPr>
        <w:t xml:space="preserve">for the </w:t>
      </w:r>
      <w:r>
        <w:rPr>
          <w:rFonts w:ascii="Times New Roman;serif" w:hAnsi="Times New Roman;serif"/>
          <w:b w:val="false"/>
          <w:i w:val="false"/>
          <w:caps w:val="false"/>
          <w:smallCaps w:val="false"/>
          <w:strike w:val="false"/>
          <w:dstrike w:val="false"/>
          <w:sz w:val="18"/>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18"/>
        </w:rPr>
        <w:t xml:space="preserve">(Successor) and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$4 million</w:t>
      </w:r>
      <w:r>
        <w:rPr>
          <w:caps w:val="false"/>
          <w:smallCaps w:val="false"/>
          <w:sz w:val="24"/>
        </w:rPr>
        <w:t xml:space="preserve"> </w:t>
      </w:r>
      <w:r>
        <w:rPr>
          <w:rFonts w:ascii="Times New Roman;serif" w:hAnsi="Times New Roman;serif"/>
          <w:b w:val="false"/>
          <w:i w:val="false"/>
          <w:caps w:val="false"/>
          <w:smallCaps w:val="false"/>
          <w:sz w:val="18"/>
        </w:rPr>
        <w:t xml:space="preserve">for the </w:t>
      </w:r>
      <w:r>
        <w:rPr>
          <w:rFonts w:ascii="Times New Roman;serif" w:hAnsi="Times New Roman;serif"/>
          <w:b w:val="false"/>
          <w:i w:val="false"/>
          <w:caps w:val="false"/>
          <w:smallCaps w:val="false"/>
          <w:strike w:val="false"/>
          <w:dstrike w:val="false"/>
          <w:sz w:val="18"/>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June 30, 2025</w:t>
      </w:r>
      <w:r>
        <w:rPr>
          <w:caps w:val="false"/>
          <w:smallCaps w:val="false"/>
          <w:sz w:val="24"/>
        </w:rPr>
        <w:t xml:space="preserve"> </w:t>
      </w:r>
      <w:r>
        <w:rPr>
          <w:rFonts w:ascii="Times New Roman;serif" w:hAnsi="Times New Roman;serif"/>
          <w:b w:val="false"/>
          <w:i w:val="false"/>
          <w:caps w:val="false"/>
          <w:smallCaps w:val="false"/>
          <w:sz w:val="18"/>
        </w:rPr>
        <w:t xml:space="preserve">(Predecessor) is included in “Restructuring and transaction-related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Studios/Filmed Entertainment</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Our </w:t>
      </w:r>
      <w:r>
        <w:rPr>
          <w:rFonts w:ascii="Times New Roman;serif" w:hAnsi="Times New Roman;serif"/>
          <w:b w:val="false"/>
          <w:i/>
          <w:sz w:val="22"/>
        </w:rPr>
        <w:t>Studios</w:t>
      </w:r>
      <w:r>
        <w:rPr>
          <w:caps w:val="false"/>
          <w:smallCaps w:val="false"/>
        </w:rPr>
        <w:t xml:space="preserve"> </w:t>
      </w:r>
      <w:r>
        <w:rPr>
          <w:rFonts w:ascii="Times New Roman;serif" w:hAnsi="Times New Roman;serif"/>
          <w:b w:val="false"/>
          <w:i w:val="false"/>
          <w:caps w:val="false"/>
          <w:smallCaps w:val="false"/>
          <w:sz w:val="22"/>
        </w:rPr>
        <w:t xml:space="preserve">segment </w:t>
      </w:r>
      <w:r>
        <w:rPr>
          <w:rFonts w:ascii="Times New Roman;serif" w:hAnsi="Times New Roman;serif"/>
          <w:b w:val="false"/>
          <w:i w:val="false"/>
          <w:caps w:val="false"/>
          <w:smallCaps w:val="false"/>
          <w:strike w:val="false"/>
          <w:dstrike w:val="false"/>
          <w:sz w:val="22"/>
          <w:u w:val="none"/>
          <w:effect w:val="none"/>
          <w:shd w:fill="FFFFFF" w:val="clear"/>
        </w:rPr>
        <w:t xml:space="preserve">consists of our television and film studio operations, including CBS Studios, Paramount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shd w:fill="FFFFFF" w:val="clear"/>
        </w:rPr>
      </w:pPr>
      <w:r>
        <w:rPr>
          <w:rFonts w:ascii="Times New Roman;serif" w:hAnsi="Times New Roman;serif"/>
          <w:b w:val="false"/>
          <w:i w:val="false"/>
          <w:caps w:val="false"/>
          <w:smallCaps w:val="false"/>
          <w:strike w:val="false"/>
          <w:dstrike w:val="false"/>
          <w:sz w:val="22"/>
          <w:u w:val="none"/>
          <w:effect w:val="none"/>
          <w:shd w:fill="FFFFFF" w:val="clear"/>
        </w:rPr>
        <w:t xml:space="preserve">Television Studios, Nickelodeon Animation, Paramount Pictures, Paramount Animation, and Miramax, as well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shd w:fill="FFFFFF" w:val="clear"/>
        </w:rPr>
      </w:pPr>
      <w:r>
        <w:rPr>
          <w:rFonts w:ascii="Times New Roman;serif" w:hAnsi="Times New Roman;serif"/>
          <w:b w:val="false"/>
          <w:i w:val="false"/>
          <w:caps w:val="false"/>
          <w:smallCaps w:val="false"/>
          <w:strike w:val="false"/>
          <w:dstrike w:val="false"/>
          <w:sz w:val="22"/>
          <w:u w:val="none"/>
          <w:effect w:val="none"/>
          <w:shd w:fill="FFFFFF" w:val="clear"/>
        </w:rPr>
        <w:t xml:space="preserve">as Skydance Animation, Film, and Television, Paramount Sports Entertainment and Paramount Games Studio. </w:t>
      </w:r>
    </w:p>
    <w:p>
      <w:pPr>
        <w:pStyle w:val="TextBody"/>
        <w:bidi w:val="0"/>
        <w:spacing w:lineRule="atLeast" w:line="220" w:before="0" w:after="0"/>
        <w:jc w:val="left"/>
        <w:rPr/>
      </w:pPr>
      <w:r>
        <w:rPr>
          <w:rFonts w:ascii="Times New Roman;serif" w:hAnsi="Times New Roman;serif"/>
          <w:b w:val="false"/>
          <w:i w:val="false"/>
          <w:caps w:val="false"/>
          <w:smallCaps w:val="false"/>
          <w:strike w:val="false"/>
          <w:dstrike w:val="false"/>
          <w:sz w:val="22"/>
          <w:u w:val="none"/>
          <w:effect w:val="none"/>
          <w:shd w:fill="FFFFFF" w:val="clear"/>
        </w:rPr>
        <w:t xml:space="preserve">For the Predecessor period, our </w:t>
      </w:r>
      <w:r>
        <w:rPr>
          <w:rFonts w:ascii="Times New Roman;serif" w:hAnsi="Times New Roman;serif"/>
          <w:b w:val="false"/>
          <w:i/>
          <w:strike w:val="false"/>
          <w:dstrike w:val="false"/>
          <w:sz w:val="22"/>
          <w:u w:val="none"/>
          <w:effect w:val="none"/>
          <w:shd w:fill="FFFFFF" w:val="clear"/>
        </w:rPr>
        <w:t>Filmed Entertainment</w:t>
      </w:r>
      <w:r>
        <w:rPr>
          <w:caps w:val="false"/>
          <w:smallCaps w:val="false"/>
          <w:strike w:val="false"/>
          <w:dstrike w:val="false"/>
          <w:u w:val="none"/>
          <w:effect w:val="none"/>
          <w:shd w:fill="FFFFFF" w:val="clear"/>
        </w:rPr>
        <w:t xml:space="preserve"> </w:t>
      </w:r>
      <w:r>
        <w:rPr>
          <w:rFonts w:ascii="Times New Roman;serif" w:hAnsi="Times New Roman;serif"/>
          <w:b w:val="false"/>
          <w:i w:val="false"/>
          <w:caps w:val="false"/>
          <w:smallCaps w:val="false"/>
          <w:strike w:val="false"/>
          <w:dstrike w:val="false"/>
          <w:sz w:val="22"/>
          <w:u w:val="none"/>
          <w:effect w:val="none"/>
          <w:shd w:fill="FFFFFF" w:val="clear"/>
        </w:rPr>
        <w:t xml:space="preserve">segment was most comparable to our new </w:t>
      </w:r>
      <w:r>
        <w:rPr>
          <w:rFonts w:ascii="Times New Roman;serif" w:hAnsi="Times New Roman;serif"/>
          <w:b w:val="false"/>
          <w:i/>
          <w:strike w:val="false"/>
          <w:dstrike w:val="false"/>
          <w:sz w:val="22"/>
          <w:u w:val="none"/>
          <w:effect w:val="none"/>
          <w:shd w:fill="FFFFFF" w:val="clear"/>
        </w:rPr>
        <w:t>Studios</w:t>
      </w:r>
      <w:r>
        <w:rPr>
          <w:caps w:val="false"/>
          <w:smallCaps w:val="false"/>
          <w:strike w:val="false"/>
          <w:dstrike w:val="false"/>
          <w:u w:val="none"/>
          <w:effect w:val="none"/>
          <w:shd w:fill="FFFFFF" w:val="clear"/>
        </w:rPr>
        <w:t xml:space="preserve"> </w:t>
      </w:r>
    </w:p>
    <w:p>
      <w:pPr>
        <w:pStyle w:val="TextBody"/>
        <w:bidi w:val="0"/>
        <w:spacing w:lineRule="atLeast" w:line="220" w:before="0" w:after="0"/>
        <w:jc w:val="left"/>
        <w:rPr/>
      </w:pPr>
      <w:r>
        <w:rPr>
          <w:rFonts w:ascii="Times New Roman;serif" w:hAnsi="Times New Roman;serif"/>
          <w:b w:val="false"/>
          <w:i w:val="false"/>
          <w:caps w:val="false"/>
          <w:smallCaps w:val="false"/>
          <w:strike w:val="false"/>
          <w:dstrike w:val="false"/>
          <w:sz w:val="22"/>
          <w:u w:val="none"/>
          <w:effect w:val="none"/>
          <w:shd w:fill="FFFFFF" w:val="clear"/>
        </w:rPr>
        <w:t xml:space="preserve">segment and excluded studio operations related to our </w:t>
      </w:r>
      <w:r>
        <w:rPr>
          <w:rFonts w:ascii="Times New Roman;serif" w:hAnsi="Times New Roman;serif"/>
          <w:b w:val="false"/>
          <w:i/>
          <w:strike w:val="false"/>
          <w:dstrike w:val="false"/>
          <w:sz w:val="22"/>
          <w:u w:val="none"/>
          <w:effect w:val="none"/>
          <w:shd w:fill="FFFFFF" w:val="clear"/>
        </w:rPr>
        <w:t>TV Media</w:t>
      </w:r>
      <w:r>
        <w:rPr>
          <w:caps w:val="false"/>
          <w:smallCaps w:val="false"/>
          <w:strike w:val="false"/>
          <w:dstrike w:val="false"/>
          <w:u w:val="none"/>
          <w:effect w:val="none"/>
          <w:shd w:fill="FFFFFF" w:val="clear"/>
        </w:rPr>
        <w:t xml:space="preserve"> </w:t>
      </w:r>
      <w:r>
        <w:rPr>
          <w:rFonts w:ascii="Times New Roman;serif" w:hAnsi="Times New Roman;serif"/>
          <w:b w:val="false"/>
          <w:i w:val="false"/>
          <w:caps w:val="false"/>
          <w:smallCaps w:val="false"/>
          <w:strike w:val="false"/>
          <w:dstrike w:val="false"/>
          <w:sz w:val="22"/>
          <w:u w:val="none"/>
          <w:effect w:val="none"/>
          <w:shd w:fill="FFFFFF" w:val="clear"/>
        </w:rPr>
        <w:t xml:space="preserve">businesses, including CBS Studios and </w:t>
      </w:r>
    </w:p>
    <w:p>
      <w:pPr>
        <w:pStyle w:val="TextBody"/>
        <w:bidi w:val="0"/>
        <w:spacing w:lineRule="atLeast" w:line="220" w:before="0" w:after="0"/>
        <w:jc w:val="left"/>
        <w:rPr/>
      </w:pPr>
      <w:r>
        <w:rPr>
          <w:rFonts w:ascii="Times New Roman;serif" w:hAnsi="Times New Roman;serif"/>
          <w:b w:val="false"/>
          <w:i w:val="false"/>
          <w:caps w:val="false"/>
          <w:smallCaps w:val="false"/>
          <w:strike w:val="false"/>
          <w:dstrike w:val="false"/>
          <w:sz w:val="22"/>
          <w:u w:val="none"/>
          <w:effect w:val="none"/>
          <w:shd w:fill="FFFFFF" w:val="clear"/>
        </w:rPr>
        <w:t>Paramount Television Studios</w:t>
      </w:r>
      <w:r>
        <w:rPr>
          <w:rFonts w:ascii="Times New Roman;serif" w:hAnsi="Times New Roman;serif"/>
          <w:b w:val="false"/>
          <w:i w:val="false"/>
          <w:caps w:val="false"/>
          <w:smallCaps w:val="false"/>
          <w:sz w:val="22"/>
        </w:rPr>
        <w:t xml:space="preserve">. </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Three Months Ended June 30, 2026</w:t>
      </w:r>
      <w:r>
        <w:rPr>
          <w:sz w:val="24"/>
        </w:rPr>
        <w:t xml:space="preserve"> </w:t>
      </w:r>
      <w:r>
        <w:rPr>
          <w:rFonts w:ascii="Times New Roman;serif" w:hAnsi="Times New Roman;serif"/>
          <w:b w:val="false"/>
          <w:i/>
          <w:sz w:val="22"/>
        </w:rPr>
        <w:t xml:space="preserve">and </w:t>
      </w:r>
      <w:r>
        <w:rPr>
          <w:rFonts w:ascii="Times New Roman;serif" w:hAnsi="Times New Roman;serif"/>
          <w:b w:val="false"/>
          <w:i/>
          <w:strike w:val="false"/>
          <w:dstrike w:val="false"/>
          <w:sz w:val="22"/>
          <w:u w:val="none"/>
          <w:effect w:val="none"/>
        </w:rPr>
        <w:t>2025</w:t>
      </w:r>
    </w:p>
    <w:tbl>
      <w:tblPr>
        <w:tblW w:w="9304" w:type="dxa"/>
        <w:jc w:val="left"/>
        <w:tblInd w:w="0" w:type="dxa"/>
        <w:tblLayout w:type="fixed"/>
        <w:tblCellMar>
          <w:top w:w="28" w:type="dxa"/>
          <w:left w:w="28" w:type="dxa"/>
          <w:bottom w:w="28" w:type="dxa"/>
          <w:right w:w="28" w:type="dxa"/>
        </w:tblCellMar>
      </w:tblPr>
      <w:tblGrid>
        <w:gridCol w:w="1711"/>
        <w:gridCol w:w="193"/>
        <w:gridCol w:w="915"/>
        <w:gridCol w:w="196"/>
        <w:gridCol w:w="109"/>
        <w:gridCol w:w="109"/>
        <w:gridCol w:w="207"/>
        <w:gridCol w:w="889"/>
        <w:gridCol w:w="209"/>
        <w:gridCol w:w="109"/>
        <w:gridCol w:w="238"/>
        <w:gridCol w:w="826"/>
        <w:gridCol w:w="240"/>
        <w:gridCol w:w="109"/>
        <w:gridCol w:w="194"/>
        <w:gridCol w:w="915"/>
        <w:gridCol w:w="196"/>
        <w:gridCol w:w="109"/>
        <w:gridCol w:w="800"/>
        <w:gridCol w:w="148"/>
        <w:gridCol w:w="882"/>
      </w:tblGrid>
      <w:tr>
        <w:trPr/>
        <w:tc>
          <w:tcPr>
            <w:tcW w:w="17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171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GAAP</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7"/>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Non-GAAP</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939" w:type="dxa"/>
            <w:gridSpan w:val="4"/>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Increase/(Decrease) </w:t>
            </w:r>
            <w:r>
              <w:rPr>
                <w:rFonts w:ascii="Times New Roman;serif" w:hAnsi="Times New Roman;serif"/>
                <w:b/>
                <w:i w:val="false"/>
                <w:caps w:val="false"/>
                <w:smallCaps w:val="false"/>
                <w:sz w:val="12"/>
              </w:rPr>
              <w:t>(e)</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r>
      <w:tr>
        <w:trPr/>
        <w:tc>
          <w:tcPr>
            <w:tcW w:w="17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Studios</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Filmed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Entertainment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Adjustments </w:t>
            </w:r>
            <w:r>
              <w:rPr>
                <w:rFonts w:ascii="Times New Roman;serif" w:hAnsi="Times New Roman;serif"/>
                <w:b/>
                <w:i w:val="false"/>
                <w:caps w:val="false"/>
                <w:smallCaps w:val="false"/>
                <w:sz w:val="12"/>
              </w:rPr>
              <w:t>(d)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Studios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Theatrical</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$138</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$254</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$254</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$(116)</w:t>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r>
      <w:tr>
        <w:trPr/>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Licensing and other</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1,172</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434</w:t>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443</w:t>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877</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295</w:t>
            </w:r>
          </w:p>
        </w:tc>
        <w:tc>
          <w:tcPr>
            <w:tcW w:w="14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r>
      <w:tr>
        <w:trPr/>
        <w:tc>
          <w:tcPr>
            <w:tcW w:w="17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Advertising </w:t>
            </w:r>
            <w:r>
              <w:rPr>
                <w:rFonts w:ascii="Times New Roman;serif" w:hAnsi="Times New Roman;serif"/>
                <w:b w:val="false"/>
                <w:i w:val="false"/>
                <w:caps w:val="false"/>
                <w:smallCaps w:val="false"/>
                <w:sz w:val="12"/>
              </w:rPr>
              <w:t>(a)</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7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1,314</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690</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445</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1,135</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179</w:t>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926</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394</w:t>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343</w:t>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737</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189</w:t>
            </w:r>
          </w:p>
        </w:tc>
        <w:tc>
          <w:tcPr>
            <w:tcW w:w="14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r>
      <w:tr>
        <w:trPr/>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Advertising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marketing</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143</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195</w:t>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200</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w:t>
            </w:r>
          </w:p>
        </w:tc>
        <w:tc>
          <w:tcPr>
            <w:tcW w:w="14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r>
      <w:tr>
        <w:trPr/>
        <w:tc>
          <w:tcPr>
            <w:tcW w:w="17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(b)</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209</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185</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229</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w:t>
            </w:r>
          </w:p>
        </w:tc>
        <w:tc>
          <w:tcPr>
            <w:tcW w:w="1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r>
      <w:tr>
        <w:trPr/>
        <w:tc>
          <w:tcPr>
            <w:tcW w:w="17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Expenses</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1,278</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774</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392</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1,166</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112</w:t>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Adjusted EBITDA/</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Adjusted OIBDA </w:t>
            </w:r>
            <w:r>
              <w:rPr>
                <w:rFonts w:ascii="Times New Roman;serif" w:hAnsi="Times New Roman;serif"/>
                <w:b w:val="false"/>
                <w:i w:val="false"/>
                <w:caps w:val="false"/>
                <w:smallCaps w:val="false"/>
                <w:sz w:val="12"/>
              </w:rPr>
              <w:t>(c)</w:t>
            </w:r>
          </w:p>
        </w:tc>
        <w:tc>
          <w:tcPr>
            <w:tcW w:w="19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w:t>
            </w:r>
          </w:p>
        </w:tc>
        <w:tc>
          <w:tcPr>
            <w:tcW w:w="19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7"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$(84)</w:t>
            </w:r>
          </w:p>
        </w:tc>
        <w:tc>
          <w:tcPr>
            <w:tcW w:w="2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$53</w:t>
            </w:r>
          </w:p>
        </w:tc>
        <w:tc>
          <w:tcPr>
            <w:tcW w:w="24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w:t>
            </w:r>
          </w:p>
        </w:tc>
        <w:tc>
          <w:tcPr>
            <w:tcW w:w="19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$67</w:t>
            </w:r>
          </w:p>
        </w:tc>
        <w:tc>
          <w:tcPr>
            <w:tcW w:w="14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n/m</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n/m - not meaningful</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(a) Primarily reflects advertising revenues earned from the use of </w:t>
      </w:r>
      <w:r>
        <w:rPr>
          <w:rFonts w:ascii="Times New Roman;serif" w:hAnsi="Times New Roman;serif"/>
          <w:b w:val="false"/>
          <w:i/>
          <w:sz w:val="18"/>
        </w:rPr>
        <w:t xml:space="preserve">Studios </w:t>
      </w:r>
      <w:r>
        <w:rPr>
          <w:rFonts w:ascii="Times New Roman;serif" w:hAnsi="Times New Roman;serif"/>
          <w:b w:val="false"/>
          <w:i w:val="false"/>
          <w:caps w:val="false"/>
          <w:smallCaps w:val="false"/>
          <w:sz w:val="18"/>
        </w:rPr>
        <w:t>content on third-party digital platforms.</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(b) Other segment expenses for our </w:t>
      </w:r>
      <w:r>
        <w:rPr>
          <w:rFonts w:ascii="Times New Roman;serif" w:hAnsi="Times New Roman;serif"/>
          <w:b w:val="false"/>
          <w:i/>
          <w:sz w:val="18"/>
        </w:rPr>
        <w:t xml:space="preserve">Studios </w:t>
      </w:r>
      <w:r>
        <w:rPr>
          <w:rFonts w:ascii="Times New Roman;serif" w:hAnsi="Times New Roman;serif"/>
          <w:b w:val="false"/>
          <w:i w:val="false"/>
          <w:caps w:val="false"/>
          <w:smallCaps w:val="false"/>
          <w:sz w:val="18"/>
        </w:rPr>
        <w:t xml:space="preserve">segment include employee compensation; costs relating to the distribution of our content;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costs for occupancy, technology, and professional services; and other costs associated with our operations.</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  In the first quarter of 2026, we renamed our primary measure of profit and loss for our operating segments from Adjusted OIBDA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to Adjusted EBITDA. See Note </w:t>
      </w:r>
      <w:r>
        <w:rPr>
          <w:rFonts w:ascii="Times New Roman;serif" w:hAnsi="Times New Roman;serif"/>
          <w:b w:val="false"/>
          <w:i w:val="false"/>
          <w:caps w:val="false"/>
          <w:smallCaps w:val="false"/>
          <w:strike w:val="false"/>
          <w:dstrike w:val="false"/>
          <w:sz w:val="18"/>
          <w:u w:val="none"/>
          <w:effect w:val="none"/>
        </w:rPr>
        <w:t>13</w:t>
      </w:r>
      <w:r>
        <w:rPr>
          <w:caps w:val="false"/>
          <w:smallCaps w:val="false"/>
          <w:sz w:val="24"/>
        </w:rPr>
        <w:t xml:space="preserve"> </w:t>
      </w:r>
      <w:r>
        <w:rPr>
          <w:rFonts w:ascii="Times New Roman;serif" w:hAnsi="Times New Roman;serif"/>
          <w:b w:val="false"/>
          <w:i w:val="false"/>
          <w:caps w:val="false"/>
          <w:smallCaps w:val="false"/>
          <w:sz w:val="18"/>
        </w:rPr>
        <w:t>to the consolidated financial statements.</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(d) Reflects the inclusion of the historical </w:t>
      </w:r>
      <w:r>
        <w:rPr>
          <w:rFonts w:ascii="Times New Roman;serif" w:hAnsi="Times New Roman;serif"/>
          <w:b w:val="false"/>
          <w:i/>
          <w:sz w:val="18"/>
        </w:rPr>
        <w:t>TV Media</w:t>
      </w:r>
      <w:r>
        <w:rPr>
          <w:caps w:val="false"/>
          <w:smallCaps w:val="false"/>
        </w:rPr>
        <w:t xml:space="preserve"> </w:t>
      </w:r>
      <w:r>
        <w:rPr>
          <w:rFonts w:ascii="Times New Roman;serif" w:hAnsi="Times New Roman;serif"/>
          <w:b w:val="false"/>
          <w:i w:val="false"/>
          <w:caps w:val="false"/>
          <w:smallCaps w:val="false"/>
          <w:sz w:val="18"/>
        </w:rPr>
        <w:t xml:space="preserve">studio operations and updates to our segment expense allocations to better reflect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how we operate and make cost decisions across the business.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(e) Reflects the comparison between the Successor results for the three months ended </w:t>
      </w:r>
      <w:r>
        <w:rPr>
          <w:rFonts w:ascii="Times New Roman;serif" w:hAnsi="Times New Roman;serif"/>
          <w:b w:val="false"/>
          <w:i w:val="false"/>
          <w:caps w:val="false"/>
          <w:smallCaps w:val="false"/>
          <w:strike w:val="false"/>
          <w:dstrike w:val="false"/>
          <w:sz w:val="18"/>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18"/>
        </w:rPr>
        <w:t xml:space="preserve">to the non-GAAP Predecessor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results for the three months ended </w:t>
      </w:r>
      <w:r>
        <w:rPr>
          <w:rFonts w:ascii="Times New Roman;serif" w:hAnsi="Times New Roman;serif"/>
          <w:b w:val="false"/>
          <w:i w:val="false"/>
          <w:caps w:val="false"/>
          <w:smallCaps w:val="false"/>
          <w:strike w:val="false"/>
          <w:dstrike w:val="false"/>
          <w:sz w:val="18"/>
          <w:u w:val="none"/>
          <w:effect w:val="none"/>
        </w:rPr>
        <w:t>June 30, 2025</w:t>
      </w:r>
      <w:r>
        <w:rPr>
          <w:rFonts w:ascii="Times New Roman;serif" w:hAnsi="Times New Roman;serif"/>
          <w:b w:val="false"/>
          <w:i w:val="false"/>
          <w:caps w:val="false"/>
          <w:smallCaps w:val="false"/>
          <w:sz w:val="18"/>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both"/>
        <w:rPr>
          <w:rFonts w:ascii="Times New Roman;serif" w:hAnsi="Times New Roman;serif"/>
          <w:b/>
          <w:i/>
          <w:sz w:val="22"/>
          <w:u w:val="single"/>
        </w:rPr>
      </w:pPr>
      <w:r>
        <w:rPr>
          <w:rFonts w:ascii="Times New Roman;serif" w:hAnsi="Times New Roman;serif"/>
          <w:b/>
          <w:i/>
          <w:sz w:val="22"/>
          <w:u w:val="single"/>
        </w:rPr>
        <w:t>Revenues</w:t>
      </w:r>
    </w:p>
    <w:p>
      <w:pPr>
        <w:pStyle w:val="TextBody"/>
        <w:bidi w:val="0"/>
        <w:spacing w:lineRule="atLeast" w:line="220" w:before="0" w:after="0"/>
        <w:jc w:val="both"/>
        <w:rPr>
          <w:rFonts w:ascii="Times New Roman;serif" w:hAnsi="Times New Roman;serif"/>
          <w:b w:val="false"/>
          <w:i/>
          <w:sz w:val="22"/>
          <w:u w:val="single"/>
        </w:rPr>
      </w:pPr>
      <w:r>
        <w:rPr>
          <w:rFonts w:ascii="Times New Roman;serif" w:hAnsi="Times New Roman;serif"/>
          <w:b w:val="false"/>
          <w:i/>
          <w:sz w:val="22"/>
          <w:u w:val="single"/>
        </w:rPr>
        <w:t>Theatrical</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Theatrical revenues for the second quarter of 2026 included revenues from the release of </w:t>
      </w:r>
      <w:r>
        <w:rPr>
          <w:rFonts w:ascii="Times New Roman;serif" w:hAnsi="Times New Roman;serif"/>
          <w:b w:val="false"/>
          <w:i/>
          <w:sz w:val="22"/>
        </w:rPr>
        <w:t xml:space="preserve">Scary Movie (2026). </w:t>
      </w:r>
      <w:r>
        <w:rPr>
          <w:rFonts w:ascii="Times New Roman;serif" w:hAnsi="Times New Roman;serif"/>
          <w:b w:val="false"/>
          <w:i w:val="false"/>
          <w:caps w:val="false"/>
          <w:smallCaps w:val="false"/>
          <w:sz w:val="22"/>
        </w:rPr>
        <w:t xml:space="preserve">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second quarter of 2025 benefited </w:t>
      </w:r>
      <w:r>
        <w:rPr>
          <w:rFonts w:ascii="Times New Roman;serif" w:hAnsi="Times New Roman;serif"/>
          <w:b w:val="false"/>
          <w:i w:val="false"/>
          <w:caps w:val="false"/>
          <w:smallCaps w:val="false"/>
          <w:strike w:val="false"/>
          <w:dstrike w:val="false"/>
          <w:sz w:val="22"/>
          <w:u w:val="none"/>
          <w:effect w:val="none"/>
        </w:rPr>
        <w:t>from the release of</w:t>
      </w:r>
      <w:r>
        <w:rPr>
          <w:caps w:val="false"/>
          <w:smallCaps w:val="false"/>
          <w:sz w:val="24"/>
        </w:rPr>
        <w:t xml:space="preserve"> </w:t>
      </w:r>
      <w:r>
        <w:rPr>
          <w:rFonts w:ascii="Times New Roman;serif" w:hAnsi="Times New Roman;serif"/>
          <w:b w:val="false"/>
          <w:i/>
          <w:sz w:val="22"/>
        </w:rPr>
        <w:t>Mission: Impossible - The Final Reckoning</w:t>
      </w:r>
      <w:r>
        <w:rPr>
          <w:rFonts w:ascii="Times New Roman;serif" w:hAnsi="Times New Roman;serif"/>
          <w:b w:val="false"/>
          <w:i w:val="false"/>
          <w:caps w:val="false"/>
          <w:smallCaps w:val="false"/>
          <w:sz w:val="22"/>
        </w:rPr>
        <w:t>.</w:t>
      </w:r>
      <w:r>
        <w:rPr>
          <w:sz w:val="24"/>
        </w:rPr>
        <w:t xml:space="preserve"> </w:t>
      </w:r>
    </w:p>
    <w:p>
      <w:pPr>
        <w:pStyle w:val="TextBody"/>
        <w:bidi w:val="0"/>
        <w:spacing w:lineRule="atLeast" w:line="220" w:before="0" w:after="0"/>
        <w:jc w:val="both"/>
        <w:rPr>
          <w:rFonts w:ascii="Times New Roman;serif" w:hAnsi="Times New Roman;serif"/>
          <w:b w:val="false"/>
          <w:i/>
          <w:sz w:val="22"/>
          <w:u w:val="single"/>
        </w:rPr>
      </w:pPr>
      <w:r>
        <w:rPr>
          <w:rFonts w:ascii="Times New Roman;serif" w:hAnsi="Times New Roman;serif"/>
          <w:b w:val="false"/>
          <w:i/>
          <w:sz w:val="22"/>
          <w:u w:val="single"/>
        </w:rPr>
        <w:t>Licensing and Other</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Licensing and other revenues include Skydance revenues in 2026. The comparison to the non-GAAP Predecessor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presentation also reflects increases in revenues from secondary market licensing and content produced for third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parties.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Expenses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Content Costs</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Content costs in 2026 include costs for Skydance and </w:t>
      </w:r>
      <w:r>
        <w:rPr>
          <w:rFonts w:ascii="Times New Roman;serif" w:hAnsi="Times New Roman;serif"/>
          <w:b w:val="false"/>
          <w:i w:val="false"/>
          <w:caps w:val="false"/>
          <w:smallCaps w:val="false"/>
          <w:strike w:val="false"/>
          <w:dstrike w:val="false"/>
          <w:sz w:val="22"/>
          <w:u w:val="none"/>
          <w:effect w:val="none"/>
        </w:rPr>
        <w:t>certain of our</w:t>
      </w:r>
      <w:r>
        <w:rPr>
          <w:caps w:val="false"/>
          <w:smallCaps w:val="false"/>
          <w:sz w:val="24"/>
        </w:rPr>
        <w:t xml:space="preserve"> </w:t>
      </w:r>
      <w:r>
        <w:rPr>
          <w:rFonts w:ascii="Times New Roman;serif" w:hAnsi="Times New Roman;serif"/>
          <w:b w:val="false"/>
          <w:i w:val="false"/>
          <w:caps w:val="false"/>
          <w:smallCaps w:val="false"/>
          <w:sz w:val="22"/>
        </w:rPr>
        <w:t xml:space="preserve">television studio operations, which were not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Predecessor segment results.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Advertising and Marketing</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Advertising and marketing expenses in each quarter reflect the mix of films in theaters, including the comparison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against marketing costs for </w:t>
      </w:r>
      <w:r>
        <w:rPr>
          <w:rFonts w:ascii="Times New Roman;serif" w:hAnsi="Times New Roman;serif"/>
          <w:b w:val="false"/>
          <w:i/>
          <w:sz w:val="22"/>
        </w:rPr>
        <w:t xml:space="preserve">Mission: Impossible - The Final Reckoning </w:t>
      </w:r>
      <w:r>
        <w:rPr>
          <w:rFonts w:ascii="Times New Roman;serif" w:hAnsi="Times New Roman;serif"/>
          <w:b w:val="false"/>
          <w:i w:val="false"/>
          <w:caps w:val="false"/>
          <w:smallCaps w:val="false"/>
          <w:sz w:val="22"/>
        </w:rPr>
        <w:t>in the second quarter of 2025.</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Other</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Other expenses in the </w:t>
      </w:r>
      <w:r>
        <w:rPr>
          <w:rFonts w:ascii="Times New Roman;serif" w:hAnsi="Times New Roman;serif"/>
          <w:b w:val="false"/>
          <w:i w:val="false"/>
          <w:caps w:val="false"/>
          <w:smallCaps w:val="false"/>
          <w:strike w:val="false"/>
          <w:dstrike w:val="false"/>
          <w:sz w:val="22"/>
          <w:u w:val="none"/>
          <w:effect w:val="none"/>
        </w:rPr>
        <w:t>second quarter</w:t>
      </w:r>
      <w:r>
        <w:rPr>
          <w:caps w:val="false"/>
          <w:smallCaps w:val="false"/>
          <w:sz w:val="24"/>
        </w:rPr>
        <w:t xml:space="preserve"> </w:t>
      </w:r>
      <w:r>
        <w:rPr>
          <w:rFonts w:ascii="Times New Roman;serif" w:hAnsi="Times New Roman;serif"/>
          <w:b w:val="false"/>
          <w:i w:val="false"/>
          <w:caps w:val="false"/>
          <w:smallCaps w:val="false"/>
          <w:sz w:val="22"/>
        </w:rPr>
        <w:t xml:space="preserve">of 2026 include costs for Skydance and certain of our television studio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operations, which were not in the Predecessor segment results. The </w:t>
      </w:r>
      <w:r>
        <w:rPr>
          <w:rFonts w:ascii="Times New Roman;serif" w:hAnsi="Times New Roman;serif"/>
          <w:b w:val="false"/>
          <w:i w:val="false"/>
          <w:caps w:val="false"/>
          <w:smallCaps w:val="false"/>
          <w:strike w:val="false"/>
          <w:dstrike w:val="false"/>
          <w:sz w:val="22"/>
          <w:u w:val="none"/>
          <w:effect w:val="none"/>
        </w:rPr>
        <w:t>9%</w:t>
      </w:r>
      <w:r>
        <w:rPr>
          <w:caps w:val="false"/>
          <w:smallCaps w:val="false"/>
          <w:sz w:val="24"/>
        </w:rPr>
        <w:t xml:space="preserve"> </w:t>
      </w:r>
      <w:r>
        <w:rPr>
          <w:rFonts w:ascii="Times New Roman;serif" w:hAnsi="Times New Roman;serif"/>
          <w:b w:val="false"/>
          <w:i w:val="false"/>
          <w:caps w:val="false"/>
          <w:smallCaps w:val="false"/>
          <w:sz w:val="22"/>
        </w:rPr>
        <w:t xml:space="preserve">decrease compared with the non-GAAP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Predecessor presentation was driven by lower costs associated with the distribution of films in theaters, including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the comparison against distribution costs for </w:t>
      </w:r>
      <w:r>
        <w:rPr>
          <w:rFonts w:ascii="Times New Roman;serif" w:hAnsi="Times New Roman;serif"/>
          <w:b w:val="false"/>
          <w:i/>
          <w:sz w:val="22"/>
        </w:rPr>
        <w:t xml:space="preserve">Mission: Impossible - The Final Reckoning </w:t>
      </w:r>
      <w:r>
        <w:rPr>
          <w:rFonts w:ascii="Times New Roman;serif" w:hAnsi="Times New Roman;serif"/>
          <w:b w:val="false"/>
          <w:i w:val="false"/>
          <w:caps w:val="false"/>
          <w:smallCaps w:val="false"/>
          <w:sz w:val="22"/>
        </w:rPr>
        <w:t xml:space="preserve">in the second quarter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2025. </w:t>
      </w:r>
    </w:p>
    <w:p>
      <w:pPr>
        <w:pStyle w:val="TextBody"/>
        <w:bidi w:val="0"/>
        <w:spacing w:lineRule="atLeast" w:line="220" w:before="0" w:after="0"/>
        <w:jc w:val="both"/>
        <w:rPr>
          <w:rFonts w:ascii="Times New Roman;serif" w:hAnsi="Times New Roman;serif"/>
          <w:b/>
          <w:i/>
          <w:sz w:val="22"/>
          <w:u w:val="single"/>
        </w:rPr>
      </w:pPr>
      <w:r>
        <w:rPr>
          <w:rFonts w:ascii="Times New Roman;serif" w:hAnsi="Times New Roman;serif"/>
          <w:b/>
          <w:i/>
          <w:sz w:val="22"/>
          <w:u w:val="single"/>
        </w:rPr>
        <w:t>Adjusted EBITDA</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Adjusted EBITDA in the second 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of 2026 benefited from the comparison against the higher marketing and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 xml:space="preserve">other distribution costs for </w:t>
      </w:r>
      <w:r>
        <w:rPr>
          <w:rFonts w:ascii="Times New Roman;serif" w:hAnsi="Times New Roman;serif"/>
          <w:b w:val="false"/>
          <w:i/>
          <w:strike w:val="false"/>
          <w:dstrike w:val="false"/>
          <w:sz w:val="22"/>
          <w:u w:val="none"/>
          <w:effect w:val="none"/>
        </w:rPr>
        <w:t>Mission: Impossible - The Final Reckoning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in the second quarter of 2025.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Studios/Filmed Entertainment</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Six Months Ended June 30, 2026</w:t>
      </w:r>
      <w:r>
        <w:rPr>
          <w:sz w:val="24"/>
        </w:rPr>
        <w:t xml:space="preserve"> </w:t>
      </w:r>
      <w:r>
        <w:rPr>
          <w:rFonts w:ascii="Times New Roman;serif" w:hAnsi="Times New Roman;serif"/>
          <w:b w:val="false"/>
          <w:i/>
          <w:sz w:val="22"/>
        </w:rPr>
        <w:t xml:space="preserve">and </w:t>
      </w:r>
      <w:r>
        <w:rPr>
          <w:rFonts w:ascii="Times New Roman;serif" w:hAnsi="Times New Roman;serif"/>
          <w:b w:val="false"/>
          <w:i/>
          <w:strike w:val="false"/>
          <w:dstrike w:val="false"/>
          <w:sz w:val="22"/>
          <w:u w:val="none"/>
          <w:effect w:val="none"/>
        </w:rPr>
        <w:t>2025</w:t>
      </w:r>
    </w:p>
    <w:tbl>
      <w:tblPr>
        <w:tblW w:w="9304" w:type="dxa"/>
        <w:jc w:val="left"/>
        <w:tblInd w:w="0" w:type="dxa"/>
        <w:tblLayout w:type="fixed"/>
        <w:tblCellMar>
          <w:top w:w="28" w:type="dxa"/>
          <w:left w:w="28" w:type="dxa"/>
          <w:bottom w:w="28" w:type="dxa"/>
          <w:right w:w="28" w:type="dxa"/>
        </w:tblCellMar>
      </w:tblPr>
      <w:tblGrid>
        <w:gridCol w:w="1711"/>
        <w:gridCol w:w="193"/>
        <w:gridCol w:w="915"/>
        <w:gridCol w:w="196"/>
        <w:gridCol w:w="109"/>
        <w:gridCol w:w="109"/>
        <w:gridCol w:w="194"/>
        <w:gridCol w:w="915"/>
        <w:gridCol w:w="196"/>
        <w:gridCol w:w="109"/>
        <w:gridCol w:w="208"/>
        <w:gridCol w:w="888"/>
        <w:gridCol w:w="209"/>
        <w:gridCol w:w="109"/>
        <w:gridCol w:w="194"/>
        <w:gridCol w:w="915"/>
        <w:gridCol w:w="196"/>
        <w:gridCol w:w="109"/>
        <w:gridCol w:w="827"/>
        <w:gridCol w:w="153"/>
        <w:gridCol w:w="849"/>
      </w:tblGrid>
      <w:tr>
        <w:trPr/>
        <w:tc>
          <w:tcPr>
            <w:tcW w:w="17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171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GAAP</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7"/>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Non-GAAP</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938" w:type="dxa"/>
            <w:gridSpan w:val="4"/>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Increase/(Decrease) </w:t>
            </w:r>
            <w:r>
              <w:rPr>
                <w:rFonts w:ascii="Times New Roman;serif" w:hAnsi="Times New Roman;serif"/>
                <w:b/>
                <w:i w:val="false"/>
                <w:caps w:val="false"/>
                <w:smallCaps w:val="false"/>
                <w:sz w:val="12"/>
              </w:rPr>
              <w:t>(e)</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c>
          <w:tcPr>
            <w:tcW w:w="1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r>
      <w:tr>
        <w:trPr/>
        <w:tc>
          <w:tcPr>
            <w:tcW w:w="17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Studios</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Filmed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Entertainment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Adjustments </w:t>
            </w:r>
            <w:r>
              <w:rPr>
                <w:rFonts w:ascii="Times New Roman;serif" w:hAnsi="Times New Roman;serif"/>
                <w:b/>
                <w:i w:val="false"/>
                <w:caps w:val="false"/>
                <w:smallCaps w:val="false"/>
                <w:sz w:val="12"/>
              </w:rPr>
              <w:t>(d)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Studios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Theatrical</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$290</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$402</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$402</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$(112)</w:t>
            </w:r>
          </w:p>
        </w:tc>
        <w:tc>
          <w:tcPr>
            <w:tcW w:w="1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w:t>
            </w:r>
          </w:p>
        </w:tc>
      </w:tr>
      <w:tr>
        <w:trPr/>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Licensing and other</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2,299</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910</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973</w:t>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1,883</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416</w:t>
            </w:r>
          </w:p>
        </w:tc>
        <w:tc>
          <w:tcPr>
            <w:tcW w:w="15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w:t>
            </w:r>
          </w:p>
        </w:tc>
      </w:tr>
      <w:tr>
        <w:trPr/>
        <w:tc>
          <w:tcPr>
            <w:tcW w:w="17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Advertising </w:t>
            </w:r>
            <w:r>
              <w:rPr>
                <w:rFonts w:ascii="Times New Roman;serif" w:hAnsi="Times New Roman;serif"/>
                <w:b w:val="false"/>
                <w:i w:val="false"/>
                <w:caps w:val="false"/>
                <w:smallCaps w:val="false"/>
                <w:sz w:val="12"/>
              </w:rPr>
              <w:t>(a)</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w:t>
            </w:r>
          </w:p>
        </w:tc>
      </w:tr>
      <w:tr>
        <w:trPr/>
        <w:tc>
          <w:tcPr>
            <w:tcW w:w="17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2,597</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1,317</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977</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2,294</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303</w:t>
            </w:r>
          </w:p>
        </w:tc>
        <w:tc>
          <w:tcPr>
            <w:tcW w:w="1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1,742</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715</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760</w:t>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1,475</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267</w:t>
            </w:r>
          </w:p>
        </w:tc>
        <w:tc>
          <w:tcPr>
            <w:tcW w:w="15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w:t>
            </w:r>
          </w:p>
        </w:tc>
      </w:tr>
      <w:tr>
        <w:trPr/>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Advertising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marketing</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243</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311</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317</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(74)</w:t>
            </w:r>
          </w:p>
        </w:tc>
        <w:tc>
          <w:tcPr>
            <w:tcW w:w="15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w:t>
            </w:r>
          </w:p>
        </w:tc>
      </w:tr>
      <w:tr>
        <w:trPr/>
        <w:tc>
          <w:tcPr>
            <w:tcW w:w="17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(b)</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412</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355</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96</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451</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w:t>
            </w:r>
          </w:p>
        </w:tc>
        <w:tc>
          <w:tcPr>
            <w:tcW w:w="1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w:t>
            </w:r>
          </w:p>
        </w:tc>
      </w:tr>
      <w:tr>
        <w:trPr/>
        <w:tc>
          <w:tcPr>
            <w:tcW w:w="17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Expenses</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2,397</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1,381</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862</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2,243</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154</w:t>
            </w:r>
          </w:p>
        </w:tc>
        <w:tc>
          <w:tcPr>
            <w:tcW w:w="1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Adjusted EBITDA/</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Adjusted OIBDA </w:t>
            </w:r>
            <w:r>
              <w:rPr>
                <w:rFonts w:ascii="Times New Roman;serif" w:hAnsi="Times New Roman;serif"/>
                <w:b w:val="false"/>
                <w:i w:val="false"/>
                <w:caps w:val="false"/>
                <w:smallCaps w:val="false"/>
                <w:sz w:val="12"/>
              </w:rPr>
              <w:t>(c)</w:t>
            </w:r>
          </w:p>
        </w:tc>
        <w:tc>
          <w:tcPr>
            <w:tcW w:w="19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$200</w:t>
            </w:r>
          </w:p>
        </w:tc>
        <w:tc>
          <w:tcPr>
            <w:tcW w:w="19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$(64)</w:t>
            </w:r>
          </w:p>
        </w:tc>
        <w:tc>
          <w:tcPr>
            <w:tcW w:w="19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$115</w:t>
            </w:r>
          </w:p>
        </w:tc>
        <w:tc>
          <w:tcPr>
            <w:tcW w:w="2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w:t>
            </w:r>
          </w:p>
        </w:tc>
        <w:tc>
          <w:tcPr>
            <w:tcW w:w="19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$149</w:t>
            </w:r>
          </w:p>
        </w:tc>
        <w:tc>
          <w:tcPr>
            <w:tcW w:w="15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9"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292%</w:t>
            </w:r>
          </w:p>
        </w:tc>
      </w:tr>
    </w:tbl>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(a) Primarily reflects advertising revenues earned from the use of </w:t>
      </w:r>
      <w:r>
        <w:rPr>
          <w:rFonts w:ascii="Times New Roman;serif" w:hAnsi="Times New Roman;serif"/>
          <w:b w:val="false"/>
          <w:i/>
          <w:sz w:val="18"/>
        </w:rPr>
        <w:t xml:space="preserve">Studios </w:t>
      </w:r>
      <w:r>
        <w:rPr>
          <w:rFonts w:ascii="Times New Roman;serif" w:hAnsi="Times New Roman;serif"/>
          <w:b w:val="false"/>
          <w:i w:val="false"/>
          <w:caps w:val="false"/>
          <w:smallCaps w:val="false"/>
          <w:sz w:val="18"/>
        </w:rPr>
        <w:t>content on third-party digital platforms.</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(b) Other segment expenses for our </w:t>
      </w:r>
      <w:r>
        <w:rPr>
          <w:rFonts w:ascii="Times New Roman;serif" w:hAnsi="Times New Roman;serif"/>
          <w:b w:val="false"/>
          <w:i/>
          <w:sz w:val="18"/>
        </w:rPr>
        <w:t xml:space="preserve">Studios </w:t>
      </w:r>
      <w:r>
        <w:rPr>
          <w:rFonts w:ascii="Times New Roman;serif" w:hAnsi="Times New Roman;serif"/>
          <w:b w:val="false"/>
          <w:i w:val="false"/>
          <w:caps w:val="false"/>
          <w:smallCaps w:val="false"/>
          <w:sz w:val="18"/>
        </w:rPr>
        <w:t xml:space="preserve">segment include employee compensation; costs relating to the distribution of our content;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costs for occupancy, technology, and professional services; and other costs associated with our operations.</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  In the first quarter of 2026, we renamed our primary measure of profit and loss for our operating segments from Adjusted OIBDA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to Adjusted EBITDA. See Note </w:t>
      </w:r>
      <w:r>
        <w:rPr>
          <w:rFonts w:ascii="Times New Roman;serif" w:hAnsi="Times New Roman;serif"/>
          <w:b w:val="false"/>
          <w:i w:val="false"/>
          <w:caps w:val="false"/>
          <w:smallCaps w:val="false"/>
          <w:strike w:val="false"/>
          <w:dstrike w:val="false"/>
          <w:sz w:val="18"/>
          <w:u w:val="none"/>
          <w:effect w:val="none"/>
        </w:rPr>
        <w:t>13</w:t>
      </w:r>
      <w:r>
        <w:rPr>
          <w:caps w:val="false"/>
          <w:smallCaps w:val="false"/>
          <w:sz w:val="24"/>
        </w:rPr>
        <w:t xml:space="preserve"> </w:t>
      </w:r>
      <w:r>
        <w:rPr>
          <w:rFonts w:ascii="Times New Roman;serif" w:hAnsi="Times New Roman;serif"/>
          <w:b w:val="false"/>
          <w:i w:val="false"/>
          <w:caps w:val="false"/>
          <w:smallCaps w:val="false"/>
          <w:sz w:val="18"/>
        </w:rPr>
        <w:t>to the consolidated financial statements.</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(d) Reflects the inclusion of the historical </w:t>
      </w:r>
      <w:r>
        <w:rPr>
          <w:rFonts w:ascii="Times New Roman;serif" w:hAnsi="Times New Roman;serif"/>
          <w:b w:val="false"/>
          <w:i/>
          <w:sz w:val="18"/>
        </w:rPr>
        <w:t>TV Media</w:t>
      </w:r>
      <w:r>
        <w:rPr>
          <w:caps w:val="false"/>
          <w:smallCaps w:val="false"/>
        </w:rPr>
        <w:t xml:space="preserve"> </w:t>
      </w:r>
      <w:r>
        <w:rPr>
          <w:rFonts w:ascii="Times New Roman;serif" w:hAnsi="Times New Roman;serif"/>
          <w:b w:val="false"/>
          <w:i w:val="false"/>
          <w:caps w:val="false"/>
          <w:smallCaps w:val="false"/>
          <w:sz w:val="18"/>
        </w:rPr>
        <w:t xml:space="preserve">studio operations and updates to our segment expense allocations to better reflect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how we operate and make cost decisions across the business.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(e) Reflects the comparison between the Successor results for the </w:t>
      </w:r>
      <w:r>
        <w:rPr>
          <w:rFonts w:ascii="Times New Roman;serif" w:hAnsi="Times New Roman;serif"/>
          <w:b w:val="false"/>
          <w:i w:val="false"/>
          <w:caps w:val="false"/>
          <w:smallCaps w:val="false"/>
          <w:strike w:val="false"/>
          <w:dstrike w:val="false"/>
          <w:sz w:val="18"/>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18"/>
        </w:rPr>
        <w:t xml:space="preserve">to the non-GAAP Predecessor results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for the </w:t>
      </w:r>
      <w:r>
        <w:rPr>
          <w:rFonts w:ascii="Times New Roman;serif" w:hAnsi="Times New Roman;serif"/>
          <w:b w:val="false"/>
          <w:i w:val="false"/>
          <w:caps w:val="false"/>
          <w:smallCaps w:val="false"/>
          <w:strike w:val="false"/>
          <w:dstrike w:val="false"/>
          <w:sz w:val="18"/>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June 30, 2025</w:t>
      </w:r>
      <w:r>
        <w:rPr>
          <w:rFonts w:ascii="Times New Roman;serif" w:hAnsi="Times New Roman;serif"/>
          <w:b w:val="false"/>
          <w:i w:val="false"/>
          <w:caps w:val="false"/>
          <w:smallCaps w:val="false"/>
          <w:sz w:val="18"/>
        </w:rPr>
        <w:t xml:space="preserve">.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Revenues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Theatrical</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Theatrical revenues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included revenues from the second quarter 2026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release of </w:t>
      </w:r>
      <w:r>
        <w:rPr>
          <w:rFonts w:ascii="Times New Roman;serif" w:hAnsi="Times New Roman;serif"/>
          <w:b w:val="false"/>
          <w:i/>
          <w:sz w:val="22"/>
        </w:rPr>
        <w:t>Scary Movie (2026)</w:t>
      </w:r>
      <w:r>
        <w:rPr>
          <w:rFonts w:ascii="Times New Roman;serif" w:hAnsi="Times New Roman;serif"/>
          <w:b w:val="false"/>
          <w:i w:val="false"/>
          <w:caps w:val="false"/>
          <w:smallCaps w:val="false"/>
          <w:sz w:val="22"/>
        </w:rPr>
        <w:t xml:space="preserve">, the first quarter 2026 release of </w:t>
      </w:r>
      <w:r>
        <w:rPr>
          <w:rFonts w:ascii="Times New Roman;serif" w:hAnsi="Times New Roman;serif"/>
          <w:b w:val="false"/>
          <w:i/>
          <w:sz w:val="22"/>
        </w:rPr>
        <w:t>Scream 7</w:t>
      </w:r>
      <w:r>
        <w:rPr>
          <w:rFonts w:ascii="Times New Roman;serif" w:hAnsi="Times New Roman;serif"/>
          <w:b w:val="false"/>
          <w:i w:val="false"/>
          <w:caps w:val="false"/>
          <w:smallCaps w:val="false"/>
          <w:sz w:val="22"/>
        </w:rPr>
        <w:t xml:space="preserve">, and the fourth quarter 2025 release of </w:t>
      </w:r>
    </w:p>
    <w:p>
      <w:pPr>
        <w:pStyle w:val="TextBody"/>
        <w:bidi w:val="0"/>
        <w:spacing w:lineRule="atLeast" w:line="220" w:before="0" w:after="0"/>
        <w:jc w:val="left"/>
        <w:rPr/>
      </w:pPr>
      <w:r>
        <w:rPr>
          <w:rFonts w:ascii="Times New Roman;serif" w:hAnsi="Times New Roman;serif"/>
          <w:b w:val="false"/>
          <w:i/>
          <w:sz w:val="22"/>
        </w:rPr>
        <w:t xml:space="preserve">The SpongeBob Movie: Search for SquarePants. </w:t>
      </w:r>
      <w:r>
        <w:rPr>
          <w:rFonts w:ascii="Times New Roman;serif" w:hAnsi="Times New Roman;serif"/>
          <w:b w:val="false"/>
          <w:i w:val="false"/>
          <w:caps w:val="false"/>
          <w:smallCaps w:val="false"/>
          <w:sz w:val="22"/>
        </w:rPr>
        <w:t xml:space="preserve">The comparable prior-year period benefited from the second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quarter 2025 release of </w:t>
      </w:r>
      <w:r>
        <w:rPr>
          <w:rFonts w:ascii="Times New Roman;serif" w:hAnsi="Times New Roman;serif"/>
          <w:b w:val="false"/>
          <w:i/>
          <w:sz w:val="22"/>
        </w:rPr>
        <w:t xml:space="preserve">Mission: Impossible - The Final Reckoning </w:t>
      </w:r>
      <w:r>
        <w:rPr>
          <w:rFonts w:ascii="Times New Roman;serif" w:hAnsi="Times New Roman;serif"/>
          <w:b w:val="false"/>
          <w:i w:val="false"/>
          <w:caps w:val="false"/>
          <w:smallCaps w:val="false"/>
          <w:sz w:val="22"/>
        </w:rPr>
        <w:t xml:space="preserve">as well as the fourth quarter 2024 release of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 xml:space="preserve">Sonic the Hedgehog 3. </w:t>
      </w:r>
    </w:p>
    <w:p>
      <w:pPr>
        <w:pStyle w:val="TextBody"/>
        <w:bidi w:val="0"/>
        <w:spacing w:lineRule="atLeast" w:line="220" w:before="0" w:after="0"/>
        <w:jc w:val="both"/>
        <w:rPr>
          <w:rFonts w:ascii="Times New Roman;serif" w:hAnsi="Times New Roman;serif"/>
          <w:b w:val="false"/>
          <w:i/>
          <w:sz w:val="22"/>
          <w:u w:val="single"/>
        </w:rPr>
      </w:pPr>
      <w:r>
        <w:rPr>
          <w:rFonts w:ascii="Times New Roman;serif" w:hAnsi="Times New Roman;serif"/>
          <w:b w:val="false"/>
          <w:i/>
          <w:sz w:val="22"/>
          <w:u w:val="single"/>
        </w:rPr>
        <w:t>Licensing and Other</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Licensing and other revenues include Skydance revenues in 2026.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Expenses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Content Costs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Content costs in 2026 include costs for Skydance and certain of our television studio operations, which were not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Predecessor segment results.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Advertising and Marketing</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Advertising and marketing expenses in each period reflect the mix of films in theaters, including the comparison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against marketing costs for </w:t>
      </w:r>
      <w:r>
        <w:rPr>
          <w:rFonts w:ascii="Times New Roman;serif" w:hAnsi="Times New Roman;serif"/>
          <w:b w:val="false"/>
          <w:i/>
          <w:sz w:val="22"/>
        </w:rPr>
        <w:t xml:space="preserve">Mission: Impossible - The Final Reckoning </w:t>
      </w:r>
      <w:r>
        <w:rPr>
          <w:rFonts w:ascii="Times New Roman;serif" w:hAnsi="Times New Roman;serif"/>
          <w:b w:val="false"/>
          <w:i w:val="false"/>
          <w:caps w:val="false"/>
          <w:smallCaps w:val="false"/>
          <w:sz w:val="22"/>
        </w:rPr>
        <w:t>in 2025.</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Other</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Other expenses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include costs for Skydance and certain of our television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studio operations, which were not in the Predecessor segment results. </w:t>
      </w:r>
      <w:r>
        <w:rPr>
          <w:rFonts w:ascii="Times New Roman;serif" w:hAnsi="Times New Roman;serif"/>
          <w:b w:val="false"/>
          <w:i w:val="false"/>
          <w:caps w:val="false"/>
          <w:smallCaps w:val="false"/>
          <w:strike w:val="false"/>
          <w:dstrike w:val="false"/>
          <w:sz w:val="22"/>
          <w:u w:val="none"/>
          <w:effect w:val="none"/>
        </w:rPr>
        <w:t>The 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decrease compared with the non-</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GAAP Predecessor presentation was driven by lower costs associated with the distribution of films in theaters</w:t>
      </w:r>
      <w:r>
        <w:rPr>
          <w:rFonts w:ascii="Times New Roman;serif" w:hAnsi="Times New Roman;serif"/>
          <w:b w:val="false"/>
          <w:i w:val="false"/>
          <w:caps w:val="false"/>
          <w:smallCaps w:val="false"/>
          <w:sz w:val="22"/>
        </w:rPr>
        <w:t xml:space="preserve">. </w:t>
      </w:r>
    </w:p>
    <w:p>
      <w:pPr>
        <w:pStyle w:val="TextBody"/>
        <w:bidi w:val="0"/>
        <w:spacing w:lineRule="atLeast" w:line="220" w:before="0" w:after="0"/>
        <w:jc w:val="both"/>
        <w:rPr>
          <w:rFonts w:ascii="Times New Roman;serif" w:hAnsi="Times New Roman;serif"/>
          <w:b/>
          <w:i/>
          <w:sz w:val="22"/>
          <w:u w:val="single"/>
        </w:rPr>
      </w:pPr>
      <w:r>
        <w:rPr>
          <w:rFonts w:ascii="Times New Roman;serif" w:hAnsi="Times New Roman;serif"/>
          <w:b/>
          <w:i/>
          <w:sz w:val="22"/>
          <w:u w:val="single"/>
        </w:rPr>
        <w:t>Adjusted EBITDA</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Adjusted EBITDA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benefited from the mix of titles licensed and the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comparison against the higher marketing and other distribution costs for </w:t>
      </w:r>
      <w:r>
        <w:rPr>
          <w:rFonts w:ascii="Times New Roman;serif" w:hAnsi="Times New Roman;serif"/>
          <w:b w:val="false"/>
          <w:i/>
          <w:sz w:val="22"/>
        </w:rPr>
        <w:t xml:space="preserve">Mission: Impossible - The Final </w:t>
      </w:r>
    </w:p>
    <w:p>
      <w:pPr>
        <w:pStyle w:val="TextBody"/>
        <w:bidi w:val="0"/>
        <w:spacing w:lineRule="atLeast" w:line="220" w:before="0" w:after="0"/>
        <w:jc w:val="left"/>
        <w:rPr/>
      </w:pPr>
      <w:r>
        <w:rPr>
          <w:rFonts w:ascii="Times New Roman;serif" w:hAnsi="Times New Roman;serif"/>
          <w:b w:val="false"/>
          <w:i/>
          <w:sz w:val="22"/>
        </w:rPr>
        <w:t>Reckoning</w:t>
      </w:r>
      <w:r>
        <w:rPr>
          <w:caps w:val="false"/>
          <w:smallCaps w:val="false"/>
        </w:rPr>
        <w:t xml:space="preserve"> </w:t>
      </w:r>
      <w:r>
        <w:rPr>
          <w:rFonts w:ascii="Times New Roman;serif" w:hAnsi="Times New Roman;serif"/>
          <w:b w:val="false"/>
          <w:i w:val="false"/>
          <w:caps w:val="false"/>
          <w:smallCaps w:val="false"/>
          <w:sz w:val="22"/>
        </w:rPr>
        <w:t xml:space="preserve">in 2025.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pPr>
      <w:r>
        <w:rPr>
          <w:rFonts w:ascii="Times New Roman;serif" w:hAnsi="Times New Roman;serif"/>
          <w:b/>
          <w:i/>
          <w:sz w:val="22"/>
        </w:rPr>
        <w:t>Direct-to-Consumer</w:t>
      </w:r>
      <w:r>
        <w:rPr/>
        <w:t xml:space="preserve">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Our </w:t>
      </w:r>
      <w:r>
        <w:rPr>
          <w:rFonts w:ascii="Times New Roman;serif" w:hAnsi="Times New Roman;serif"/>
          <w:b w:val="false"/>
          <w:i/>
          <w:sz w:val="22"/>
        </w:rPr>
        <w:t>Direct-to-Consumer</w:t>
      </w:r>
      <w:r>
        <w:rPr>
          <w:caps w:val="false"/>
          <w:smallCaps w:val="false"/>
        </w:rPr>
        <w:t xml:space="preserve"> </w:t>
      </w:r>
      <w:r>
        <w:rPr>
          <w:rFonts w:ascii="Times New Roman;serif" w:hAnsi="Times New Roman;serif"/>
          <w:b w:val="false"/>
          <w:i w:val="false"/>
          <w:caps w:val="false"/>
          <w:smallCaps w:val="false"/>
          <w:strike w:val="false"/>
          <w:dstrike w:val="false"/>
          <w:sz w:val="22"/>
          <w:u w:val="none"/>
          <w:effect w:val="none"/>
          <w:shd w:fill="FFFFFF" w:val="clear"/>
        </w:rPr>
        <w:t xml:space="preserve">segment consists of our portfolio of domestic and international pay and free streaming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shd w:fill="FFFFFF" w:val="clear"/>
        </w:rPr>
      </w:pPr>
      <w:r>
        <w:rPr>
          <w:rFonts w:ascii="Times New Roman;serif" w:hAnsi="Times New Roman;serif"/>
          <w:b w:val="false"/>
          <w:i w:val="false"/>
          <w:caps w:val="false"/>
          <w:smallCaps w:val="false"/>
          <w:strike w:val="false"/>
          <w:dstrike w:val="false"/>
          <w:sz w:val="22"/>
          <w:u w:val="none"/>
          <w:effect w:val="none"/>
          <w:shd w:fill="FFFFFF" w:val="clear"/>
        </w:rPr>
        <w:t xml:space="preserve">services, including Paramount+ and Pluto TV, as well as our domestic premium cable network, Paramount+ </w:t>
      </w:r>
    </w:p>
    <w:p>
      <w:pPr>
        <w:pStyle w:val="TextBody"/>
        <w:bidi w:val="0"/>
        <w:spacing w:lineRule="atLeast" w:line="220" w:before="0" w:after="0"/>
        <w:jc w:val="left"/>
        <w:rPr/>
      </w:pPr>
      <w:r>
        <w:rPr>
          <w:rFonts w:ascii="Times New Roman;serif" w:hAnsi="Times New Roman;serif"/>
          <w:b w:val="false"/>
          <w:i w:val="false"/>
          <w:caps w:val="false"/>
          <w:smallCaps w:val="false"/>
          <w:strike w:val="false"/>
          <w:dstrike w:val="false"/>
          <w:sz w:val="22"/>
          <w:u w:val="none"/>
          <w:effect w:val="none"/>
          <w:shd w:fill="FFFFFF" w:val="clear"/>
        </w:rPr>
        <w:t xml:space="preserve">with Showtime. For the Predecessor period, the </w:t>
      </w:r>
      <w:r>
        <w:rPr>
          <w:rFonts w:ascii="Times New Roman;serif" w:hAnsi="Times New Roman;serif"/>
          <w:b w:val="false"/>
          <w:i/>
          <w:strike w:val="false"/>
          <w:dstrike w:val="false"/>
          <w:sz w:val="22"/>
          <w:u w:val="none"/>
          <w:effect w:val="none"/>
          <w:shd w:fill="FFFFFF" w:val="clear"/>
        </w:rPr>
        <w:t>Direct-to Consumer</w:t>
      </w:r>
      <w:r>
        <w:rPr>
          <w:caps w:val="false"/>
          <w:smallCaps w:val="false"/>
          <w:strike w:val="false"/>
          <w:dstrike w:val="false"/>
          <w:u w:val="none"/>
          <w:effect w:val="none"/>
          <w:shd w:fill="FFFFFF" w:val="clear"/>
        </w:rPr>
        <w:t xml:space="preserve"> </w:t>
      </w:r>
      <w:r>
        <w:rPr>
          <w:rFonts w:ascii="Times New Roman;serif" w:hAnsi="Times New Roman;serif"/>
          <w:b w:val="false"/>
          <w:i w:val="false"/>
          <w:caps w:val="false"/>
          <w:smallCaps w:val="false"/>
          <w:strike w:val="false"/>
          <w:dstrike w:val="false"/>
          <w:sz w:val="22"/>
          <w:u w:val="none"/>
          <w:effect w:val="none"/>
          <w:shd w:fill="FFFFFF" w:val="clear"/>
        </w:rPr>
        <w:t xml:space="preserve">segment excluded Paramount+ with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shd w:fill="FFFFFF" w:val="clear"/>
        </w:rPr>
      </w:pPr>
      <w:r>
        <w:rPr>
          <w:rFonts w:ascii="Times New Roman;serif" w:hAnsi="Times New Roman;serif"/>
          <w:b w:val="false"/>
          <w:i w:val="false"/>
          <w:caps w:val="false"/>
          <w:smallCaps w:val="false"/>
          <w:strike w:val="false"/>
          <w:dstrike w:val="false"/>
          <w:sz w:val="22"/>
          <w:u w:val="none"/>
          <w:effect w:val="none"/>
          <w:shd w:fill="FFFFFF" w:val="clear"/>
        </w:rPr>
        <w:t>Showtime. During the second quarter of 2026, we integrated BET+ into Paramount+.</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Three Months Ended June 30, 2026</w:t>
      </w:r>
      <w:r>
        <w:rPr>
          <w:sz w:val="24"/>
        </w:rPr>
        <w:t xml:space="preserve"> </w:t>
      </w:r>
      <w:r>
        <w:rPr>
          <w:rFonts w:ascii="Times New Roman;serif" w:hAnsi="Times New Roman;serif"/>
          <w:b w:val="false"/>
          <w:i/>
          <w:sz w:val="22"/>
        </w:rPr>
        <w:t xml:space="preserve">and </w:t>
      </w:r>
      <w:r>
        <w:rPr>
          <w:rFonts w:ascii="Times New Roman;serif" w:hAnsi="Times New Roman;serif"/>
          <w:b w:val="false"/>
          <w:i/>
          <w:strike w:val="false"/>
          <w:dstrike w:val="false"/>
          <w:sz w:val="22"/>
          <w:u w:val="none"/>
          <w:effect w:val="none"/>
        </w:rPr>
        <w:t>2025</w:t>
      </w:r>
    </w:p>
    <w:tbl>
      <w:tblPr>
        <w:tblW w:w="9349" w:type="dxa"/>
        <w:jc w:val="left"/>
        <w:tblInd w:w="0" w:type="dxa"/>
        <w:tblLayout w:type="fixed"/>
        <w:tblCellMar>
          <w:top w:w="28" w:type="dxa"/>
          <w:left w:w="28" w:type="dxa"/>
          <w:bottom w:w="28" w:type="dxa"/>
          <w:right w:w="28" w:type="dxa"/>
        </w:tblCellMar>
      </w:tblPr>
      <w:tblGrid>
        <w:gridCol w:w="1711"/>
        <w:gridCol w:w="193"/>
        <w:gridCol w:w="915"/>
        <w:gridCol w:w="196"/>
        <w:gridCol w:w="109"/>
        <w:gridCol w:w="109"/>
        <w:gridCol w:w="194"/>
        <w:gridCol w:w="915"/>
        <w:gridCol w:w="196"/>
        <w:gridCol w:w="109"/>
        <w:gridCol w:w="238"/>
        <w:gridCol w:w="826"/>
        <w:gridCol w:w="240"/>
        <w:gridCol w:w="109"/>
        <w:gridCol w:w="194"/>
        <w:gridCol w:w="915"/>
        <w:gridCol w:w="196"/>
        <w:gridCol w:w="109"/>
        <w:gridCol w:w="794"/>
        <w:gridCol w:w="185"/>
        <w:gridCol w:w="896"/>
      </w:tblGrid>
      <w:tr>
        <w:trPr/>
        <w:tc>
          <w:tcPr>
            <w:tcW w:w="17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171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GAAP</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7"/>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Non-GAAP</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Increase /(Decrease) </w:t>
            </w:r>
            <w:r>
              <w:rPr>
                <w:rFonts w:ascii="Times New Roman;serif" w:hAnsi="Times New Roman;serif"/>
                <w:b/>
                <w:i w:val="false"/>
                <w:caps w:val="false"/>
                <w:smallCaps w:val="false"/>
                <w:sz w:val="12"/>
              </w:rPr>
              <w:t>(e)</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c>
          <w:tcPr>
            <w:tcW w:w="1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r>
      <w:tr>
        <w:trPr/>
        <w:tc>
          <w:tcPr>
            <w:tcW w:w="17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Direct-to-</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Consumer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Direct-to-</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Consumer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Adjustments </w:t>
            </w:r>
            <w:r>
              <w:rPr>
                <w:rFonts w:ascii="Times New Roman;serif" w:hAnsi="Times New Roman;serif"/>
                <w:b/>
                <w:i w:val="false"/>
                <w:caps w:val="false"/>
                <w:smallCaps w:val="false"/>
                <w:sz w:val="12"/>
              </w:rPr>
              <w:t>(d)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Direct-to-</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Consumer</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$535</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$494</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$494</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w:t>
            </w:r>
          </w:p>
        </w:tc>
        <w:tc>
          <w:tcPr>
            <w:tcW w:w="1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r>
      <w:tr>
        <w:trPr/>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Affiliate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subscription</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1,939</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1,665</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104</w:t>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1,769</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170</w:t>
            </w:r>
          </w:p>
        </w:tc>
        <w:tc>
          <w:tcPr>
            <w:tcW w:w="18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r>
        <w:trPr/>
        <w:tc>
          <w:tcPr>
            <w:tcW w:w="17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Licensing </w:t>
            </w:r>
            <w:r>
              <w:rPr>
                <w:rFonts w:ascii="Times New Roman;serif" w:hAnsi="Times New Roman;serif"/>
                <w:b w:val="false"/>
                <w:i w:val="false"/>
                <w:caps w:val="false"/>
                <w:smallCaps w:val="false"/>
                <w:sz w:val="12"/>
              </w:rPr>
              <w:t>(a)</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n/m</w:t>
            </w:r>
          </w:p>
        </w:tc>
      </w:tr>
      <w:tr>
        <w:trPr/>
        <w:tc>
          <w:tcPr>
            <w:tcW w:w="17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2,474</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2,160</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104</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2,264</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210</w:t>
            </w:r>
          </w:p>
        </w:tc>
        <w:tc>
          <w:tcPr>
            <w:tcW w:w="1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1,161</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1,085</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w:t>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1,114</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47</w:t>
            </w:r>
          </w:p>
        </w:tc>
        <w:tc>
          <w:tcPr>
            <w:tcW w:w="18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r>
      <w:tr>
        <w:trPr/>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Advertising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marketing</w:t>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316</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294</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w:t>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305</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w:t>
            </w:r>
          </w:p>
        </w:tc>
        <w:tc>
          <w:tcPr>
            <w:tcW w:w="18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r>
      <w:tr>
        <w:trPr/>
        <w:tc>
          <w:tcPr>
            <w:tcW w:w="17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(b)</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631</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624</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591</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w:t>
            </w:r>
          </w:p>
        </w:tc>
        <w:tc>
          <w:tcPr>
            <w:tcW w:w="1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r>
      <w:tr>
        <w:trPr/>
        <w:tc>
          <w:tcPr>
            <w:tcW w:w="17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Expenses</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2,108</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2,003</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2,010</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98</w:t>
            </w:r>
          </w:p>
        </w:tc>
        <w:tc>
          <w:tcPr>
            <w:tcW w:w="1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Adjusted EBITDA/</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Adjusted OIBDA </w:t>
            </w:r>
            <w:r>
              <w:rPr>
                <w:rFonts w:ascii="Times New Roman;serif" w:hAnsi="Times New Roman;serif"/>
                <w:b w:val="false"/>
                <w:i w:val="false"/>
                <w:caps w:val="false"/>
                <w:smallCaps w:val="false"/>
                <w:sz w:val="12"/>
              </w:rPr>
              <w:t>(c)</w:t>
            </w:r>
          </w:p>
        </w:tc>
        <w:tc>
          <w:tcPr>
            <w:tcW w:w="19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$366</w:t>
            </w:r>
          </w:p>
        </w:tc>
        <w:tc>
          <w:tcPr>
            <w:tcW w:w="19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$157</w:t>
            </w:r>
          </w:p>
        </w:tc>
        <w:tc>
          <w:tcPr>
            <w:tcW w:w="19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$97</w:t>
            </w:r>
          </w:p>
        </w:tc>
        <w:tc>
          <w:tcPr>
            <w:tcW w:w="24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$254</w:t>
            </w:r>
          </w:p>
        </w:tc>
        <w:tc>
          <w:tcPr>
            <w:tcW w:w="19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$112</w:t>
            </w:r>
          </w:p>
        </w:tc>
        <w:tc>
          <w:tcPr>
            <w:tcW w:w="18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6"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n/m - not meaningful</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(a) Primarily reflects revenues from the licensing of content rights acquired by BET+. </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(b) Other segment expenses for our </w:t>
      </w:r>
      <w:r>
        <w:rPr>
          <w:rFonts w:ascii="Times New Roman;serif" w:hAnsi="Times New Roman;serif"/>
          <w:b w:val="false"/>
          <w:i/>
          <w:sz w:val="18"/>
        </w:rPr>
        <w:t xml:space="preserve">Direct-to-Consumer </w:t>
      </w:r>
      <w:r>
        <w:rPr>
          <w:rFonts w:ascii="Times New Roman;serif" w:hAnsi="Times New Roman;serif"/>
          <w:b w:val="false"/>
          <w:i w:val="false"/>
          <w:caps w:val="false"/>
          <w:smallCaps w:val="false"/>
          <w:sz w:val="18"/>
        </w:rPr>
        <w:t xml:space="preserve">segment include employee compensation; revenue-sharing costs, including for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third-party distribution; costs for occupancy, technology, and professional services; and other costs associated with our operations.</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  In the first quarter of 2026, we renamed our primary measure of profit and loss for our operating segments from Adjusted OIBDA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to Adjusted EBITDA. See Note </w:t>
      </w:r>
      <w:r>
        <w:rPr>
          <w:rFonts w:ascii="Times New Roman;serif" w:hAnsi="Times New Roman;serif"/>
          <w:b w:val="false"/>
          <w:i w:val="false"/>
          <w:caps w:val="false"/>
          <w:smallCaps w:val="false"/>
          <w:strike w:val="false"/>
          <w:dstrike w:val="false"/>
          <w:sz w:val="18"/>
          <w:u w:val="none"/>
          <w:effect w:val="none"/>
        </w:rPr>
        <w:t>13</w:t>
      </w:r>
      <w:r>
        <w:rPr>
          <w:caps w:val="false"/>
          <w:smallCaps w:val="false"/>
          <w:sz w:val="24"/>
        </w:rPr>
        <w:t xml:space="preserve"> </w:t>
      </w:r>
      <w:r>
        <w:rPr>
          <w:rFonts w:ascii="Times New Roman;serif" w:hAnsi="Times New Roman;serif"/>
          <w:b w:val="false"/>
          <w:i w:val="false"/>
          <w:caps w:val="false"/>
          <w:smallCaps w:val="false"/>
          <w:sz w:val="18"/>
        </w:rPr>
        <w:t>to the consolidated financial statements.</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(d) Reflects the inclusion of our premium cable channel, Paramount+ with Showtime, which was included in the </w:t>
      </w:r>
      <w:r>
        <w:rPr>
          <w:rFonts w:ascii="Times New Roman;serif" w:hAnsi="Times New Roman;serif"/>
          <w:b w:val="false"/>
          <w:i/>
          <w:sz w:val="18"/>
        </w:rPr>
        <w:t>TV Media</w:t>
      </w:r>
      <w:r>
        <w:rPr>
          <w:caps w:val="false"/>
          <w:smallCaps w:val="false"/>
        </w:rPr>
        <w:t xml:space="preserve"> </w:t>
      </w:r>
      <w:r>
        <w:rPr>
          <w:rFonts w:ascii="Times New Roman;serif" w:hAnsi="Times New Roman;serif"/>
          <w:b w:val="false"/>
          <w:i w:val="false"/>
          <w:caps w:val="false"/>
          <w:smallCaps w:val="false"/>
          <w:sz w:val="18"/>
        </w:rPr>
        <w:t xml:space="preserve">segment in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2025, and updates to our segment expense allocations to better reflect how we operate and make cost decisions across the business.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(e) Reflects the comparison between the Successor results for the three months ended </w:t>
      </w:r>
      <w:r>
        <w:rPr>
          <w:rFonts w:ascii="Times New Roman;serif" w:hAnsi="Times New Roman;serif"/>
          <w:b w:val="false"/>
          <w:i w:val="false"/>
          <w:caps w:val="false"/>
          <w:smallCaps w:val="false"/>
          <w:strike w:val="false"/>
          <w:dstrike w:val="false"/>
          <w:sz w:val="18"/>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18"/>
        </w:rPr>
        <w:t xml:space="preserve">to the non-GAAP Predecessor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results for the three months ended </w:t>
      </w:r>
      <w:r>
        <w:rPr>
          <w:rFonts w:ascii="Times New Roman;serif" w:hAnsi="Times New Roman;serif"/>
          <w:b w:val="false"/>
          <w:i w:val="false"/>
          <w:caps w:val="false"/>
          <w:smallCaps w:val="false"/>
          <w:strike w:val="false"/>
          <w:dstrike w:val="false"/>
          <w:sz w:val="18"/>
          <w:u w:val="none"/>
          <w:effect w:val="none"/>
        </w:rPr>
        <w:t>June 30, 2025</w:t>
      </w:r>
      <w:r>
        <w:rPr>
          <w:rFonts w:ascii="Times New Roman;serif" w:hAnsi="Times New Roman;serif"/>
          <w:b w:val="false"/>
          <w:i w:val="false"/>
          <w:caps w:val="false"/>
          <w:smallCaps w:val="false"/>
          <w:sz w:val="18"/>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tbl>
      <w:tblPr>
        <w:tblW w:w="7599" w:type="dxa"/>
        <w:jc w:val="left"/>
        <w:tblInd w:w="0" w:type="dxa"/>
        <w:tblLayout w:type="fixed"/>
        <w:tblCellMar>
          <w:top w:w="28" w:type="dxa"/>
          <w:left w:w="28" w:type="dxa"/>
          <w:bottom w:w="28" w:type="dxa"/>
          <w:right w:w="28" w:type="dxa"/>
        </w:tblCellMar>
      </w:tblPr>
      <w:tblGrid>
        <w:gridCol w:w="2086"/>
        <w:gridCol w:w="172"/>
        <w:gridCol w:w="958"/>
        <w:gridCol w:w="175"/>
        <w:gridCol w:w="109"/>
        <w:gridCol w:w="1006"/>
        <w:gridCol w:w="173"/>
        <w:gridCol w:w="958"/>
        <w:gridCol w:w="173"/>
        <w:gridCol w:w="109"/>
        <w:gridCol w:w="711"/>
        <w:gridCol w:w="166"/>
        <w:gridCol w:w="803"/>
      </w:tblGrid>
      <w:tr>
        <w:trPr/>
        <w:tc>
          <w:tcPr>
            <w:tcW w:w="20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08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Increase /(Decrease)</w:t>
            </w:r>
          </w:p>
        </w:tc>
      </w:tr>
      <w:tr>
        <w:trPr/>
        <w:tc>
          <w:tcPr>
            <w:tcW w:w="208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color w:val="000000"/>
                <w:sz w:val="18"/>
                <w:u w:val="single"/>
              </w:rPr>
            </w:pPr>
            <w:r>
              <w:rPr>
                <w:rFonts w:ascii="Times New Roman;serif" w:hAnsi="Times New Roman;serif"/>
                <w:b/>
                <w:i w:val="false"/>
                <w:caps w:val="false"/>
                <w:smallCaps w:val="false"/>
                <w:color w:val="000000"/>
                <w:sz w:val="18"/>
                <w:u w:val="single"/>
              </w:rPr>
              <w:t>Paramount+ (Global)</w:t>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3"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r>
      <w:tr>
        <w:trPr/>
        <w:tc>
          <w:tcPr>
            <w:tcW w:w="208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$2,061</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$1,771</w:t>
            </w:r>
          </w:p>
        </w:tc>
        <w:tc>
          <w:tcPr>
            <w:tcW w:w="17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$290</w:t>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r>
      <w:tr>
        <w:trPr/>
        <w:tc>
          <w:tcPr>
            <w:tcW w:w="20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Subscribers (in millions)</w:t>
            </w:r>
            <w:r>
              <w:rPr>
                <w:caps w:val="false"/>
                <w:smallCaps w:val="false"/>
              </w:rPr>
              <w:t xml:space="preserve"> </w:t>
            </w:r>
            <w:r>
              <w:rPr>
                <w:rFonts w:ascii="Times New Roman;serif" w:hAnsi="Times New Roman;serif"/>
                <w:b w:val="false"/>
                <w:i w:val="false"/>
                <w:caps w:val="false"/>
                <w:smallCaps w:val="false"/>
                <w:sz w:val="12"/>
              </w:rPr>
              <w:t>(a)</w:t>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81.6</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76.8</w:t>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w:t>
            </w:r>
          </w:p>
        </w:tc>
        <w:tc>
          <w:tcPr>
            <w:tcW w:w="1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r>
      <w:tr>
        <w:trPr/>
        <w:tc>
          <w:tcPr>
            <w:tcW w:w="2086"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ARPU (in dollars) </w:t>
            </w:r>
            <w:r>
              <w:rPr>
                <w:rFonts w:ascii="Times New Roman;serif" w:hAnsi="Times New Roman;serif"/>
                <w:b w:val="false"/>
                <w:i w:val="false"/>
                <w:caps w:val="false"/>
                <w:smallCaps w:val="false"/>
                <w:sz w:val="12"/>
              </w:rPr>
              <w:t>(b)</w:t>
            </w:r>
          </w:p>
        </w:tc>
        <w:tc>
          <w:tcPr>
            <w:tcW w:w="17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$8.52</w:t>
            </w:r>
          </w:p>
        </w:tc>
        <w:tc>
          <w:tcPr>
            <w:tcW w:w="17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$7.64</w:t>
            </w:r>
          </w:p>
        </w:tc>
        <w:tc>
          <w:tcPr>
            <w:tcW w:w="17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$.88</w:t>
            </w:r>
          </w:p>
        </w:tc>
        <w:tc>
          <w:tcPr>
            <w:tcW w:w="16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3"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w:t>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(a) Subscribers include customers who are registered for Paramount+, either directly through our owned and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operated apps and websites, or through third-party distributors. Subscribers also include customers who are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provided with access through a subscription bundle with a domestic linear video streaming service (vMVPD)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or an international third-party distributor. Our subscriber count includes only paid subscriptions and reflects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the number of subscribers as of the applicable period-end date.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(b) We calculate average revenue per subscriber (“ARPU”) as total Paramount+ revenues during the applicable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period divided by the average of Paramount+ subscribers at the beginning and end of the period, further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divided by the number of months in the period.</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Revenues</w:t>
      </w:r>
    </w:p>
    <w:p>
      <w:pPr>
        <w:pStyle w:val="TextBody"/>
        <w:bidi w:val="0"/>
        <w:spacing w:lineRule="atLeast" w:line="220" w:before="0" w:after="0"/>
        <w:jc w:val="both"/>
        <w:rPr>
          <w:rFonts w:ascii="Times New Roman;serif" w:hAnsi="Times New Roman;serif"/>
          <w:b w:val="false"/>
          <w:i/>
          <w:sz w:val="22"/>
          <w:u w:val="single"/>
        </w:rPr>
      </w:pPr>
      <w:r>
        <w:rPr>
          <w:rFonts w:ascii="Times New Roman;serif" w:hAnsi="Times New Roman;serif"/>
          <w:b w:val="false"/>
          <w:i/>
          <w:sz w:val="22"/>
          <w:u w:val="single"/>
        </w:rPr>
        <w:t>Advertising</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The increase in advertising revenues was driven by growth in impressions fo</w:t>
      </w:r>
      <w:r>
        <w:rPr>
          <w:rFonts w:ascii="Times New Roman;serif" w:hAnsi="Times New Roman;serif"/>
          <w:b w:val="false"/>
          <w:i w:val="false"/>
          <w:caps w:val="false"/>
          <w:smallCaps w:val="false"/>
          <w:strike w:val="false"/>
          <w:dstrike w:val="false"/>
          <w:sz w:val="22"/>
          <w:u w:val="none"/>
          <w:effect w:val="none"/>
        </w:rPr>
        <w:t>r Paramount+</w:t>
      </w:r>
      <w:r>
        <w:rPr>
          <w:rFonts w:ascii="Times New Roman;serif" w:hAnsi="Times New Roman;serif"/>
          <w:b w:val="false"/>
          <w:i w:val="false"/>
          <w:caps w:val="false"/>
          <w:smallCaps w:val="false"/>
          <w:sz w:val="22"/>
        </w:rPr>
        <w:t xml:space="preserve">. Advertising revenues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2026 benefited from the streaming of UFC events on Paramount+ under our new rights agreement that began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January 2026.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Affiliate and Subscription</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Affiliate and subscription revenues for the </w:t>
      </w:r>
      <w:r>
        <w:rPr>
          <w:rFonts w:ascii="Times New Roman;serif" w:hAnsi="Times New Roman;serif"/>
          <w:b w:val="false"/>
          <w:i w:val="false"/>
          <w:caps w:val="false"/>
          <w:smallCaps w:val="false"/>
          <w:strike w:val="false"/>
          <w:dstrike w:val="false"/>
          <w:sz w:val="22"/>
          <w:u w:val="none"/>
          <w:effect w:val="none"/>
        </w:rPr>
        <w:t>second quarter</w:t>
      </w:r>
      <w:r>
        <w:rPr>
          <w:caps w:val="false"/>
          <w:smallCaps w:val="false"/>
          <w:sz w:val="24"/>
        </w:rPr>
        <w:t xml:space="preserve"> </w:t>
      </w:r>
      <w:r>
        <w:rPr>
          <w:rFonts w:ascii="Times New Roman;serif" w:hAnsi="Times New Roman;serif"/>
          <w:b w:val="false"/>
          <w:i w:val="false"/>
          <w:caps w:val="false"/>
          <w:smallCaps w:val="false"/>
          <w:sz w:val="22"/>
        </w:rPr>
        <w:t xml:space="preserve">of 2026 benefited from pricing increases and growth in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Paramount+ subscribers. </w:t>
      </w:r>
      <w:r>
        <w:rPr>
          <w:rFonts w:ascii="Times New Roman;serif" w:hAnsi="Times New Roman;serif"/>
          <w:b w:val="false"/>
          <w:i w:val="false"/>
          <w:caps w:val="false"/>
          <w:smallCaps w:val="false"/>
          <w:strike w:val="false"/>
          <w:dstrike w:val="false"/>
          <w:sz w:val="22"/>
          <w:u w:val="none"/>
          <w:effect w:val="none"/>
        </w:rPr>
        <w:t xml:space="preserve">Compared with June 30, 2025, Paramount+ subscribers increased 4.8 million, or 6%,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driven by growth in domestic subscribers, partially offset by a decline in international subscribers, primarily due to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the nonrenewal of international distribution agreements.</w:t>
      </w:r>
      <w:r>
        <w:rPr>
          <w:caps w:val="false"/>
          <w:smallCaps w:val="false"/>
          <w:sz w:val="24"/>
        </w:rPr>
        <w:t xml:space="preserve"> </w:t>
      </w:r>
      <w:r>
        <w:rPr>
          <w:rFonts w:ascii="Times New Roman;serif" w:hAnsi="Times New Roman;serif"/>
          <w:b w:val="false"/>
          <w:i w:val="false"/>
          <w:caps w:val="false"/>
          <w:smallCaps w:val="false"/>
          <w:sz w:val="22"/>
        </w:rPr>
        <w:t xml:space="preserve">Compared with the second quarter of 2025, ARPU grew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12%</w:t>
      </w:r>
      <w:r>
        <w:rPr>
          <w:caps w:val="false"/>
          <w:smallCaps w:val="false"/>
          <w:sz w:val="24"/>
        </w:rPr>
        <w:t xml:space="preserve"> </w:t>
      </w:r>
      <w:r>
        <w:rPr>
          <w:rFonts w:ascii="Times New Roman;serif" w:hAnsi="Times New Roman;serif"/>
          <w:b w:val="false"/>
          <w:i w:val="false"/>
          <w:caps w:val="false"/>
          <w:smallCaps w:val="false"/>
          <w:sz w:val="22"/>
        </w:rPr>
        <w:t xml:space="preserve">to </w:t>
      </w:r>
      <w:r>
        <w:rPr>
          <w:rFonts w:ascii="Times New Roman;serif" w:hAnsi="Times New Roman;serif"/>
          <w:b w:val="false"/>
          <w:i w:val="false"/>
          <w:caps w:val="false"/>
          <w:smallCaps w:val="false"/>
          <w:strike w:val="false"/>
          <w:dstrike w:val="false"/>
          <w:sz w:val="22"/>
          <w:u w:val="none"/>
          <w:effect w:val="none"/>
        </w:rPr>
        <w:t>$8.52</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z w:val="22"/>
        </w:rPr>
        <w:t xml:space="preserve">The </w:t>
      </w:r>
      <w:r>
        <w:rPr>
          <w:rFonts w:ascii="Times New Roman;serif" w:hAnsi="Times New Roman;serif"/>
          <w:b w:val="false"/>
          <w:i w:val="false"/>
          <w:caps w:val="false"/>
          <w:smallCaps w:val="false"/>
          <w:strike w:val="false"/>
          <w:dstrike w:val="false"/>
          <w:sz w:val="22"/>
          <w:u w:val="none"/>
          <w:effect w:val="none"/>
        </w:rPr>
        <w:t>10%</w:t>
      </w:r>
      <w:r>
        <w:rPr>
          <w:caps w:val="false"/>
          <w:smallCaps w:val="false"/>
          <w:sz w:val="24"/>
        </w:rPr>
        <w:t xml:space="preserve"> </w:t>
      </w:r>
      <w:r>
        <w:rPr>
          <w:rFonts w:ascii="Times New Roman;serif" w:hAnsi="Times New Roman;serif"/>
          <w:b w:val="false"/>
          <w:i w:val="false"/>
          <w:caps w:val="false"/>
          <w:smallCaps w:val="false"/>
          <w:sz w:val="22"/>
        </w:rPr>
        <w:t xml:space="preserve">increase in affiliate and subscription revenue compared with the non-GAAP Predecessor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presentation reflects growth for Paramount+, partially offset by a negative impact of 3% from combined revenue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declines for BET+ and </w:t>
      </w:r>
      <w:r>
        <w:rPr>
          <w:rFonts w:ascii="Times New Roman;serif" w:hAnsi="Times New Roman;serif"/>
          <w:b w:val="false"/>
          <w:i w:val="false"/>
          <w:caps w:val="false"/>
          <w:smallCaps w:val="false"/>
          <w:strike w:val="false"/>
          <w:dstrike w:val="false"/>
          <w:sz w:val="22"/>
          <w:u w:val="none"/>
          <w:effect w:val="none"/>
          <w:shd w:fill="FFFFFF" w:val="clear"/>
        </w:rPr>
        <w:t>Paramount+ with Showtime. As discussed above, BET+ was integrated</w:t>
      </w:r>
      <w:r>
        <w:rPr>
          <w:caps w:val="false"/>
          <w:smallCaps w:val="false"/>
        </w:rPr>
        <w:t xml:space="preserve"> </w:t>
      </w:r>
      <w:r>
        <w:rPr>
          <w:rFonts w:ascii="Times New Roman;serif" w:hAnsi="Times New Roman;serif"/>
          <w:b w:val="false"/>
          <w:i w:val="false"/>
          <w:caps w:val="false"/>
          <w:smallCaps w:val="false"/>
          <w:sz w:val="22"/>
        </w:rPr>
        <w:t xml:space="preserve">into Paramount+ </w:t>
      </w:r>
    </w:p>
    <w:p>
      <w:pPr>
        <w:pStyle w:val="TextBody"/>
        <w:bidi w:val="0"/>
        <w:spacing w:lineRule="atLeast" w:line="220" w:before="0" w:after="0"/>
        <w:jc w:val="left"/>
        <w:rPr/>
      </w:pPr>
      <w:r>
        <w:rPr>
          <w:rFonts w:ascii="Times New Roman;serif" w:hAnsi="Times New Roman;serif"/>
          <w:b w:val="false"/>
          <w:i w:val="false"/>
          <w:caps w:val="false"/>
          <w:smallCaps w:val="false"/>
          <w:sz w:val="22"/>
        </w:rPr>
        <w:t>during the second quarter of 2026. The Paramount+ with Showtime decrease reflects</w:t>
      </w:r>
      <w:r>
        <w:rPr>
          <w:caps w:val="false"/>
          <w:smallCaps w:val="false"/>
          <w:strike w:val="false"/>
          <w:dstrike w:val="false"/>
          <w:u w:val="none"/>
          <w:effect w:val="none"/>
          <w:shd w:fill="FFFFFF" w:val="clear"/>
        </w:rPr>
        <w:t xml:space="preserve"> </w:t>
      </w:r>
      <w:r>
        <w:rPr>
          <w:rFonts w:ascii="Times New Roman;serif" w:hAnsi="Times New Roman;serif"/>
          <w:b w:val="false"/>
          <w:i w:val="false"/>
          <w:caps w:val="false"/>
          <w:smallCaps w:val="false"/>
          <w:strike w:val="false"/>
          <w:dstrike w:val="false"/>
          <w:sz w:val="22"/>
          <w:u w:val="none"/>
          <w:effect w:val="none"/>
          <w:shd w:fill="FFFFFF" w:val="clear"/>
        </w:rPr>
        <w:t>declines in linear subscribers.</w:t>
      </w:r>
      <w:r>
        <w:rPr>
          <w:caps w:val="false"/>
          <w:smallCaps w:val="fals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During the </w:t>
      </w:r>
      <w:r>
        <w:rPr>
          <w:rFonts w:ascii="Times New Roman;serif" w:hAnsi="Times New Roman;serif"/>
          <w:b w:val="false"/>
          <w:i w:val="false"/>
          <w:caps w:val="false"/>
          <w:smallCaps w:val="false"/>
          <w:strike w:val="false"/>
          <w:dstrike w:val="false"/>
          <w:sz w:val="22"/>
          <w:u w:val="none"/>
          <w:effect w:val="none"/>
        </w:rPr>
        <w:t>second quarter</w:t>
      </w:r>
      <w:r>
        <w:rPr>
          <w:caps w:val="false"/>
          <w:smallCaps w:val="false"/>
          <w:sz w:val="24"/>
        </w:rPr>
        <w:t xml:space="preserve"> </w:t>
      </w:r>
      <w:r>
        <w:rPr>
          <w:rFonts w:ascii="Times New Roman;serif" w:hAnsi="Times New Roman;serif"/>
          <w:b w:val="false"/>
          <w:i w:val="false"/>
          <w:caps w:val="false"/>
          <w:smallCaps w:val="false"/>
          <w:sz w:val="22"/>
        </w:rPr>
        <w:t>of 2026, Paramount+ s</w:t>
      </w:r>
      <w:r>
        <w:rPr>
          <w:rFonts w:ascii="Times New Roman;serif" w:hAnsi="Times New Roman;serif"/>
          <w:b w:val="false"/>
          <w:i w:val="false"/>
          <w:caps w:val="false"/>
          <w:smallCaps w:val="false"/>
          <w:strike w:val="false"/>
          <w:dstrike w:val="false"/>
          <w:sz w:val="22"/>
          <w:u w:val="none"/>
          <w:effect w:val="none"/>
        </w:rPr>
        <w:t>ubscribers increased 2.0 million, or 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compared with 79.6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at March 31, 2026. The subscriber growth benefited from the UFC on Paramount+ and the premiere of </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Dutton Ranch,</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but was partially offset by a decrease of 1.8 million subscribers from the nonrenewal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international distribution agreements in Japan.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Expenses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Content Costs</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Content costs during the </w:t>
      </w:r>
      <w:r>
        <w:rPr>
          <w:rFonts w:ascii="Times New Roman;serif" w:hAnsi="Times New Roman;serif"/>
          <w:b w:val="false"/>
          <w:i w:val="false"/>
          <w:caps w:val="false"/>
          <w:smallCaps w:val="false"/>
          <w:strike w:val="false"/>
          <w:dstrike w:val="false"/>
          <w:sz w:val="22"/>
          <w:u w:val="none"/>
          <w:effect w:val="none"/>
        </w:rPr>
        <w:t>second quarter</w:t>
      </w:r>
      <w:r>
        <w:rPr>
          <w:caps w:val="false"/>
          <w:smallCaps w:val="false"/>
          <w:sz w:val="24"/>
        </w:rPr>
        <w:t xml:space="preserve"> </w:t>
      </w:r>
      <w:r>
        <w:rPr>
          <w:rFonts w:ascii="Times New Roman;serif" w:hAnsi="Times New Roman;serif"/>
          <w:b w:val="false"/>
          <w:i w:val="false"/>
          <w:caps w:val="false"/>
          <w:smallCaps w:val="false"/>
          <w:sz w:val="22"/>
        </w:rPr>
        <w:t xml:space="preserve">of 2026 include higher costs associated with sporting events on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Paramount+, mainly for the </w:t>
      </w:r>
      <w:r>
        <w:rPr>
          <w:rFonts w:ascii="Times New Roman;serif" w:hAnsi="Times New Roman;serif"/>
          <w:b w:val="false"/>
          <w:i w:val="false"/>
          <w:caps w:val="false"/>
          <w:smallCaps w:val="false"/>
          <w:strike w:val="false"/>
          <w:dstrike w:val="false"/>
          <w:sz w:val="22"/>
          <w:u w:val="none"/>
          <w:effect w:val="none"/>
        </w:rPr>
        <w:t>UFC, as well as the impact from 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net reduction in programming assets resulting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from the pushdown of the Ultimate Parent’s basis.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Advertising and Marketing</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Advertising and marketing expenses for the </w:t>
      </w:r>
      <w:r>
        <w:rPr>
          <w:rFonts w:ascii="Times New Roman;serif" w:hAnsi="Times New Roman;serif"/>
          <w:b w:val="false"/>
          <w:i w:val="false"/>
          <w:caps w:val="false"/>
          <w:smallCaps w:val="false"/>
          <w:strike w:val="false"/>
          <w:dstrike w:val="false"/>
          <w:sz w:val="22"/>
          <w:u w:val="none"/>
          <w:effect w:val="none"/>
        </w:rPr>
        <w:t>second quarter</w:t>
      </w:r>
      <w:r>
        <w:rPr>
          <w:caps w:val="false"/>
          <w:smallCaps w:val="false"/>
          <w:sz w:val="24"/>
        </w:rPr>
        <w:t xml:space="preserve"> </w:t>
      </w:r>
      <w:r>
        <w:rPr>
          <w:rFonts w:ascii="Times New Roman;serif" w:hAnsi="Times New Roman;serif"/>
          <w:b w:val="false"/>
          <w:i w:val="false"/>
          <w:caps w:val="false"/>
          <w:smallCaps w:val="false"/>
          <w:sz w:val="22"/>
        </w:rPr>
        <w:t xml:space="preserve">of 2026 include marketing costs for UFC events on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Paramount+</w:t>
      </w:r>
      <w:r>
        <w:rPr>
          <w:rFonts w:ascii="Times New Roman;serif" w:hAnsi="Times New Roman;serif"/>
          <w:b w:val="false"/>
          <w:i w:val="false"/>
          <w:caps w:val="false"/>
          <w:smallCaps w:val="false"/>
          <w:strike w:val="false"/>
          <w:dstrike w:val="false"/>
          <w:sz w:val="22"/>
          <w:u w:val="none"/>
          <w:effect w:val="none"/>
        </w:rPr>
        <w:t>,</w:t>
      </w:r>
      <w:r>
        <w:rPr>
          <w:caps w:val="false"/>
          <w:smallCaps w:val="false"/>
          <w:sz w:val="24"/>
        </w:rPr>
        <w:t xml:space="preserve"> </w:t>
      </w:r>
      <w:r>
        <w:rPr>
          <w:rFonts w:ascii="Times New Roman;serif" w:hAnsi="Times New Roman;serif"/>
          <w:b w:val="false"/>
          <w:i w:val="false"/>
          <w:caps w:val="false"/>
          <w:smallCaps w:val="false"/>
          <w:sz w:val="22"/>
        </w:rPr>
        <w:t xml:space="preserve">which led to the </w:t>
      </w:r>
      <w:r>
        <w:rPr>
          <w:rFonts w:ascii="Times New Roman;serif" w:hAnsi="Times New Roman;serif"/>
          <w:b w:val="false"/>
          <w:i w:val="false"/>
          <w:caps w:val="false"/>
          <w:smallCaps w:val="false"/>
          <w:strike w:val="false"/>
          <w:dstrike w:val="false"/>
          <w:sz w:val="22"/>
          <w:u w:val="none"/>
          <w:effect w:val="none"/>
        </w:rPr>
        <w:t>4%</w:t>
      </w:r>
      <w:r>
        <w:rPr>
          <w:caps w:val="false"/>
          <w:smallCaps w:val="false"/>
          <w:sz w:val="24"/>
        </w:rPr>
        <w:t xml:space="preserve"> </w:t>
      </w:r>
      <w:r>
        <w:rPr>
          <w:rFonts w:ascii="Times New Roman;serif" w:hAnsi="Times New Roman;serif"/>
          <w:b w:val="false"/>
          <w:i w:val="false"/>
          <w:caps w:val="false"/>
          <w:smallCaps w:val="false"/>
          <w:sz w:val="22"/>
        </w:rPr>
        <w:t xml:space="preserve">increase compared with the </w:t>
      </w:r>
      <w:r>
        <w:rPr>
          <w:rFonts w:ascii="Times New Roman;serif" w:hAnsi="Times New Roman;serif"/>
          <w:b w:val="false"/>
          <w:i w:val="false"/>
          <w:caps w:val="false"/>
          <w:smallCaps w:val="false"/>
          <w:strike w:val="false"/>
          <w:dstrike w:val="false"/>
          <w:sz w:val="22"/>
          <w:u w:val="none"/>
          <w:effect w:val="none"/>
        </w:rPr>
        <w:t>non-GAAP Predecessor presentation</w:t>
      </w:r>
      <w:r>
        <w:rPr>
          <w:rFonts w:ascii="Times New Roman;serif" w:hAnsi="Times New Roman;serif"/>
          <w:b w:val="false"/>
          <w:i w:val="false"/>
          <w:caps w:val="false"/>
          <w:smallCaps w:val="false"/>
          <w:sz w:val="22"/>
        </w:rPr>
        <w:t>.</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Other</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Other expenses for the </w:t>
      </w:r>
      <w:r>
        <w:rPr>
          <w:rFonts w:ascii="Times New Roman;serif" w:hAnsi="Times New Roman;serif"/>
          <w:b w:val="false"/>
          <w:i w:val="false"/>
          <w:caps w:val="false"/>
          <w:smallCaps w:val="false"/>
          <w:strike w:val="false"/>
          <w:dstrike w:val="false"/>
          <w:sz w:val="22"/>
          <w:u w:val="none"/>
          <w:effect w:val="none"/>
        </w:rPr>
        <w:t>second quarter</w:t>
      </w:r>
      <w:r>
        <w:rPr>
          <w:caps w:val="false"/>
          <w:smallCaps w:val="false"/>
          <w:sz w:val="24"/>
        </w:rPr>
        <w:t xml:space="preserve"> </w:t>
      </w:r>
      <w:r>
        <w:rPr>
          <w:rFonts w:ascii="Times New Roman;serif" w:hAnsi="Times New Roman;serif"/>
          <w:b w:val="false"/>
          <w:i w:val="false"/>
          <w:caps w:val="false"/>
          <w:smallCaps w:val="false"/>
          <w:sz w:val="22"/>
        </w:rPr>
        <w:t xml:space="preserve">of 2026 </w:t>
      </w:r>
      <w:r>
        <w:rPr>
          <w:rFonts w:ascii="Times New Roman;serif" w:hAnsi="Times New Roman;serif"/>
          <w:b w:val="false"/>
          <w:i w:val="false"/>
          <w:caps w:val="false"/>
          <w:smallCaps w:val="false"/>
          <w:strike w:val="false"/>
          <w:dstrike w:val="false"/>
          <w:sz w:val="22"/>
          <w:u w:val="none"/>
          <w:effect w:val="none"/>
        </w:rPr>
        <w:t>reflect</w:t>
      </w:r>
      <w:r>
        <w:rPr>
          <w:caps w:val="false"/>
          <w:smallCaps w:val="false"/>
          <w:sz w:val="24"/>
        </w:rPr>
        <w:t xml:space="preserve"> </w:t>
      </w:r>
      <w:r>
        <w:rPr>
          <w:rFonts w:ascii="Times New Roman;serif" w:hAnsi="Times New Roman;serif"/>
          <w:b w:val="false"/>
          <w:i w:val="false"/>
          <w:caps w:val="false"/>
          <w:smallCaps w:val="false"/>
          <w:sz w:val="22"/>
        </w:rPr>
        <w:t xml:space="preserve">higher revenue sharing costs, mainly for third-party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distribution. </w:t>
      </w:r>
    </w:p>
    <w:p>
      <w:pPr>
        <w:pStyle w:val="TextBody"/>
        <w:bidi w:val="0"/>
        <w:spacing w:lineRule="atLeast" w:line="220" w:before="0" w:after="0"/>
        <w:jc w:val="left"/>
        <w:rPr>
          <w:sz w:val="24"/>
        </w:rPr>
      </w:pPr>
      <w:r>
        <w:rPr>
          <w:rFonts w:ascii="Times New Roman;serif" w:hAnsi="Times New Roman;serif"/>
          <w:b/>
          <w:i/>
          <w:sz w:val="22"/>
        </w:rPr>
        <w:t xml:space="preserve">Adjusted </w:t>
      </w:r>
      <w:r>
        <w:rPr>
          <w:rFonts w:ascii="Times New Roman;serif" w:hAnsi="Times New Roman;serif"/>
          <w:b/>
          <w:i/>
          <w:strike w:val="false"/>
          <w:dstrike w:val="false"/>
          <w:sz w:val="22"/>
          <w:u w:val="none"/>
          <w:effect w:val="none"/>
        </w:rPr>
        <w:t>EBITDA</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Adjusted EBITDA in the </w:t>
      </w:r>
      <w:r>
        <w:rPr>
          <w:rFonts w:ascii="Times New Roman;serif" w:hAnsi="Times New Roman;serif"/>
          <w:b w:val="false"/>
          <w:i w:val="false"/>
          <w:caps w:val="false"/>
          <w:smallCaps w:val="false"/>
          <w:strike w:val="false"/>
          <w:dstrike w:val="false"/>
          <w:sz w:val="22"/>
          <w:u w:val="none"/>
          <w:effect w:val="none"/>
        </w:rPr>
        <w:t>second quarter</w:t>
      </w:r>
      <w:r>
        <w:rPr>
          <w:caps w:val="false"/>
          <w:smallCaps w:val="false"/>
          <w:sz w:val="24"/>
        </w:rPr>
        <w:t xml:space="preserve"> </w:t>
      </w:r>
      <w:r>
        <w:rPr>
          <w:rFonts w:ascii="Times New Roman;serif" w:hAnsi="Times New Roman;serif"/>
          <w:b w:val="false"/>
          <w:i w:val="false"/>
          <w:caps w:val="false"/>
          <w:smallCaps w:val="false"/>
          <w:sz w:val="22"/>
        </w:rPr>
        <w:t xml:space="preserve">of 2026 benefited from the revenue </w:t>
      </w:r>
      <w:r>
        <w:rPr>
          <w:rFonts w:ascii="Times New Roman;serif" w:hAnsi="Times New Roman;serif"/>
          <w:b w:val="false"/>
          <w:i w:val="false"/>
          <w:caps w:val="false"/>
          <w:smallCaps w:val="false"/>
          <w:strike w:val="false"/>
          <w:dstrike w:val="false"/>
          <w:sz w:val="22"/>
          <w:u w:val="none"/>
          <w:effect w:val="none"/>
        </w:rPr>
        <w:t xml:space="preserve">growth and the impact on content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costs from the net reduction in programming assets resulting from the pushdown of the Ultimate Parent’s basis,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partially offset by higher costs associated with sporting events on Paramount+</w:t>
      </w:r>
      <w:r>
        <w:rPr>
          <w:rFonts w:ascii="Times New Roman;serif" w:hAnsi="Times New Roman;serif"/>
          <w:b w:val="false"/>
          <w:i w:val="false"/>
          <w:caps w:val="false"/>
          <w:smallCaps w:val="false"/>
          <w:sz w:val="22"/>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pPr>
      <w:r>
        <w:rPr>
          <w:rFonts w:ascii="Times New Roman;serif" w:hAnsi="Times New Roman;serif"/>
          <w:b/>
          <w:i/>
          <w:sz w:val="22"/>
        </w:rPr>
        <w:t>Direct-to-Consumer</w:t>
      </w:r>
      <w:r>
        <w:rPr/>
        <w:t xml:space="preserve"> </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Six Months Ended June 30, 2026</w:t>
      </w:r>
      <w:r>
        <w:rPr>
          <w:sz w:val="24"/>
        </w:rPr>
        <w:t xml:space="preserve"> </w:t>
      </w:r>
      <w:r>
        <w:rPr>
          <w:rFonts w:ascii="Times New Roman;serif" w:hAnsi="Times New Roman;serif"/>
          <w:b w:val="false"/>
          <w:i/>
          <w:sz w:val="22"/>
        </w:rPr>
        <w:t xml:space="preserve">and </w:t>
      </w:r>
      <w:r>
        <w:rPr>
          <w:rFonts w:ascii="Times New Roman;serif" w:hAnsi="Times New Roman;serif"/>
          <w:b w:val="false"/>
          <w:i/>
          <w:strike w:val="false"/>
          <w:dstrike w:val="false"/>
          <w:sz w:val="22"/>
          <w:u w:val="none"/>
          <w:effect w:val="none"/>
        </w:rPr>
        <w:t>2025</w:t>
      </w:r>
    </w:p>
    <w:tbl>
      <w:tblPr>
        <w:tblW w:w="9350" w:type="dxa"/>
        <w:jc w:val="left"/>
        <w:tblInd w:w="0" w:type="dxa"/>
        <w:tblLayout w:type="fixed"/>
        <w:tblCellMar>
          <w:top w:w="28" w:type="dxa"/>
          <w:left w:w="28" w:type="dxa"/>
          <w:bottom w:w="28" w:type="dxa"/>
          <w:right w:w="28" w:type="dxa"/>
        </w:tblCellMar>
      </w:tblPr>
      <w:tblGrid>
        <w:gridCol w:w="1711"/>
        <w:gridCol w:w="172"/>
        <w:gridCol w:w="958"/>
        <w:gridCol w:w="175"/>
        <w:gridCol w:w="109"/>
        <w:gridCol w:w="109"/>
        <w:gridCol w:w="194"/>
        <w:gridCol w:w="915"/>
        <w:gridCol w:w="196"/>
        <w:gridCol w:w="109"/>
        <w:gridCol w:w="208"/>
        <w:gridCol w:w="888"/>
        <w:gridCol w:w="209"/>
        <w:gridCol w:w="109"/>
        <w:gridCol w:w="194"/>
        <w:gridCol w:w="915"/>
        <w:gridCol w:w="196"/>
        <w:gridCol w:w="109"/>
        <w:gridCol w:w="762"/>
        <w:gridCol w:w="178"/>
        <w:gridCol w:w="934"/>
      </w:tblGrid>
      <w:tr>
        <w:trPr/>
        <w:tc>
          <w:tcPr>
            <w:tcW w:w="17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71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GAAP</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7"/>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Non-GAAP</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Increase /(Decrease) </w:t>
            </w:r>
            <w:r>
              <w:rPr>
                <w:rFonts w:ascii="Times New Roman;serif" w:hAnsi="Times New Roman;serif"/>
                <w:b/>
                <w:i w:val="false"/>
                <w:caps w:val="false"/>
                <w:smallCaps w:val="false"/>
                <w:sz w:val="12"/>
              </w:rPr>
              <w:t>(e)</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c>
          <w:tcPr>
            <w:tcW w:w="17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r>
      <w:tr>
        <w:trPr/>
        <w:tc>
          <w:tcPr>
            <w:tcW w:w="17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Direct-to-</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Consumer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Direct-to-</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Consumer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Adjustments </w:t>
            </w:r>
            <w:r>
              <w:rPr>
                <w:rFonts w:ascii="Times New Roman;serif" w:hAnsi="Times New Roman;serif"/>
                <w:b/>
                <w:i w:val="false"/>
                <w:caps w:val="false"/>
                <w:smallCaps w:val="false"/>
                <w:sz w:val="12"/>
              </w:rPr>
              <w:t>(d)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Direct-to-</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Consumer</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$1,052</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$967</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$967</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$85</w:t>
            </w:r>
          </w:p>
        </w:tc>
        <w:tc>
          <w:tcPr>
            <w:tcW w:w="17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w:t>
            </w:r>
          </w:p>
        </w:tc>
      </w:tr>
      <w:tr>
        <w:trPr/>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Affiliate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subscription</w:t>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3,820</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3,236</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211</w:t>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3,447</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373</w:t>
            </w:r>
          </w:p>
        </w:tc>
        <w:tc>
          <w:tcPr>
            <w:tcW w:w="17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w:t>
            </w:r>
          </w:p>
        </w:tc>
      </w:tr>
      <w:tr>
        <w:trPr/>
        <w:tc>
          <w:tcPr>
            <w:tcW w:w="17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Licensing </w:t>
            </w:r>
            <w:r>
              <w:rPr>
                <w:rFonts w:ascii="Times New Roman;serif" w:hAnsi="Times New Roman;serif"/>
                <w:b w:val="false"/>
                <w:i w:val="false"/>
                <w:caps w:val="false"/>
                <w:smallCaps w:val="false"/>
                <w:sz w:val="12"/>
              </w:rPr>
              <w:t>(a)</w:t>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7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n/m</w:t>
            </w:r>
          </w:p>
        </w:tc>
      </w:tr>
      <w:tr>
        <w:trPr/>
        <w:tc>
          <w:tcPr>
            <w:tcW w:w="17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4,872</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4,204</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211</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4,415</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457</w:t>
            </w:r>
          </w:p>
        </w:tc>
        <w:tc>
          <w:tcPr>
            <w:tcW w:w="17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2,407</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2,300</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w:t>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2,344</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63</w:t>
            </w:r>
          </w:p>
        </w:tc>
        <w:tc>
          <w:tcPr>
            <w:tcW w:w="17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r>
      <w:tr>
        <w:trPr/>
        <w:tc>
          <w:tcPr>
            <w:tcW w:w="17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Advertising and </w:t>
            </w:r>
          </w:p>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18"/>
                <w:u w:val="none"/>
                <w:effect w:val="none"/>
              </w:rPr>
              <w:t>marketing</w:t>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631</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635</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w:t>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664</w:t>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w:t>
            </w:r>
          </w:p>
        </w:tc>
        <w:tc>
          <w:tcPr>
            <w:tcW w:w="17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r>
      <w:tr>
        <w:trPr/>
        <w:tc>
          <w:tcPr>
            <w:tcW w:w="17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(b)</w:t>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1,217</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1,221</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(64)</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1,157</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w:t>
            </w:r>
          </w:p>
        </w:tc>
        <w:tc>
          <w:tcPr>
            <w:tcW w:w="17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4"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r>
      <w:tr>
        <w:trPr/>
        <w:tc>
          <w:tcPr>
            <w:tcW w:w="17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Expenses</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4,255</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4,156</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4,165</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90</w:t>
            </w:r>
          </w:p>
        </w:tc>
        <w:tc>
          <w:tcPr>
            <w:tcW w:w="17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r>
      <w:tr>
        <w:trPr/>
        <w:tc>
          <w:tcPr>
            <w:tcW w:w="17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Adjusted EBITDA/</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Adjusted OIBDA </w:t>
            </w:r>
            <w:r>
              <w:rPr>
                <w:rFonts w:ascii="Times New Roman;serif" w:hAnsi="Times New Roman;serif"/>
                <w:b w:val="false"/>
                <w:i w:val="false"/>
                <w:caps w:val="false"/>
                <w:smallCaps w:val="false"/>
                <w:sz w:val="12"/>
              </w:rPr>
              <w:t>(c)</w:t>
            </w:r>
          </w:p>
        </w:tc>
        <w:tc>
          <w:tcPr>
            <w:tcW w:w="17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$617</w:t>
            </w:r>
          </w:p>
        </w:tc>
        <w:tc>
          <w:tcPr>
            <w:tcW w:w="17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w:t>
            </w:r>
          </w:p>
        </w:tc>
        <w:tc>
          <w:tcPr>
            <w:tcW w:w="19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$202</w:t>
            </w:r>
          </w:p>
        </w:tc>
        <w:tc>
          <w:tcPr>
            <w:tcW w:w="2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$250</w:t>
            </w:r>
          </w:p>
        </w:tc>
        <w:tc>
          <w:tcPr>
            <w:tcW w:w="19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2"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$367</w:t>
            </w:r>
          </w:p>
        </w:tc>
        <w:tc>
          <w:tcPr>
            <w:tcW w:w="17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4"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147%</w:t>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n/m - not meaningful</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 Primarily reflects revenues from the licensing of content rights acquired by BET+.</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(b) Other segment expenses for our </w:t>
      </w:r>
      <w:r>
        <w:rPr>
          <w:rFonts w:ascii="Times New Roman;serif" w:hAnsi="Times New Roman;serif"/>
          <w:b w:val="false"/>
          <w:i/>
          <w:sz w:val="18"/>
        </w:rPr>
        <w:t xml:space="preserve">Direct-to-Consumer </w:t>
      </w:r>
      <w:r>
        <w:rPr>
          <w:rFonts w:ascii="Times New Roman;serif" w:hAnsi="Times New Roman;serif"/>
          <w:b w:val="false"/>
          <w:i w:val="false"/>
          <w:caps w:val="false"/>
          <w:smallCaps w:val="false"/>
          <w:sz w:val="18"/>
        </w:rPr>
        <w:t xml:space="preserve">segment include employee compensation; revenue-sharing costs, including for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third-party distribution; costs for occupancy, technology, and professional services; and other costs associated with our operations.</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  In the first quarter of 2026, we renamed our primary measure of profit and loss for our operating segments from Adjusted OIBDA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to Adjusted EBITDA. See Note </w:t>
      </w:r>
      <w:r>
        <w:rPr>
          <w:rFonts w:ascii="Times New Roman;serif" w:hAnsi="Times New Roman;serif"/>
          <w:b w:val="false"/>
          <w:i w:val="false"/>
          <w:caps w:val="false"/>
          <w:smallCaps w:val="false"/>
          <w:strike w:val="false"/>
          <w:dstrike w:val="false"/>
          <w:sz w:val="18"/>
          <w:u w:val="none"/>
          <w:effect w:val="none"/>
        </w:rPr>
        <w:t>13</w:t>
      </w:r>
      <w:r>
        <w:rPr>
          <w:caps w:val="false"/>
          <w:smallCaps w:val="false"/>
          <w:sz w:val="24"/>
        </w:rPr>
        <w:t xml:space="preserve"> </w:t>
      </w:r>
      <w:r>
        <w:rPr>
          <w:rFonts w:ascii="Times New Roman;serif" w:hAnsi="Times New Roman;serif"/>
          <w:b w:val="false"/>
          <w:i w:val="false"/>
          <w:caps w:val="false"/>
          <w:smallCaps w:val="false"/>
          <w:sz w:val="18"/>
        </w:rPr>
        <w:t>to the consolidated financial statements.</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(d) Reflects the inclusion of our premium cable channel, Paramount+ with Showtime, which was included in the </w:t>
      </w:r>
      <w:r>
        <w:rPr>
          <w:rFonts w:ascii="Times New Roman;serif" w:hAnsi="Times New Roman;serif"/>
          <w:b w:val="false"/>
          <w:i/>
          <w:sz w:val="18"/>
        </w:rPr>
        <w:t>TV Media</w:t>
      </w:r>
      <w:r>
        <w:rPr>
          <w:caps w:val="false"/>
          <w:smallCaps w:val="false"/>
        </w:rPr>
        <w:t xml:space="preserve"> </w:t>
      </w:r>
      <w:r>
        <w:rPr>
          <w:rFonts w:ascii="Times New Roman;serif" w:hAnsi="Times New Roman;serif"/>
          <w:b w:val="false"/>
          <w:i w:val="false"/>
          <w:caps w:val="false"/>
          <w:smallCaps w:val="false"/>
          <w:sz w:val="18"/>
        </w:rPr>
        <w:t xml:space="preserve">segment in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2025, and updates to our segment expense allocations to better reflect how we operate and make cost decisions across the business.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(e) Reflects the comparison between the Successor results for the  </w:t>
      </w:r>
      <w:r>
        <w:rPr>
          <w:rFonts w:ascii="Times New Roman;serif" w:hAnsi="Times New Roman;serif"/>
          <w:b w:val="false"/>
          <w:i w:val="false"/>
          <w:caps w:val="false"/>
          <w:smallCaps w:val="false"/>
          <w:strike w:val="false"/>
          <w:dstrike w:val="false"/>
          <w:sz w:val="18"/>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18"/>
        </w:rPr>
        <w:t xml:space="preserve">to the non-GAAP Predecessor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results for the </w:t>
      </w:r>
      <w:r>
        <w:rPr>
          <w:rFonts w:ascii="Times New Roman;serif" w:hAnsi="Times New Roman;serif"/>
          <w:b w:val="false"/>
          <w:i w:val="false"/>
          <w:caps w:val="false"/>
          <w:smallCaps w:val="false"/>
          <w:strike w:val="false"/>
          <w:dstrike w:val="false"/>
          <w:sz w:val="18"/>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June 30, 2025</w:t>
      </w:r>
      <w:r>
        <w:rPr>
          <w:rFonts w:ascii="Times New Roman;serif" w:hAnsi="Times New Roman;serif"/>
          <w:b w:val="false"/>
          <w:i w:val="false"/>
          <w:caps w:val="false"/>
          <w:smallCaps w:val="false"/>
          <w:sz w:val="18"/>
        </w:rPr>
        <w:t xml:space="preserve">.  </w:t>
      </w:r>
    </w:p>
    <w:tbl>
      <w:tblPr>
        <w:tblW w:w="7284" w:type="dxa"/>
        <w:jc w:val="left"/>
        <w:tblInd w:w="0" w:type="dxa"/>
        <w:tblLayout w:type="fixed"/>
        <w:tblCellMar>
          <w:top w:w="28" w:type="dxa"/>
          <w:left w:w="28" w:type="dxa"/>
          <w:bottom w:w="28" w:type="dxa"/>
          <w:right w:w="28" w:type="dxa"/>
        </w:tblCellMar>
      </w:tblPr>
      <w:tblGrid>
        <w:gridCol w:w="1771"/>
        <w:gridCol w:w="172"/>
        <w:gridCol w:w="958"/>
        <w:gridCol w:w="175"/>
        <w:gridCol w:w="109"/>
        <w:gridCol w:w="1006"/>
        <w:gridCol w:w="173"/>
        <w:gridCol w:w="958"/>
        <w:gridCol w:w="173"/>
        <w:gridCol w:w="109"/>
        <w:gridCol w:w="711"/>
        <w:gridCol w:w="166"/>
        <w:gridCol w:w="803"/>
      </w:tblGrid>
      <w:tr>
        <w:trPr/>
        <w:tc>
          <w:tcPr>
            <w:tcW w:w="17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77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Increase /(Decrease)</w:t>
            </w:r>
          </w:p>
        </w:tc>
      </w:tr>
      <w:tr>
        <w:trPr/>
        <w:tc>
          <w:tcPr>
            <w:tcW w:w="177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color w:val="000000"/>
                <w:sz w:val="18"/>
                <w:u w:val="single"/>
              </w:rPr>
            </w:pPr>
            <w:r>
              <w:rPr>
                <w:rFonts w:ascii="Times New Roman;serif" w:hAnsi="Times New Roman;serif"/>
                <w:b/>
                <w:i w:val="false"/>
                <w:caps w:val="false"/>
                <w:smallCaps w:val="false"/>
                <w:color w:val="000000"/>
                <w:sz w:val="18"/>
                <w:u w:val="single"/>
              </w:rPr>
              <w:t>Paramount+ (Global)</w:t>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3"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r>
      <w:tr>
        <w:trPr/>
        <w:tc>
          <w:tcPr>
            <w:tcW w:w="1771"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7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$4,035</w:t>
            </w:r>
          </w:p>
        </w:tc>
        <w:tc>
          <w:tcPr>
            <w:tcW w:w="17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$3,457</w:t>
            </w:r>
          </w:p>
        </w:tc>
        <w:tc>
          <w:tcPr>
            <w:tcW w:w="17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$578</w:t>
            </w:r>
          </w:p>
        </w:tc>
        <w:tc>
          <w:tcPr>
            <w:tcW w:w="16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3"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r>
    </w:tbl>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Revenues</w:t>
      </w:r>
    </w:p>
    <w:p>
      <w:pPr>
        <w:pStyle w:val="TextBody"/>
        <w:bidi w:val="0"/>
        <w:spacing w:lineRule="atLeast" w:line="220" w:before="0" w:after="0"/>
        <w:jc w:val="both"/>
        <w:rPr>
          <w:rFonts w:ascii="Times New Roman;serif" w:hAnsi="Times New Roman;serif"/>
          <w:b w:val="false"/>
          <w:i/>
          <w:sz w:val="22"/>
          <w:u w:val="single"/>
        </w:rPr>
      </w:pPr>
      <w:r>
        <w:rPr>
          <w:rFonts w:ascii="Times New Roman;serif" w:hAnsi="Times New Roman;serif"/>
          <w:b w:val="false"/>
          <w:i/>
          <w:sz w:val="22"/>
          <w:u w:val="single"/>
        </w:rPr>
        <w:t>Advertising</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increase in advertising revenues was driven by growth in impressions for Paramount+. Advertising revenues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2026 benefited from the streaming of UFC events on Paramount+.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Affiliate and Subscription</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Affiliate and subscription revenues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benefited from pricing increases and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growth in Paramount+ subscribers. The </w:t>
      </w:r>
      <w:r>
        <w:rPr>
          <w:rFonts w:ascii="Times New Roman;serif" w:hAnsi="Times New Roman;serif"/>
          <w:b w:val="false"/>
          <w:i w:val="false"/>
          <w:caps w:val="false"/>
          <w:smallCaps w:val="false"/>
          <w:strike w:val="false"/>
          <w:dstrike w:val="false"/>
          <w:sz w:val="22"/>
          <w:u w:val="none"/>
          <w:effect w:val="none"/>
        </w:rPr>
        <w:t>11%</w:t>
      </w:r>
      <w:r>
        <w:rPr>
          <w:caps w:val="false"/>
          <w:smallCaps w:val="false"/>
          <w:sz w:val="24"/>
        </w:rPr>
        <w:t xml:space="preserve"> </w:t>
      </w:r>
      <w:r>
        <w:rPr>
          <w:rFonts w:ascii="Times New Roman;serif" w:hAnsi="Times New Roman;serif"/>
          <w:b w:val="false"/>
          <w:i w:val="false"/>
          <w:caps w:val="false"/>
          <w:smallCaps w:val="false"/>
          <w:sz w:val="22"/>
        </w:rPr>
        <w:t xml:space="preserve">increase compared with the non-GAAP predecessor presentation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reflects growth for Paramount+, partially offset by a negative impact of 2% from combined revenue declines for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BET+ and </w:t>
      </w:r>
      <w:r>
        <w:rPr>
          <w:rFonts w:ascii="Times New Roman;serif" w:hAnsi="Times New Roman;serif"/>
          <w:b w:val="false"/>
          <w:i w:val="false"/>
          <w:caps w:val="false"/>
          <w:smallCaps w:val="false"/>
          <w:strike w:val="false"/>
          <w:dstrike w:val="false"/>
          <w:sz w:val="22"/>
          <w:u w:val="none"/>
          <w:effect w:val="none"/>
          <w:shd w:fill="FFFFFF" w:val="clear"/>
        </w:rPr>
        <w:t>Paramount+ with Showtime.</w:t>
      </w:r>
      <w:r>
        <w:rPr>
          <w:caps w:val="false"/>
          <w:smallCaps w:val="false"/>
        </w:rPr>
        <w:t xml:space="preserve">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Expenses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Content Costs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Content costs during the first half of 2026 include higher costs associated with sporting events on Paramount+,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mainly for the UFC, as well as the impact from the net reduction in programming assets resulting from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pushdown of the Ultimate Parent’s basis.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Advertising and Marketing</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Advertising and marketing expenses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include the impact from cost savings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initiatives, which led to the </w:t>
      </w:r>
      <w:r>
        <w:rPr>
          <w:rFonts w:ascii="Times New Roman;serif" w:hAnsi="Times New Roman;serif"/>
          <w:b w:val="false"/>
          <w:i w:val="false"/>
          <w:caps w:val="false"/>
          <w:smallCaps w:val="false"/>
          <w:strike w:val="false"/>
          <w:dstrike w:val="false"/>
          <w:sz w:val="22"/>
          <w:u w:val="none"/>
          <w:effect w:val="none"/>
        </w:rPr>
        <w:t>5%</w:t>
      </w:r>
      <w:r>
        <w:rPr>
          <w:caps w:val="false"/>
          <w:smallCaps w:val="false"/>
          <w:sz w:val="24"/>
        </w:rPr>
        <w:t xml:space="preserve"> </w:t>
      </w:r>
      <w:r>
        <w:rPr>
          <w:rFonts w:ascii="Times New Roman;serif" w:hAnsi="Times New Roman;serif"/>
          <w:b w:val="false"/>
          <w:i w:val="false"/>
          <w:caps w:val="false"/>
          <w:smallCaps w:val="false"/>
          <w:sz w:val="22"/>
        </w:rPr>
        <w:t>decrease compared with the non-GAAP Predecessor presentation.</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Other</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Other expenses in 2026 reflect higher revenue sharing costs, mainly for third-party distribution.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Adjusted EBITDA</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Adjusted EBITDA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benefited from the revenue growth and the impact 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content costs from the net reduction in programming assets resulting from the pushdown of the Ultimate Parent’s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basis, partially offset by higher costs associated with sporting events on Paramount+.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TV Media</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Our </w:t>
      </w:r>
      <w:r>
        <w:rPr>
          <w:rFonts w:ascii="Times New Roman;serif" w:hAnsi="Times New Roman;serif"/>
          <w:b w:val="false"/>
          <w:i/>
          <w:sz w:val="22"/>
        </w:rPr>
        <w:t>TV Media</w:t>
      </w:r>
      <w:r>
        <w:rPr>
          <w:caps w:val="false"/>
          <w:smallCaps w:val="false"/>
        </w:rPr>
        <w:t xml:space="preserve"> </w:t>
      </w:r>
      <w:r>
        <w:rPr>
          <w:rFonts w:ascii="Times New Roman;serif" w:hAnsi="Times New Roman;serif"/>
          <w:b w:val="false"/>
          <w:i w:val="false"/>
          <w:caps w:val="false"/>
          <w:smallCaps w:val="false"/>
          <w:sz w:val="22"/>
        </w:rPr>
        <w:t xml:space="preserve">segment consists of our (1) broadcast operations—the CBS Television Network, our domestic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broadcast television network; CBS Stations, our owned television stations; and our international free-to-air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networks, including Network 10 and Channel 5; (2) domestic basic cable networks, including MTV, Comedy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Central, Paramount Network, The Smithsonian Channel, Nickelodeon, BET Media Group, CBS Sports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Network, and international extensions of certain of these brands; and (3) CBS Media Ventures, which produces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and distributes first-run syndicated programming. </w:t>
      </w:r>
      <w:r>
        <w:rPr>
          <w:rFonts w:ascii="Times New Roman;serif" w:hAnsi="Times New Roman;serif"/>
          <w:b w:val="false"/>
          <w:i/>
          <w:sz w:val="22"/>
        </w:rPr>
        <w:t xml:space="preserve">TV Media </w:t>
      </w:r>
      <w:r>
        <w:rPr>
          <w:rFonts w:ascii="Times New Roman;serif" w:hAnsi="Times New Roman;serif"/>
          <w:b w:val="false"/>
          <w:i w:val="false"/>
          <w:caps w:val="false"/>
          <w:smallCaps w:val="false"/>
          <w:sz w:val="22"/>
        </w:rPr>
        <w:t xml:space="preserve">also includes a number of digital properties such as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CBS News 24/7 for 24-hour news and CBS Sports HQ for sports news and analysis. For the Predecessor period, </w:t>
      </w:r>
    </w:p>
    <w:p>
      <w:pPr>
        <w:pStyle w:val="TextBody"/>
        <w:bidi w:val="0"/>
        <w:spacing w:lineRule="atLeast" w:line="220" w:before="0" w:after="0"/>
        <w:jc w:val="left"/>
        <w:rPr/>
      </w:pPr>
      <w:r>
        <w:rPr>
          <w:rFonts w:ascii="Times New Roman;serif" w:hAnsi="Times New Roman;serif"/>
          <w:b w:val="false"/>
          <w:i w:val="false"/>
          <w:caps w:val="false"/>
          <w:smallCaps w:val="false"/>
          <w:sz w:val="22"/>
        </w:rPr>
        <w:t xml:space="preserve">the </w:t>
      </w:r>
      <w:r>
        <w:rPr>
          <w:rFonts w:ascii="Times New Roman;serif" w:hAnsi="Times New Roman;serif"/>
          <w:b w:val="false"/>
          <w:i/>
          <w:sz w:val="22"/>
        </w:rPr>
        <w:t>TV Media</w:t>
      </w:r>
      <w:r>
        <w:rPr>
          <w:caps w:val="false"/>
          <w:smallCaps w:val="false"/>
        </w:rPr>
        <w:t xml:space="preserve"> </w:t>
      </w:r>
      <w:r>
        <w:rPr>
          <w:rFonts w:ascii="Times New Roman;serif" w:hAnsi="Times New Roman;serif"/>
          <w:b w:val="false"/>
          <w:i w:val="false"/>
          <w:caps w:val="false"/>
          <w:smallCaps w:val="false"/>
          <w:sz w:val="22"/>
        </w:rPr>
        <w:t xml:space="preserve">segment also included television studio operations and the premium cable network, Paramount+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with Showtime.</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Three Months Ended June 30, 2026</w:t>
      </w:r>
      <w:r>
        <w:rPr>
          <w:sz w:val="24"/>
        </w:rPr>
        <w:t xml:space="preserve"> </w:t>
      </w:r>
      <w:r>
        <w:rPr>
          <w:rFonts w:ascii="Times New Roman;serif" w:hAnsi="Times New Roman;serif"/>
          <w:b w:val="false"/>
          <w:i/>
          <w:sz w:val="22"/>
        </w:rPr>
        <w:t xml:space="preserve">and </w:t>
      </w:r>
      <w:r>
        <w:rPr>
          <w:rFonts w:ascii="Times New Roman;serif" w:hAnsi="Times New Roman;serif"/>
          <w:b w:val="false"/>
          <w:i/>
          <w:strike w:val="false"/>
          <w:dstrike w:val="false"/>
          <w:sz w:val="22"/>
          <w:u w:val="none"/>
          <w:effect w:val="none"/>
        </w:rPr>
        <w:t>2025</w:t>
      </w:r>
    </w:p>
    <w:tbl>
      <w:tblPr>
        <w:tblW w:w="9714" w:type="dxa"/>
        <w:jc w:val="left"/>
        <w:tblInd w:w="0" w:type="dxa"/>
        <w:tblLayout w:type="fixed"/>
        <w:tblCellMar>
          <w:top w:w="28" w:type="dxa"/>
          <w:left w:w="28" w:type="dxa"/>
          <w:bottom w:w="28" w:type="dxa"/>
          <w:right w:w="28" w:type="dxa"/>
        </w:tblCellMar>
      </w:tblPr>
      <w:tblGrid>
        <w:gridCol w:w="2011"/>
        <w:gridCol w:w="172"/>
        <w:gridCol w:w="958"/>
        <w:gridCol w:w="175"/>
        <w:gridCol w:w="109"/>
        <w:gridCol w:w="109"/>
        <w:gridCol w:w="172"/>
        <w:gridCol w:w="958"/>
        <w:gridCol w:w="175"/>
        <w:gridCol w:w="109"/>
        <w:gridCol w:w="217"/>
        <w:gridCol w:w="869"/>
        <w:gridCol w:w="218"/>
        <w:gridCol w:w="109"/>
        <w:gridCol w:w="172"/>
        <w:gridCol w:w="958"/>
        <w:gridCol w:w="175"/>
        <w:gridCol w:w="109"/>
        <w:gridCol w:w="807"/>
        <w:gridCol w:w="150"/>
        <w:gridCol w:w="828"/>
        <w:gridCol w:w="154"/>
      </w:tblGrid>
      <w:tr>
        <w:trPr/>
        <w:tc>
          <w:tcPr>
            <w:tcW w:w="20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GAAP</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Non-GAAP</w:t>
            </w:r>
          </w:p>
        </w:tc>
      </w:tr>
      <w:tr>
        <w:trPr/>
        <w:tc>
          <w:tcPr>
            <w:tcW w:w="201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Increase/(Decrease) </w:t>
            </w:r>
            <w:r>
              <w:rPr>
                <w:rFonts w:ascii="Times New Roman;serif" w:hAnsi="Times New Roman;serif"/>
                <w:b/>
                <w:i w:val="false"/>
                <w:caps w:val="false"/>
                <w:smallCaps w:val="false"/>
                <w:sz w:val="12"/>
              </w:rPr>
              <w:t>(d)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7"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c>
          <w:tcPr>
            <w:tcW w:w="15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Adjustments </w:t>
            </w:r>
            <w:r>
              <w:rPr>
                <w:rFonts w:ascii="Times New Roman;serif" w:hAnsi="Times New Roman;serif"/>
                <w:b/>
                <w:i w:val="false"/>
                <w:caps w:val="false"/>
                <w:smallCaps w:val="false"/>
                <w:sz w:val="12"/>
              </w:rPr>
              <w:t>(c)</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$1,420</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$1,657</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2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$1,655</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$(235)</w:t>
            </w:r>
          </w:p>
        </w:tc>
        <w:tc>
          <w:tcPr>
            <w:tcW w:w="15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Affiliate and subscription</w:t>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1,581</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1,780</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(104)</w:t>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1,676</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(95)</w:t>
            </w:r>
          </w:p>
        </w:tc>
        <w:tc>
          <w:tcPr>
            <w:tcW w:w="15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Licensing and other</w:t>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127</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574</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(451)</w:t>
            </w:r>
          </w:p>
        </w:tc>
        <w:tc>
          <w:tcPr>
            <w:tcW w:w="2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123</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7"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15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3,128</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4,011</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(557)</w:t>
            </w:r>
          </w:p>
        </w:tc>
        <w:tc>
          <w:tcPr>
            <w:tcW w:w="2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3,454</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(326)</w:t>
            </w:r>
          </w:p>
        </w:tc>
        <w:tc>
          <w:tcPr>
            <w:tcW w:w="15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1,185</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1,956</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(380)</w:t>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1,576</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(391)</w:t>
            </w:r>
          </w:p>
        </w:tc>
        <w:tc>
          <w:tcPr>
            <w:tcW w:w="15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 and marketing</w:t>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66</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116</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w:t>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100</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w:t>
            </w:r>
          </w:p>
        </w:tc>
        <w:tc>
          <w:tcPr>
            <w:tcW w:w="15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(a)</w:t>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814</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1,076</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(210)</w:t>
            </w:r>
          </w:p>
        </w:tc>
        <w:tc>
          <w:tcPr>
            <w:tcW w:w="2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866</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7"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(52)</w:t>
            </w:r>
          </w:p>
        </w:tc>
        <w:tc>
          <w:tcPr>
            <w:tcW w:w="15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Expenses</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2,065</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3,148</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(606)</w:t>
            </w:r>
          </w:p>
        </w:tc>
        <w:tc>
          <w:tcPr>
            <w:tcW w:w="2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2,542</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(477)</w:t>
            </w:r>
          </w:p>
        </w:tc>
        <w:tc>
          <w:tcPr>
            <w:tcW w:w="15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Adjusted EBITDA/</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Adjusted OIBDA </w:t>
            </w:r>
            <w:r>
              <w:rPr>
                <w:rFonts w:ascii="Times New Roman;serif" w:hAnsi="Times New Roman;serif"/>
                <w:b w:val="false"/>
                <w:i w:val="false"/>
                <w:caps w:val="false"/>
                <w:smallCaps w:val="false"/>
                <w:sz w:val="12"/>
              </w:rPr>
              <w:t>(b)</w:t>
            </w:r>
          </w:p>
        </w:tc>
        <w:tc>
          <w:tcPr>
            <w:tcW w:w="17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$1,063</w:t>
            </w:r>
          </w:p>
        </w:tc>
        <w:tc>
          <w:tcPr>
            <w:tcW w:w="17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$863</w:t>
            </w:r>
          </w:p>
        </w:tc>
        <w:tc>
          <w:tcPr>
            <w:tcW w:w="17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w:t>
            </w:r>
          </w:p>
        </w:tc>
        <w:tc>
          <w:tcPr>
            <w:tcW w:w="218"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$912</w:t>
            </w:r>
          </w:p>
        </w:tc>
        <w:tc>
          <w:tcPr>
            <w:tcW w:w="17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7"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$151</w:t>
            </w:r>
          </w:p>
        </w:tc>
        <w:tc>
          <w:tcPr>
            <w:tcW w:w="15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5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tbl>
      <w:tblPr>
        <w:tblW w:w="9443" w:type="dxa"/>
        <w:jc w:val="left"/>
        <w:tblInd w:w="0" w:type="dxa"/>
        <w:tblLayout w:type="fixed"/>
        <w:tblCellMar>
          <w:top w:w="28" w:type="dxa"/>
          <w:left w:w="28" w:type="dxa"/>
          <w:bottom w:w="28" w:type="dxa"/>
          <w:right w:w="28" w:type="dxa"/>
        </w:tblCellMar>
      </w:tblPr>
      <w:tblGrid>
        <w:gridCol w:w="1741"/>
        <w:gridCol w:w="172"/>
        <w:gridCol w:w="958"/>
        <w:gridCol w:w="175"/>
        <w:gridCol w:w="109"/>
        <w:gridCol w:w="109"/>
        <w:gridCol w:w="172"/>
        <w:gridCol w:w="958"/>
        <w:gridCol w:w="175"/>
        <w:gridCol w:w="109"/>
        <w:gridCol w:w="251"/>
        <w:gridCol w:w="800"/>
        <w:gridCol w:w="253"/>
        <w:gridCol w:w="109"/>
        <w:gridCol w:w="172"/>
        <w:gridCol w:w="958"/>
        <w:gridCol w:w="175"/>
        <w:gridCol w:w="109"/>
        <w:gridCol w:w="836"/>
        <w:gridCol w:w="155"/>
        <w:gridCol w:w="793"/>
        <w:gridCol w:w="154"/>
      </w:tblGrid>
      <w:tr>
        <w:trPr/>
        <w:tc>
          <w:tcPr>
            <w:tcW w:w="17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GAAP</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Non-GAAP</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Increase/(Decrease) </w:t>
            </w:r>
            <w:r>
              <w:rPr>
                <w:rFonts w:ascii="Times New Roman;serif" w:hAnsi="Times New Roman;serif"/>
                <w:b/>
                <w:i w:val="false"/>
                <w:caps w:val="false"/>
                <w:smallCaps w:val="false"/>
                <w:sz w:val="12"/>
              </w:rPr>
              <w:t>(d)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c>
          <w:tcPr>
            <w:tcW w:w="15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Advertising revenues</w:t>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Adjustments </w:t>
            </w:r>
            <w:r>
              <w:rPr>
                <w:rFonts w:ascii="Times New Roman;serif" w:hAnsi="Times New Roman;serif"/>
                <w:b/>
                <w:i w:val="false"/>
                <w:caps w:val="false"/>
                <w:smallCaps w:val="false"/>
                <w:sz w:val="12"/>
              </w:rPr>
              <w:t>(c)</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Domestic </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$1,235</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$1,392</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2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$1,390</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$(155)</w:t>
            </w:r>
          </w:p>
        </w:tc>
        <w:tc>
          <w:tcPr>
            <w:tcW w:w="15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International</w:t>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185</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265</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265</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(80)</w:t>
            </w:r>
          </w:p>
        </w:tc>
        <w:tc>
          <w:tcPr>
            <w:tcW w:w="15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w:t>
            </w:r>
          </w:p>
        </w:tc>
        <w:tc>
          <w:tcPr>
            <w:tcW w:w="17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$1,420</w:t>
            </w:r>
          </w:p>
        </w:tc>
        <w:tc>
          <w:tcPr>
            <w:tcW w:w="17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$1,657</w:t>
            </w:r>
          </w:p>
        </w:tc>
        <w:tc>
          <w:tcPr>
            <w:tcW w:w="17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25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$1,655</w:t>
            </w:r>
          </w:p>
        </w:tc>
        <w:tc>
          <w:tcPr>
            <w:tcW w:w="17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$(235)</w:t>
            </w:r>
          </w:p>
        </w:tc>
        <w:tc>
          <w:tcPr>
            <w:tcW w:w="15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c>
          <w:tcPr>
            <w:tcW w:w="15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(a) Other segment expenses for our </w:t>
      </w:r>
      <w:r>
        <w:rPr>
          <w:rFonts w:ascii="Times New Roman;serif" w:hAnsi="Times New Roman;serif"/>
          <w:b w:val="false"/>
          <w:i/>
          <w:sz w:val="18"/>
        </w:rPr>
        <w:t>TV Media</w:t>
      </w:r>
      <w:r>
        <w:rPr>
          <w:caps w:val="false"/>
          <w:smallCaps w:val="false"/>
        </w:rPr>
        <w:t xml:space="preserve"> </w:t>
      </w:r>
      <w:r>
        <w:rPr>
          <w:rFonts w:ascii="Times New Roman;serif" w:hAnsi="Times New Roman;serif"/>
          <w:b w:val="false"/>
          <w:i w:val="false"/>
          <w:caps w:val="false"/>
          <w:smallCaps w:val="false"/>
          <w:sz w:val="18"/>
        </w:rPr>
        <w:t xml:space="preserve">segment include employee compensation; revenue-sharing costs to television stations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affiliated with the CBS Television Network; costs relating to the distribution of our content; costs for research, occupancy, technology,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and professional services; and other costs associated with our operations.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(b)  In the first quarter of 2026, we renamed our primary measure of profit and loss for our operating segments from Adjusted OIBDA to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Adjusted EBITDA. See Note </w:t>
      </w:r>
      <w:r>
        <w:rPr>
          <w:rFonts w:ascii="Times New Roman;serif" w:hAnsi="Times New Roman;serif"/>
          <w:b w:val="false"/>
          <w:i w:val="false"/>
          <w:caps w:val="false"/>
          <w:smallCaps w:val="false"/>
          <w:strike w:val="false"/>
          <w:dstrike w:val="false"/>
          <w:sz w:val="18"/>
          <w:u w:val="none"/>
          <w:effect w:val="none"/>
        </w:rPr>
        <w:t>13</w:t>
      </w:r>
      <w:r>
        <w:rPr>
          <w:caps w:val="false"/>
          <w:smallCaps w:val="false"/>
          <w:sz w:val="24"/>
        </w:rPr>
        <w:t xml:space="preserve"> </w:t>
      </w:r>
      <w:r>
        <w:rPr>
          <w:rFonts w:ascii="Times New Roman;serif" w:hAnsi="Times New Roman;serif"/>
          <w:b w:val="false"/>
          <w:i w:val="false"/>
          <w:caps w:val="false"/>
          <w:smallCaps w:val="false"/>
          <w:sz w:val="18"/>
        </w:rPr>
        <w:t>to the consolidated financial statements.</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(c) Reflects the transfer of the historical </w:t>
      </w:r>
      <w:r>
        <w:rPr>
          <w:rFonts w:ascii="Times New Roman;serif" w:hAnsi="Times New Roman;serif"/>
          <w:b w:val="false"/>
          <w:i/>
          <w:sz w:val="18"/>
        </w:rPr>
        <w:t>TV Media</w:t>
      </w:r>
      <w:r>
        <w:rPr>
          <w:caps w:val="false"/>
          <w:smallCaps w:val="false"/>
        </w:rPr>
        <w:t xml:space="preserve"> </w:t>
      </w:r>
      <w:r>
        <w:rPr>
          <w:rFonts w:ascii="Times New Roman;serif" w:hAnsi="Times New Roman;serif"/>
          <w:b w:val="false"/>
          <w:i w:val="false"/>
          <w:caps w:val="false"/>
          <w:smallCaps w:val="false"/>
          <w:sz w:val="18"/>
        </w:rPr>
        <w:t xml:space="preserve">studio operations to the </w:t>
      </w:r>
      <w:r>
        <w:rPr>
          <w:rFonts w:ascii="Times New Roman;serif" w:hAnsi="Times New Roman;serif"/>
          <w:b w:val="false"/>
          <w:i/>
          <w:sz w:val="18"/>
        </w:rPr>
        <w:t>Studios</w:t>
      </w:r>
      <w:r>
        <w:rPr>
          <w:caps w:val="false"/>
          <w:smallCaps w:val="false"/>
        </w:rPr>
        <w:t xml:space="preserve"> </w:t>
      </w:r>
      <w:r>
        <w:rPr>
          <w:rFonts w:ascii="Times New Roman;serif" w:hAnsi="Times New Roman;serif"/>
          <w:b w:val="false"/>
          <w:i w:val="false"/>
          <w:caps w:val="false"/>
          <w:smallCaps w:val="false"/>
          <w:sz w:val="18"/>
        </w:rPr>
        <w:t xml:space="preserve">segment and our premium cable channel, Paramount+ </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with Showtime, to the </w:t>
      </w:r>
      <w:r>
        <w:rPr>
          <w:rFonts w:ascii="Times New Roman;serif" w:hAnsi="Times New Roman;serif"/>
          <w:b w:val="false"/>
          <w:i/>
          <w:sz w:val="18"/>
        </w:rPr>
        <w:t xml:space="preserve">Direct-to-Consumer </w:t>
      </w:r>
      <w:r>
        <w:rPr>
          <w:rFonts w:ascii="Times New Roman;serif" w:hAnsi="Times New Roman;serif"/>
          <w:b w:val="false"/>
          <w:i w:val="false"/>
          <w:caps w:val="false"/>
          <w:smallCaps w:val="false"/>
          <w:sz w:val="18"/>
        </w:rPr>
        <w:t xml:space="preserve">segment, and updates to our segment expense allocations to better reflect how we operate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and make cost decisions across the business.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(d) Reflects the comparison between the Successor results for the three months ended </w:t>
      </w:r>
      <w:r>
        <w:rPr>
          <w:rFonts w:ascii="Times New Roman;serif" w:hAnsi="Times New Roman;serif"/>
          <w:b w:val="false"/>
          <w:i w:val="false"/>
          <w:caps w:val="false"/>
          <w:smallCaps w:val="false"/>
          <w:strike w:val="false"/>
          <w:dstrike w:val="false"/>
          <w:sz w:val="18"/>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18"/>
        </w:rPr>
        <w:t xml:space="preserve">to the non-GAAP Predecessor results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for the three months ended </w:t>
      </w:r>
      <w:r>
        <w:rPr>
          <w:rFonts w:ascii="Times New Roman;serif" w:hAnsi="Times New Roman;serif"/>
          <w:b w:val="false"/>
          <w:i w:val="false"/>
          <w:caps w:val="false"/>
          <w:smallCaps w:val="false"/>
          <w:strike w:val="false"/>
          <w:dstrike w:val="false"/>
          <w:sz w:val="18"/>
          <w:u w:val="none"/>
          <w:effect w:val="none"/>
        </w:rPr>
        <w:t>June 30, 2025</w:t>
      </w:r>
      <w:r>
        <w:rPr>
          <w:rFonts w:ascii="Times New Roman;serif" w:hAnsi="Times New Roman;serif"/>
          <w:b w:val="false"/>
          <w:i w:val="false"/>
          <w:caps w:val="false"/>
          <w:smallCaps w:val="false"/>
          <w:sz w:val="18"/>
        </w:rPr>
        <w:t xml:space="preserve">.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Revenues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Advertising</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Advertising revenues in the </w:t>
      </w:r>
      <w:r>
        <w:rPr>
          <w:rFonts w:ascii="Times New Roman;serif" w:hAnsi="Times New Roman;serif"/>
          <w:b w:val="false"/>
          <w:i w:val="false"/>
          <w:caps w:val="false"/>
          <w:smallCaps w:val="false"/>
          <w:strike w:val="false"/>
          <w:dstrike w:val="false"/>
          <w:sz w:val="22"/>
          <w:u w:val="none"/>
          <w:effect w:val="none"/>
        </w:rPr>
        <w:t>second quarter</w:t>
      </w:r>
      <w:r>
        <w:rPr>
          <w:caps w:val="false"/>
          <w:smallCaps w:val="false"/>
          <w:sz w:val="24"/>
        </w:rPr>
        <w:t xml:space="preserve"> </w:t>
      </w:r>
      <w:r>
        <w:rPr>
          <w:rFonts w:ascii="Times New Roman;serif" w:hAnsi="Times New Roman;serif"/>
          <w:b w:val="false"/>
          <w:i w:val="false"/>
          <w:caps w:val="false"/>
          <w:smallCaps w:val="false"/>
          <w:sz w:val="22"/>
        </w:rPr>
        <w:t xml:space="preserve">of 2026 were primarily impacted by a decrease of 8% from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comparison against CBS’s broadcast in the second quarter of 2025 of the National Semifinals and National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Championship games of the NCAA Tournament, which we have the rights to broadcast every other year, and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declines in the linear advertising market. The comparison also includes a decrease of 3% from t</w:t>
      </w:r>
      <w:r>
        <w:rPr>
          <w:rFonts w:ascii="Times New Roman;serif" w:hAnsi="Times New Roman;serif"/>
          <w:b w:val="false"/>
          <w:i w:val="false"/>
          <w:caps w:val="false"/>
          <w:smallCaps w:val="false"/>
          <w:strike w:val="false"/>
          <w:dstrike w:val="false"/>
          <w:sz w:val="22"/>
          <w:u w:val="none"/>
          <w:effect w:val="none"/>
        </w:rPr>
        <w:t xml:space="preserve">he absence of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advertising revenues from Telefe and Chilevisión, which were sold in October 2025 and January 2026,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respectively, and an increase of 2% from higher political advertising revenues.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Affiliate and Subscription</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Affiliate and subscription revenues in the </w:t>
      </w:r>
      <w:r>
        <w:rPr>
          <w:rFonts w:ascii="Times New Roman;serif" w:hAnsi="Times New Roman;serif"/>
          <w:b w:val="false"/>
          <w:i w:val="false"/>
          <w:caps w:val="false"/>
          <w:smallCaps w:val="false"/>
          <w:strike w:val="false"/>
          <w:dstrike w:val="false"/>
          <w:sz w:val="22"/>
          <w:u w:val="none"/>
          <w:effect w:val="none"/>
        </w:rPr>
        <w:t>second quarter</w:t>
      </w:r>
      <w:r>
        <w:rPr>
          <w:caps w:val="false"/>
          <w:smallCaps w:val="false"/>
          <w:sz w:val="24"/>
        </w:rPr>
        <w:t xml:space="preserve"> </w:t>
      </w:r>
      <w:r>
        <w:rPr>
          <w:rFonts w:ascii="Times New Roman;serif" w:hAnsi="Times New Roman;serif"/>
          <w:b w:val="false"/>
          <w:i w:val="false"/>
          <w:caps w:val="false"/>
          <w:smallCaps w:val="false"/>
          <w:sz w:val="22"/>
        </w:rPr>
        <w:t xml:space="preserve">of 2026 were impacted by declines in linear subscribers.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Licensing and Other</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Licensing and other revenues in 2026 primarily include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from the licensing of first-run syndicated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programming. 2026 does not include revenues from our television studios, which were included in the Predecessor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segment results.</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Expenses</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Content costs, advertising and marketing expenses, and other expenses in the </w:t>
      </w:r>
      <w:r>
        <w:rPr>
          <w:rFonts w:ascii="Times New Roman;serif" w:hAnsi="Times New Roman;serif"/>
          <w:b w:val="false"/>
          <w:i w:val="false"/>
          <w:caps w:val="false"/>
          <w:smallCaps w:val="false"/>
          <w:strike w:val="false"/>
          <w:dstrike w:val="false"/>
          <w:sz w:val="22"/>
          <w:u w:val="none"/>
          <w:effect w:val="none"/>
        </w:rPr>
        <w:t>second quarter</w:t>
      </w:r>
      <w:r>
        <w:rPr>
          <w:caps w:val="false"/>
          <w:smallCaps w:val="false"/>
          <w:sz w:val="24"/>
        </w:rPr>
        <w:t xml:space="preserve"> </w:t>
      </w:r>
      <w:r>
        <w:rPr>
          <w:rFonts w:ascii="Times New Roman;serif" w:hAnsi="Times New Roman;serif"/>
          <w:b w:val="false"/>
          <w:i w:val="false"/>
          <w:caps w:val="false"/>
          <w:smallCaps w:val="false"/>
          <w:sz w:val="22"/>
        </w:rPr>
        <w:t xml:space="preserve">of 2026 benefited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from cost savings initiatives.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Additionally, content costs in the second 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of 2026 were lower due to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comparison against CBS’s broadcast in the second quarter of 2025 of the National Semifinals and National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Championship games of the NCAA Tournament, and also reflect the impact from the net reduction in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programming assets resulting</w:t>
      </w:r>
      <w:r>
        <w:rPr>
          <w:caps w:val="false"/>
          <w:smallCaps w:val="false"/>
          <w:sz w:val="24"/>
        </w:rPr>
        <w:t xml:space="preserve"> </w:t>
      </w:r>
      <w:r>
        <w:rPr>
          <w:rFonts w:ascii="Times New Roman;serif" w:hAnsi="Times New Roman;serif"/>
          <w:b w:val="false"/>
          <w:i w:val="false"/>
          <w:caps w:val="false"/>
          <w:smallCaps w:val="false"/>
          <w:sz w:val="22"/>
        </w:rPr>
        <w:t xml:space="preserve">from the pushdown of the Ultimate Parent’s basis.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Adjusted EBITDA</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Adjusted EBITDA in the </w:t>
      </w:r>
      <w:r>
        <w:rPr>
          <w:rFonts w:ascii="Times New Roman;serif" w:hAnsi="Times New Roman;serif"/>
          <w:b w:val="false"/>
          <w:i w:val="false"/>
          <w:caps w:val="false"/>
          <w:smallCaps w:val="false"/>
          <w:strike w:val="false"/>
          <w:dstrike w:val="false"/>
          <w:sz w:val="22"/>
          <w:u w:val="none"/>
          <w:effect w:val="none"/>
        </w:rPr>
        <w:t>second quarter</w:t>
      </w:r>
      <w:r>
        <w:rPr>
          <w:caps w:val="false"/>
          <w:smallCaps w:val="false"/>
          <w:sz w:val="24"/>
        </w:rPr>
        <w:t xml:space="preserve"> </w:t>
      </w:r>
      <w:r>
        <w:rPr>
          <w:rFonts w:ascii="Times New Roman;serif" w:hAnsi="Times New Roman;serif"/>
          <w:b w:val="false"/>
          <w:i w:val="false"/>
          <w:caps w:val="false"/>
          <w:smallCaps w:val="false"/>
          <w:sz w:val="22"/>
        </w:rPr>
        <w:t xml:space="preserve">of 2026 reflects the impact of cost savings initiatives and the pushdown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Ultimate Parent’s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TV Media</w:t>
      </w:r>
    </w:p>
    <w:p>
      <w:pPr>
        <w:pStyle w:val="TextBody"/>
        <w:bidi w:val="0"/>
        <w:spacing w:lineRule="atLeast" w:line="220" w:before="0" w:after="0"/>
        <w:jc w:val="left"/>
        <w:rPr>
          <w:sz w:val="24"/>
        </w:rPr>
      </w:pPr>
      <w:r>
        <w:rPr>
          <w:rFonts w:ascii="Times New Roman;serif" w:hAnsi="Times New Roman;serif"/>
          <w:b w:val="false"/>
          <w:i/>
          <w:strike w:val="false"/>
          <w:dstrike w:val="false"/>
          <w:sz w:val="22"/>
          <w:u w:val="none"/>
          <w:effect w:val="none"/>
        </w:rPr>
        <w:t>Six Months Ended June 30, 2026</w:t>
      </w:r>
      <w:r>
        <w:rPr>
          <w:sz w:val="24"/>
        </w:rPr>
        <w:t xml:space="preserve"> </w:t>
      </w:r>
      <w:r>
        <w:rPr>
          <w:rFonts w:ascii="Times New Roman;serif" w:hAnsi="Times New Roman;serif"/>
          <w:b w:val="false"/>
          <w:i/>
          <w:sz w:val="22"/>
        </w:rPr>
        <w:t xml:space="preserve">and </w:t>
      </w:r>
      <w:r>
        <w:rPr>
          <w:rFonts w:ascii="Times New Roman;serif" w:hAnsi="Times New Roman;serif"/>
          <w:b w:val="false"/>
          <w:i/>
          <w:strike w:val="false"/>
          <w:dstrike w:val="false"/>
          <w:sz w:val="22"/>
          <w:u w:val="none"/>
          <w:effect w:val="none"/>
        </w:rPr>
        <w:t>2025</w:t>
      </w:r>
    </w:p>
    <w:tbl>
      <w:tblPr>
        <w:tblW w:w="9714" w:type="dxa"/>
        <w:jc w:val="left"/>
        <w:tblInd w:w="0" w:type="dxa"/>
        <w:tblLayout w:type="fixed"/>
        <w:tblCellMar>
          <w:top w:w="28" w:type="dxa"/>
          <w:left w:w="28" w:type="dxa"/>
          <w:bottom w:w="28" w:type="dxa"/>
          <w:right w:w="28" w:type="dxa"/>
        </w:tblCellMar>
      </w:tblPr>
      <w:tblGrid>
        <w:gridCol w:w="2011"/>
        <w:gridCol w:w="172"/>
        <w:gridCol w:w="958"/>
        <w:gridCol w:w="175"/>
        <w:gridCol w:w="109"/>
        <w:gridCol w:w="109"/>
        <w:gridCol w:w="172"/>
        <w:gridCol w:w="958"/>
        <w:gridCol w:w="175"/>
        <w:gridCol w:w="109"/>
        <w:gridCol w:w="179"/>
        <w:gridCol w:w="945"/>
        <w:gridCol w:w="181"/>
        <w:gridCol w:w="109"/>
        <w:gridCol w:w="172"/>
        <w:gridCol w:w="958"/>
        <w:gridCol w:w="175"/>
        <w:gridCol w:w="109"/>
        <w:gridCol w:w="901"/>
        <w:gridCol w:w="167"/>
        <w:gridCol w:w="716"/>
        <w:gridCol w:w="154"/>
      </w:tblGrid>
      <w:tr>
        <w:trPr/>
        <w:tc>
          <w:tcPr>
            <w:tcW w:w="20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GAAP</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Non-GAAP</w:t>
            </w:r>
          </w:p>
        </w:tc>
      </w:tr>
      <w:tr>
        <w:trPr/>
        <w:tc>
          <w:tcPr>
            <w:tcW w:w="201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Increase/(Decrease) </w:t>
            </w:r>
            <w:r>
              <w:rPr>
                <w:rFonts w:ascii="Times New Roman;serif" w:hAnsi="Times New Roman;serif"/>
                <w:b/>
                <w:i w:val="false"/>
                <w:caps w:val="false"/>
                <w:smallCaps w:val="false"/>
                <w:sz w:val="12"/>
              </w:rPr>
              <w:t>(d)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Adjustments </w:t>
            </w:r>
            <w:r>
              <w:rPr>
                <w:rFonts w:ascii="Times New Roman;serif" w:hAnsi="Times New Roman;serif"/>
                <w:b/>
                <w:i w:val="false"/>
                <w:caps w:val="false"/>
                <w:smallCaps w:val="false"/>
                <w:sz w:val="12"/>
              </w:rPr>
              <w:t>(c)</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$3,341</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$3,695</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$3,691</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$(350)</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w:t>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Affiliate and subscription</w:t>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3,201</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3,606</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(211)</w:t>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3,395</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(194)</w:t>
            </w:r>
          </w:p>
        </w:tc>
        <w:tc>
          <w:tcPr>
            <w:tcW w:w="16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Licensing and other</w:t>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252</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1,248</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(996)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252</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Revenues</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6,794</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8,549</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(1,211)</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7,338</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(544)</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Content costs</w:t>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2,904</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4,299</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(827)</w:t>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3,472</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(568)</w:t>
            </w:r>
          </w:p>
        </w:tc>
        <w:tc>
          <w:tcPr>
            <w:tcW w:w="16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Advertising and marketing</w:t>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146</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269</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w:t>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233</w:t>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(87)</w:t>
            </w:r>
          </w:p>
        </w:tc>
        <w:tc>
          <w:tcPr>
            <w:tcW w:w="16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rPr>
              <w:t xml:space="preserve">Other </w:t>
            </w:r>
            <w:r>
              <w:rPr>
                <w:rFonts w:ascii="Times New Roman;serif" w:hAnsi="Times New Roman;serif"/>
                <w:b w:val="false"/>
                <w:i w:val="false"/>
                <w:caps w:val="false"/>
                <w:smallCaps w:val="false"/>
                <w:sz w:val="12"/>
              </w:rPr>
              <w:t>(a)</w:t>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1,626</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2,196</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1,770</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(144)</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Expenses</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4,676</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6,764</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(1,289)</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5,475</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(799)</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w:t>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Adjusted EBITDA/</w:t>
            </w:r>
          </w:p>
          <w:p>
            <w:pPr>
              <w:pStyle w:val="TableContents"/>
              <w:bidi w:val="0"/>
              <w:spacing w:lineRule="atLeast" w:line="180" w:before="0" w:after="0"/>
              <w:jc w:val="left"/>
              <w:rPr/>
            </w:pPr>
            <w:r>
              <w:rPr>
                <w:caps w:val="false"/>
                <w:smallCaps w:val="false"/>
              </w:rPr>
              <w:t xml:space="preserve">  </w:t>
            </w:r>
            <w:r>
              <w:rPr>
                <w:rFonts w:ascii="Times New Roman;serif" w:hAnsi="Times New Roman;serif"/>
                <w:b w:val="false"/>
                <w:i w:val="false"/>
                <w:caps w:val="false"/>
                <w:smallCaps w:val="false"/>
                <w:sz w:val="18"/>
              </w:rPr>
              <w:t xml:space="preserve">Adjusted OIBDA </w:t>
            </w:r>
            <w:r>
              <w:rPr>
                <w:rFonts w:ascii="Times New Roman;serif" w:hAnsi="Times New Roman;serif"/>
                <w:b w:val="false"/>
                <w:i w:val="false"/>
                <w:caps w:val="false"/>
                <w:smallCaps w:val="false"/>
                <w:sz w:val="12"/>
              </w:rPr>
              <w:t>(b)</w:t>
            </w:r>
          </w:p>
        </w:tc>
        <w:tc>
          <w:tcPr>
            <w:tcW w:w="17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$2,118</w:t>
            </w:r>
          </w:p>
        </w:tc>
        <w:tc>
          <w:tcPr>
            <w:tcW w:w="17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$1,785</w:t>
            </w:r>
          </w:p>
        </w:tc>
        <w:tc>
          <w:tcPr>
            <w:tcW w:w="17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$78</w:t>
            </w:r>
          </w:p>
        </w:tc>
        <w:tc>
          <w:tcPr>
            <w:tcW w:w="181"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$1,863</w:t>
            </w:r>
          </w:p>
        </w:tc>
        <w:tc>
          <w:tcPr>
            <w:tcW w:w="175"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$255</w:t>
            </w:r>
          </w:p>
        </w:tc>
        <w:tc>
          <w:tcPr>
            <w:tcW w:w="167"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16"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c>
          <w:tcPr>
            <w:tcW w:w="15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443" w:type="dxa"/>
        <w:jc w:val="left"/>
        <w:tblInd w:w="0" w:type="dxa"/>
        <w:tblLayout w:type="fixed"/>
        <w:tblCellMar>
          <w:top w:w="28" w:type="dxa"/>
          <w:left w:w="28" w:type="dxa"/>
          <w:bottom w:w="28" w:type="dxa"/>
          <w:right w:w="28" w:type="dxa"/>
        </w:tblCellMar>
      </w:tblPr>
      <w:tblGrid>
        <w:gridCol w:w="1741"/>
        <w:gridCol w:w="172"/>
        <w:gridCol w:w="958"/>
        <w:gridCol w:w="175"/>
        <w:gridCol w:w="109"/>
        <w:gridCol w:w="109"/>
        <w:gridCol w:w="172"/>
        <w:gridCol w:w="958"/>
        <w:gridCol w:w="175"/>
        <w:gridCol w:w="109"/>
        <w:gridCol w:w="251"/>
        <w:gridCol w:w="800"/>
        <w:gridCol w:w="253"/>
        <w:gridCol w:w="109"/>
        <w:gridCol w:w="172"/>
        <w:gridCol w:w="958"/>
        <w:gridCol w:w="175"/>
        <w:gridCol w:w="109"/>
        <w:gridCol w:w="901"/>
        <w:gridCol w:w="167"/>
        <w:gridCol w:w="716"/>
        <w:gridCol w:w="154"/>
      </w:tblGrid>
      <w:tr>
        <w:trPr/>
        <w:tc>
          <w:tcPr>
            <w:tcW w:w="17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GAAP</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Non-GAAP</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Increase/(Decrease) </w:t>
            </w:r>
            <w:r>
              <w:rPr>
                <w:rFonts w:ascii="Times New Roman;serif" w:hAnsi="Times New Roman;serif"/>
                <w:b/>
                <w:i w:val="false"/>
                <w:caps w:val="false"/>
                <w:smallCaps w:val="false"/>
                <w:sz w:val="12"/>
              </w:rPr>
              <w:t>(d)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Advertising revenues</w:t>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 xml:space="preserve">Adjustments </w:t>
            </w:r>
            <w:r>
              <w:rPr>
                <w:rFonts w:ascii="Times New Roman;serif" w:hAnsi="Times New Roman;serif"/>
                <w:b/>
                <w:i w:val="false"/>
                <w:caps w:val="false"/>
                <w:smallCaps w:val="false"/>
                <w:sz w:val="12"/>
              </w:rPr>
              <w:t>(c)</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TV Media</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Domestic </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$2,972</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$3,190</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2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$3,186</w:t>
            </w:r>
          </w:p>
        </w:tc>
        <w:tc>
          <w:tcPr>
            <w:tcW w:w="1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$(214)</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International</w:t>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369</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505</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505</w:t>
            </w:r>
          </w:p>
        </w:tc>
        <w:tc>
          <w:tcPr>
            <w:tcW w:w="1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(136)</w:t>
            </w:r>
          </w:p>
        </w:tc>
        <w:tc>
          <w:tcPr>
            <w:tcW w:w="16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w:t>
            </w:r>
          </w:p>
        </w:tc>
        <w:tc>
          <w:tcPr>
            <w:tcW w:w="17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$3,341</w:t>
            </w:r>
          </w:p>
        </w:tc>
        <w:tc>
          <w:tcPr>
            <w:tcW w:w="17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$3,695</w:t>
            </w:r>
          </w:p>
        </w:tc>
        <w:tc>
          <w:tcPr>
            <w:tcW w:w="17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253"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8"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$3,691</w:t>
            </w:r>
          </w:p>
        </w:tc>
        <w:tc>
          <w:tcPr>
            <w:tcW w:w="17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$(350)</w:t>
            </w:r>
          </w:p>
        </w:tc>
        <w:tc>
          <w:tcPr>
            <w:tcW w:w="167"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single" w:sz="16"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w:t>
            </w:r>
          </w:p>
        </w:tc>
        <w:tc>
          <w:tcPr>
            <w:tcW w:w="15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(a) Other segment expenses for our </w:t>
      </w:r>
      <w:r>
        <w:rPr>
          <w:rFonts w:ascii="Times New Roman;serif" w:hAnsi="Times New Roman;serif"/>
          <w:b w:val="false"/>
          <w:i/>
          <w:sz w:val="18"/>
        </w:rPr>
        <w:t>TV Media</w:t>
      </w:r>
      <w:r>
        <w:rPr>
          <w:caps w:val="false"/>
          <w:smallCaps w:val="false"/>
        </w:rPr>
        <w:t xml:space="preserve"> </w:t>
      </w:r>
      <w:r>
        <w:rPr>
          <w:rFonts w:ascii="Times New Roman;serif" w:hAnsi="Times New Roman;serif"/>
          <w:b w:val="false"/>
          <w:i w:val="false"/>
          <w:caps w:val="false"/>
          <w:smallCaps w:val="false"/>
          <w:sz w:val="18"/>
        </w:rPr>
        <w:t xml:space="preserve">segment include employee compensation; revenue-sharing costs to television stations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affiliated with the CBS Television Network; costs relating to the distribution of our content; costs for research, occupancy, technology,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and professional services; and other costs associated with our operations.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(b)  In the first quarter of 2026, we renamed our primary measure of profit and loss for our operating segments from Adjusted OIBDA to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Adjusted EBITDA. See Note </w:t>
      </w:r>
      <w:r>
        <w:rPr>
          <w:rFonts w:ascii="Times New Roman;serif" w:hAnsi="Times New Roman;serif"/>
          <w:b w:val="false"/>
          <w:i w:val="false"/>
          <w:caps w:val="false"/>
          <w:smallCaps w:val="false"/>
          <w:strike w:val="false"/>
          <w:dstrike w:val="false"/>
          <w:sz w:val="18"/>
          <w:u w:val="none"/>
          <w:effect w:val="none"/>
        </w:rPr>
        <w:t>13</w:t>
      </w:r>
      <w:r>
        <w:rPr>
          <w:caps w:val="false"/>
          <w:smallCaps w:val="false"/>
          <w:sz w:val="24"/>
        </w:rPr>
        <w:t xml:space="preserve"> </w:t>
      </w:r>
      <w:r>
        <w:rPr>
          <w:rFonts w:ascii="Times New Roman;serif" w:hAnsi="Times New Roman;serif"/>
          <w:b w:val="false"/>
          <w:i w:val="false"/>
          <w:caps w:val="false"/>
          <w:smallCaps w:val="false"/>
          <w:sz w:val="18"/>
        </w:rPr>
        <w:t>to the consolidated financial statements.</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(c) Reflects the transfer of the historical </w:t>
      </w:r>
      <w:r>
        <w:rPr>
          <w:rFonts w:ascii="Times New Roman;serif" w:hAnsi="Times New Roman;serif"/>
          <w:b w:val="false"/>
          <w:i/>
          <w:sz w:val="18"/>
        </w:rPr>
        <w:t>TV Media</w:t>
      </w:r>
      <w:r>
        <w:rPr>
          <w:caps w:val="false"/>
          <w:smallCaps w:val="false"/>
        </w:rPr>
        <w:t xml:space="preserve"> </w:t>
      </w:r>
      <w:r>
        <w:rPr>
          <w:rFonts w:ascii="Times New Roman;serif" w:hAnsi="Times New Roman;serif"/>
          <w:b w:val="false"/>
          <w:i w:val="false"/>
          <w:caps w:val="false"/>
          <w:smallCaps w:val="false"/>
          <w:sz w:val="18"/>
        </w:rPr>
        <w:t xml:space="preserve">studio operations to the </w:t>
      </w:r>
      <w:r>
        <w:rPr>
          <w:rFonts w:ascii="Times New Roman;serif" w:hAnsi="Times New Roman;serif"/>
          <w:b w:val="false"/>
          <w:i/>
          <w:sz w:val="18"/>
        </w:rPr>
        <w:t>Studios</w:t>
      </w:r>
      <w:r>
        <w:rPr>
          <w:caps w:val="false"/>
          <w:smallCaps w:val="false"/>
        </w:rPr>
        <w:t xml:space="preserve"> </w:t>
      </w:r>
      <w:r>
        <w:rPr>
          <w:rFonts w:ascii="Times New Roman;serif" w:hAnsi="Times New Roman;serif"/>
          <w:b w:val="false"/>
          <w:i w:val="false"/>
          <w:caps w:val="false"/>
          <w:smallCaps w:val="false"/>
          <w:sz w:val="18"/>
        </w:rPr>
        <w:t xml:space="preserve">segment and our premium cable channel, Paramount+ </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with Showtime, to the </w:t>
      </w:r>
      <w:r>
        <w:rPr>
          <w:rFonts w:ascii="Times New Roman;serif" w:hAnsi="Times New Roman;serif"/>
          <w:b w:val="false"/>
          <w:i/>
          <w:sz w:val="18"/>
        </w:rPr>
        <w:t xml:space="preserve">Direct-to-Consumer </w:t>
      </w:r>
      <w:r>
        <w:rPr>
          <w:rFonts w:ascii="Times New Roman;serif" w:hAnsi="Times New Roman;serif"/>
          <w:b w:val="false"/>
          <w:i w:val="false"/>
          <w:caps w:val="false"/>
          <w:smallCaps w:val="false"/>
          <w:sz w:val="18"/>
        </w:rPr>
        <w:t xml:space="preserve">segment, and updates to our segment expense allocations to better reflect how we operate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and make cost decisions across the business.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(d) Reflects the comparison between the Successor results for the </w:t>
      </w:r>
      <w:r>
        <w:rPr>
          <w:rFonts w:ascii="Times New Roman;serif" w:hAnsi="Times New Roman;serif"/>
          <w:b w:val="false"/>
          <w:i w:val="false"/>
          <w:caps w:val="false"/>
          <w:smallCaps w:val="false"/>
          <w:strike w:val="false"/>
          <w:dstrike w:val="false"/>
          <w:sz w:val="18"/>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18"/>
        </w:rPr>
        <w:t xml:space="preserve">to the non-GAAP Predecessor results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for the </w:t>
      </w:r>
      <w:r>
        <w:rPr>
          <w:rFonts w:ascii="Times New Roman;serif" w:hAnsi="Times New Roman;serif"/>
          <w:b w:val="false"/>
          <w:i w:val="false"/>
          <w:caps w:val="false"/>
          <w:smallCaps w:val="false"/>
          <w:strike w:val="false"/>
          <w:dstrike w:val="false"/>
          <w:sz w:val="18"/>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June 30, 2025</w:t>
      </w:r>
      <w:r>
        <w:rPr>
          <w:rFonts w:ascii="Times New Roman;serif" w:hAnsi="Times New Roman;serif"/>
          <w:b w:val="false"/>
          <w:i w:val="false"/>
          <w:caps w:val="false"/>
          <w:smallCaps w:val="false"/>
          <w:sz w:val="18"/>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Revenues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Advertising</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Advertising revenues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were impacted by declines in the linear advertising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market and a decrease of 4% from the comparison against CBS’s broadcast in the second quarter of 2025 of </w:t>
      </w:r>
      <w:r>
        <w:rPr>
          <w:rFonts w:ascii="Times New Roman;serif" w:hAnsi="Times New Roman;serif"/>
          <w:b w:val="false"/>
          <w:i w:val="false"/>
          <w:caps w:val="false"/>
          <w:smallCaps w:val="false"/>
          <w:strike w:val="false"/>
          <w:dstrike w:val="false"/>
          <w:sz w:val="22"/>
          <w:u w:val="none"/>
          <w:effect w:val="none"/>
        </w:rPr>
        <w:t xml:space="preserve">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NCAA Tournament</w:t>
      </w:r>
      <w:r>
        <w:rPr>
          <w:rFonts w:ascii="Times New Roman;serif" w:hAnsi="Times New Roman;serif"/>
          <w:b w:val="false"/>
          <w:i w:val="false"/>
          <w:caps w:val="false"/>
          <w:smallCaps w:val="false"/>
          <w:sz w:val="22"/>
        </w:rPr>
        <w:t xml:space="preserve">, which we have the rights to broadcast every other year. The comparison also includes 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decrease of 2% from the absence of advertising revenues from Telefe and Chilevisión, which were sold in October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2025 and January 2026, respectively, and an increase of 2% from higher political advertising revenues.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Affiliate and Subscription</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Affiliate and subscription revenues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were impacted by declines in linear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subscribers.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Licensing and Other</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Licensing and other revenues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primarily include revenues from the licensing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of first-run syndicated programming. 2026 does not include revenues from our television studios, which were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included in the Predecessor segment results.</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Expenses</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Content costs, advertising and marketing expenses, and other expenses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benefited from cost savings initiatives. Content costs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also reflect the impact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from the net reduction in programming assets resulting from the pushdown of the Ultimate Parent’s basis.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Adjusted EBITDA</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Adjusted EBITDA 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reflects the impact of cost savings initiatives and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pushdown of the Ultimate Parent’s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Liquidity and Capital Resources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 xml:space="preserve">Sources and Uses of Cash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project anticipated cash requirements for our operating, investing and financing needs as well as cash flows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expected to be generated and available to meet these needs. Our operating needs include, among other items,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expenditures for content for our broadcast and cable networks and streaming services, including television and film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programming, sports rights, and talent contracts, as well as advertising and marketing costs to promote our content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and platforms; payments for leases, interest, and income taxes; and pension funding obligations.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investing and financing spending includes capital expenditures; acquisitions; funding of investments, including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streaming joint venture, SkyShowtime, under which we and our joint venture partner committed to support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initial operations over a multiyear period; discretionary share repurchases; dividends; and principal payments 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outstanding indebtedness. Our long-term debt obligations due over the next five years (including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borrowings under our Credit Facility described below) were </w:t>
      </w:r>
      <w:r>
        <w:rPr>
          <w:rFonts w:ascii="Times New Roman;serif" w:hAnsi="Times New Roman;serif"/>
          <w:b w:val="false"/>
          <w:i w:val="false"/>
          <w:caps w:val="false"/>
          <w:smallCaps w:val="false"/>
          <w:strike w:val="false"/>
          <w:dstrike w:val="false"/>
          <w:sz w:val="22"/>
          <w:u w:val="none"/>
          <w:effect w:val="none"/>
        </w:rPr>
        <w:t>$6.05 billion</w:t>
      </w:r>
      <w:r>
        <w:rPr>
          <w:caps w:val="false"/>
          <w:smallCaps w:val="false"/>
          <w:sz w:val="24"/>
        </w:rPr>
        <w:t xml:space="preserve"> </w:t>
      </w:r>
      <w:r>
        <w:rPr>
          <w:rFonts w:ascii="Times New Roman;serif" w:hAnsi="Times New Roman;serif"/>
          <w:b w:val="false"/>
          <w:i w:val="false"/>
          <w:caps w:val="false"/>
          <w:smallCaps w:val="false"/>
          <w:sz w:val="22"/>
        </w:rPr>
        <w:t xml:space="preserve">as of </w:t>
      </w:r>
      <w:r>
        <w:rPr>
          <w:rFonts w:ascii="Times New Roman;serif" w:hAnsi="Times New Roman;serif"/>
          <w:b w:val="false"/>
          <w:i w:val="false"/>
          <w:caps w:val="false"/>
          <w:smallCaps w:val="false"/>
          <w:strike w:val="false"/>
          <w:dstrike w:val="false"/>
          <w:sz w:val="22"/>
          <w:u w:val="none"/>
          <w:effect w:val="none"/>
        </w:rPr>
        <w:t>June 30, 2026</w:t>
      </w:r>
      <w:r>
        <w:rPr>
          <w:rFonts w:ascii="Times New Roman;serif" w:hAnsi="Times New Roman;serif"/>
          <w:b w:val="false"/>
          <w:i w:val="false"/>
          <w:caps w:val="false"/>
          <w:smallCaps w:val="false"/>
          <w:sz w:val="22"/>
        </w:rPr>
        <w:t xml:space="preserve">. We routinely assess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capital structure and opportunistically enter into transactions to manage our outstanding debt maturities, which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could result in a charge from the early extinguishment of debt.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Funding for both our short-term and long-term operating, investing and financing needs will come primarily from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cash flows from operating activities, cash and cash equivalents, which were $1.63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as of June 30, 2026, and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our ability to refinance our debt. Any additional cash funding requirements are financed with short-term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borrowings, including commercial paper and borrowings under our credit facility, and long-term debt. To the </w:t>
      </w:r>
    </w:p>
    <w:p>
      <w:pPr>
        <w:pStyle w:val="TextBody"/>
        <w:bidi w:val="0"/>
        <w:spacing w:lineRule="atLeast" w:line="220" w:before="0" w:after="0"/>
        <w:jc w:val="left"/>
        <w:rPr>
          <w:rFonts w:ascii="Times New Roman;serif" w:hAnsi="Times New Roman;serif"/>
          <w:b w:val="false"/>
          <w:i w:val="false"/>
          <w:caps w:val="false"/>
          <w:smallCaps w:val="false"/>
          <w:strike w:val="false"/>
          <w:dstrike w:val="false"/>
          <w:sz w:val="22"/>
          <w:u w:val="none"/>
          <w:effect w:val="none"/>
        </w:rPr>
      </w:pPr>
      <w:r>
        <w:rPr>
          <w:rFonts w:ascii="Times New Roman;serif" w:hAnsi="Times New Roman;serif"/>
          <w:b w:val="false"/>
          <w:i w:val="false"/>
          <w:caps w:val="false"/>
          <w:smallCaps w:val="false"/>
          <w:strike w:val="false"/>
          <w:dstrike w:val="false"/>
          <w:sz w:val="22"/>
          <w:u w:val="none"/>
          <w:effect w:val="none"/>
        </w:rPr>
        <w:t xml:space="preserve">extent that commercial paper is not available to us, the borrowing capacity under our Credit Facility, which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 xml:space="preserve">increased from $3.5 billion to $5.0 billion in April 2026 (see </w:t>
      </w:r>
      <w:r>
        <w:rPr>
          <w:rFonts w:ascii="Times New Roman;serif" w:hAnsi="Times New Roman;serif"/>
          <w:b w:val="false"/>
          <w:i/>
          <w:strike w:val="false"/>
          <w:dstrike w:val="false"/>
          <w:sz w:val="22"/>
          <w:u w:val="none"/>
          <w:effect w:val="none"/>
        </w:rPr>
        <w:t>Capital Structure</w:t>
      </w:r>
      <w:r>
        <w:rPr>
          <w:rFonts w:ascii="Times New Roman;serif" w:hAnsi="Times New Roman;serif"/>
          <w:b w:val="false"/>
          <w:i w:val="false"/>
          <w:caps w:val="false"/>
          <w:smallCaps w:val="false"/>
          <w:strike w:val="false"/>
          <w:dstrike w:val="false"/>
          <w:sz w:val="22"/>
          <w:u w:val="none"/>
          <w:effect w:val="none"/>
        </w:rPr>
        <w:t>)</w:t>
      </w:r>
      <w:r>
        <w:rPr>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2"/>
          <w:u w:val="none"/>
          <w:effect w:val="none"/>
        </w:rPr>
        <w:t xml:space="preserve">is sufficient to satisfy short-term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borrowing needs.</w:t>
      </w:r>
      <w:r>
        <w:rPr>
          <w:caps w:val="false"/>
          <w:smallCaps w:val="false"/>
          <w:sz w:val="24"/>
        </w:rPr>
        <w:t xml:space="preserve">  </w:t>
      </w:r>
      <w:r>
        <w:rPr>
          <w:rFonts w:ascii="Times New Roman;serif" w:hAnsi="Times New Roman;serif"/>
          <w:b w:val="false"/>
          <w:i w:val="false"/>
          <w:caps w:val="false"/>
          <w:smallCaps w:val="false"/>
          <w:sz w:val="22"/>
        </w:rPr>
        <w:t xml:space="preserve">In the first quarter of 2026, in connection with the </w:t>
      </w:r>
      <w:r>
        <w:rPr>
          <w:rFonts w:ascii="Times New Roman;serif" w:hAnsi="Times New Roman;serif"/>
          <w:b w:val="false"/>
          <w:i w:val="false"/>
          <w:caps w:val="false"/>
          <w:smallCaps w:val="false"/>
          <w:strike w:val="false"/>
          <w:dstrike w:val="false"/>
          <w:sz w:val="22"/>
          <w:u w:val="none"/>
          <w:effect w:val="none"/>
        </w:rPr>
        <w:t>$2.8 billion</w:t>
      </w:r>
      <w:r>
        <w:rPr>
          <w:caps w:val="false"/>
          <w:smallCaps w:val="false"/>
          <w:sz w:val="24"/>
        </w:rPr>
        <w:t xml:space="preserve"> </w:t>
      </w:r>
      <w:r>
        <w:rPr>
          <w:rFonts w:ascii="Times New Roman;serif" w:hAnsi="Times New Roman;serif"/>
          <w:b w:val="false"/>
          <w:i w:val="false"/>
          <w:caps w:val="false"/>
          <w:smallCaps w:val="false"/>
          <w:sz w:val="22"/>
        </w:rPr>
        <w:t xml:space="preserve">termination fee paid to Netflix,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we borrowed </w:t>
      </w:r>
      <w:r>
        <w:rPr>
          <w:rFonts w:ascii="Times New Roman;serif" w:hAnsi="Times New Roman;serif"/>
          <w:b w:val="false"/>
          <w:i w:val="false"/>
          <w:caps w:val="false"/>
          <w:smallCaps w:val="false"/>
          <w:strike w:val="false"/>
          <w:dstrike w:val="false"/>
          <w:sz w:val="22"/>
          <w:u w:val="none"/>
          <w:effect w:val="none"/>
        </w:rPr>
        <w:t>$2.15 billion</w:t>
      </w:r>
      <w:r>
        <w:rPr>
          <w:caps w:val="false"/>
          <w:smallCaps w:val="false"/>
          <w:sz w:val="24"/>
        </w:rPr>
        <w:t xml:space="preserve"> </w:t>
      </w:r>
      <w:r>
        <w:rPr>
          <w:rFonts w:ascii="Times New Roman;serif" w:hAnsi="Times New Roman;serif"/>
          <w:b w:val="false"/>
          <w:i w:val="false"/>
          <w:caps w:val="false"/>
          <w:smallCaps w:val="false"/>
          <w:sz w:val="22"/>
        </w:rPr>
        <w:t xml:space="preserve">under the Credit Facility. As of </w:t>
      </w:r>
      <w:r>
        <w:rPr>
          <w:rFonts w:ascii="Times New Roman;serif" w:hAnsi="Times New Roman;serif"/>
          <w:b w:val="false"/>
          <w:i w:val="false"/>
          <w:caps w:val="false"/>
          <w:smallCaps w:val="false"/>
          <w:strike w:val="false"/>
          <w:dstrike w:val="false"/>
          <w:sz w:val="22"/>
          <w:u w:val="none"/>
          <w:effect w:val="none"/>
        </w:rPr>
        <w:t>June 30, 2026</w:t>
      </w:r>
      <w:r>
        <w:rPr>
          <w:rFonts w:ascii="Times New Roman;serif" w:hAnsi="Times New Roman;serif"/>
          <w:b w:val="false"/>
          <w:i w:val="false"/>
          <w:caps w:val="false"/>
          <w:smallCaps w:val="false"/>
          <w:sz w:val="22"/>
        </w:rPr>
        <w:t xml:space="preserve">, outstanding borrowings under the Credit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Facility totaled </w:t>
      </w:r>
      <w:r>
        <w:rPr>
          <w:rFonts w:ascii="Times New Roman;serif" w:hAnsi="Times New Roman;serif"/>
          <w:b w:val="false"/>
          <w:i w:val="false"/>
          <w:caps w:val="false"/>
          <w:smallCaps w:val="false"/>
          <w:strike w:val="false"/>
          <w:dstrike w:val="false"/>
          <w:sz w:val="22"/>
          <w:u w:val="none"/>
          <w:effect w:val="none"/>
        </w:rPr>
        <w:t>$1.8 billion</w:t>
      </w:r>
      <w:r>
        <w:rPr>
          <w:caps w:val="false"/>
          <w:smallCaps w:val="false"/>
          <w:sz w:val="24"/>
        </w:rPr>
        <w:t xml:space="preserve"> </w:t>
      </w:r>
      <w:r>
        <w:rPr>
          <w:rFonts w:ascii="Times New Roman;serif" w:hAnsi="Times New Roman;serif"/>
          <w:b w:val="false"/>
          <w:i w:val="false"/>
          <w:caps w:val="false"/>
          <w:smallCaps w:val="false"/>
          <w:sz w:val="22"/>
        </w:rPr>
        <w:t xml:space="preserve">at a weighted average interest rate of  </w:t>
      </w:r>
      <w:r>
        <w:rPr>
          <w:rFonts w:ascii="Times New Roman;serif" w:hAnsi="Times New Roman;serif"/>
          <w:b w:val="false"/>
          <w:i w:val="false"/>
          <w:caps w:val="false"/>
          <w:smallCaps w:val="false"/>
          <w:strike w:val="false"/>
          <w:dstrike w:val="false"/>
          <w:sz w:val="22"/>
          <w:u w:val="none"/>
          <w:effect w:val="none"/>
        </w:rPr>
        <w:t>6.13%</w:t>
      </w:r>
      <w:r>
        <w:rPr>
          <w:rFonts w:ascii="Times New Roman;serif" w:hAnsi="Times New Roman;serif"/>
          <w:b w:val="false"/>
          <w:i w:val="false"/>
          <w:caps w:val="false"/>
          <w:smallCaps w:val="false"/>
          <w:sz w:val="22"/>
        </w:rPr>
        <w:t xml:space="preserve">. The remaining availability under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Credit Facility at </w:t>
      </w:r>
      <w:r>
        <w:rPr>
          <w:rFonts w:ascii="Times New Roman;serif" w:hAnsi="Times New Roman;serif"/>
          <w:b w:val="false"/>
          <w:i w:val="false"/>
          <w:caps w:val="false"/>
          <w:smallCaps w:val="false"/>
          <w:strike w:val="false"/>
          <w:dstrike w:val="false"/>
          <w:sz w:val="22"/>
          <w:u w:val="none"/>
          <w:effect w:val="none"/>
        </w:rPr>
        <w:t>June 30, 2026</w:t>
      </w:r>
      <w:r>
        <w:rPr>
          <w:rFonts w:ascii="Times New Roman;serif" w:hAnsi="Times New Roman;serif"/>
          <w:b w:val="false"/>
          <w:i w:val="false"/>
          <w:caps w:val="false"/>
          <w:smallCaps w:val="false"/>
          <w:sz w:val="22"/>
        </w:rPr>
        <w:t xml:space="preserve">, was </w:t>
      </w:r>
      <w:r>
        <w:rPr>
          <w:rFonts w:ascii="Times New Roman;serif" w:hAnsi="Times New Roman;serif"/>
          <w:b w:val="false"/>
          <w:i w:val="false"/>
          <w:caps w:val="false"/>
          <w:smallCaps w:val="false"/>
          <w:strike w:val="false"/>
          <w:dstrike w:val="false"/>
          <w:sz w:val="22"/>
          <w:u w:val="none"/>
          <w:effect w:val="none"/>
        </w:rPr>
        <w:t>$3.2 billion</w:t>
      </w:r>
      <w:r>
        <w:rPr>
          <w:rFonts w:ascii="Times New Roman;serif" w:hAnsi="Times New Roman;serif"/>
          <w:b w:val="false"/>
          <w:i w:val="false"/>
          <w:caps w:val="false"/>
          <w:smallCaps w:val="false"/>
          <w:sz w:val="22"/>
        </w:rPr>
        <w:t xml:space="preserve">. At August 3, 2026, outstanding borrowings under the Credit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Facility totaled </w:t>
      </w:r>
      <w:r>
        <w:rPr>
          <w:rFonts w:ascii="Times New Roman;serif" w:hAnsi="Times New Roman;serif"/>
          <w:b w:val="false"/>
          <w:i w:val="false"/>
          <w:caps w:val="false"/>
          <w:smallCaps w:val="false"/>
          <w:strike w:val="false"/>
          <w:dstrike w:val="false"/>
          <w:sz w:val="22"/>
          <w:u w:val="none"/>
          <w:effect w:val="none"/>
        </w:rPr>
        <w:t>$1.75 billion</w:t>
      </w:r>
      <w:r>
        <w:rPr>
          <w:caps w:val="false"/>
          <w:smallCaps w:val="false"/>
          <w:sz w:val="24"/>
        </w:rPr>
        <w:t xml:space="preserve"> </w:t>
      </w:r>
      <w:r>
        <w:rPr>
          <w:rFonts w:ascii="Times New Roman;serif" w:hAnsi="Times New Roman;serif"/>
          <w:b w:val="false"/>
          <w:i w:val="false"/>
          <w:caps w:val="false"/>
          <w:smallCaps w:val="false"/>
          <w:sz w:val="22"/>
        </w:rPr>
        <w:t xml:space="preserve">at a weighted average interest rate of </w:t>
      </w:r>
      <w:r>
        <w:rPr>
          <w:rFonts w:ascii="Times New Roman;serif" w:hAnsi="Times New Roman;serif"/>
          <w:b w:val="false"/>
          <w:i w:val="false"/>
          <w:caps w:val="false"/>
          <w:smallCaps w:val="false"/>
          <w:strike w:val="false"/>
          <w:dstrike w:val="false"/>
          <w:sz w:val="22"/>
          <w:u w:val="none"/>
          <w:effect w:val="none"/>
        </w:rPr>
        <w:t>6.13%</w:t>
      </w:r>
      <w:r>
        <w:rPr>
          <w:rFonts w:ascii="Times New Roman;serif" w:hAnsi="Times New Roman;serif"/>
          <w:b w:val="false"/>
          <w:i w:val="false"/>
          <w:caps w:val="false"/>
          <w:smallCaps w:val="false"/>
          <w:sz w:val="22"/>
        </w:rPr>
        <w:t xml:space="preserve">. Credit facility borrowings outstanding at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closing of the WBD Merger are expected to be repaid with the funding from the private placement described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Note 1 to the consolidated financial statements.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access to capital markets and the cost of any new borrowings are impacted by factors outside our control,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including economic and market conditions, as well as by ratings assigned by independent rating agencies. As 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result, there can be no assurance that we will be able to access capital markets on terms and conditions favorable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Cash Flows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changes in cash and cash equivalents were as follows:</w:t>
      </w:r>
    </w:p>
    <w:tbl>
      <w:tblPr>
        <w:tblW w:w="9201" w:type="dxa"/>
        <w:jc w:val="left"/>
        <w:tblInd w:w="0" w:type="dxa"/>
        <w:tblLayout w:type="fixed"/>
        <w:tblCellMar>
          <w:top w:w="28" w:type="dxa"/>
          <w:left w:w="28" w:type="dxa"/>
          <w:bottom w:w="28" w:type="dxa"/>
          <w:right w:w="28" w:type="dxa"/>
        </w:tblCellMar>
      </w:tblPr>
      <w:tblGrid>
        <w:gridCol w:w="5131"/>
        <w:gridCol w:w="150"/>
        <w:gridCol w:w="1095"/>
        <w:gridCol w:w="150"/>
        <w:gridCol w:w="109"/>
        <w:gridCol w:w="1126"/>
        <w:gridCol w:w="195"/>
        <w:gridCol w:w="969"/>
        <w:gridCol w:w="276"/>
      </w:tblGrid>
      <w:tr>
        <w:trPr/>
        <w:tc>
          <w:tcPr>
            <w:tcW w:w="513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513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440"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tcBorders/>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r>
      <w:tr>
        <w:trPr/>
        <w:tc>
          <w:tcPr>
            <w:tcW w:w="51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51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cash flow provided by operating activities</w:t>
            </w:r>
          </w:p>
        </w:tc>
        <w:tc>
          <w:tcPr>
            <w:tcW w:w="1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$339</w:t>
            </w:r>
          </w:p>
        </w:tc>
        <w:tc>
          <w:tcPr>
            <w:tcW w:w="2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cash flow used for investing activities</w:t>
            </w:r>
          </w:p>
        </w:tc>
        <w:tc>
          <w:tcPr>
            <w:tcW w:w="1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(3,115)</w:t>
            </w:r>
          </w:p>
        </w:tc>
        <w:tc>
          <w:tcPr>
            <w:tcW w:w="1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w:t>
            </w:r>
          </w:p>
        </w:tc>
        <w:tc>
          <w:tcPr>
            <w:tcW w:w="2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cash flow provided by (used for) financing activities</w:t>
            </w:r>
          </w:p>
        </w:tc>
        <w:tc>
          <w:tcPr>
            <w:tcW w:w="1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992</w:t>
            </w:r>
          </w:p>
        </w:tc>
        <w:tc>
          <w:tcPr>
            <w:tcW w:w="1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w:t>
            </w:r>
          </w:p>
        </w:tc>
        <w:tc>
          <w:tcPr>
            <w:tcW w:w="2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Effect of exchange rate changes on cash and cash equivalents </w:t>
            </w:r>
          </w:p>
        </w:tc>
        <w:tc>
          <w:tcPr>
            <w:tcW w:w="1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w:t>
            </w:r>
          </w:p>
        </w:tc>
        <w:tc>
          <w:tcPr>
            <w:tcW w:w="2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(decrease) increase in cash and cash equivalents</w:t>
            </w:r>
          </w:p>
        </w:tc>
        <w:tc>
          <w:tcPr>
            <w:tcW w:w="15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$(1,647)</w:t>
            </w:r>
          </w:p>
        </w:tc>
        <w:tc>
          <w:tcPr>
            <w:tcW w:w="15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9"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w:t>
            </w:r>
          </w:p>
        </w:tc>
        <w:tc>
          <w:tcPr>
            <w:tcW w:w="276"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Operating Activities</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Net cash flow provided by operating activities includes payments of  </w:t>
      </w:r>
      <w:r>
        <w:rPr>
          <w:rFonts w:ascii="Times New Roman;serif" w:hAnsi="Times New Roman;serif"/>
          <w:b w:val="false"/>
          <w:i w:val="false"/>
          <w:caps w:val="false"/>
          <w:smallCaps w:val="false"/>
          <w:strike w:val="false"/>
          <w:dstrike w:val="false"/>
          <w:sz w:val="22"/>
          <w:u w:val="none"/>
          <w:effect w:val="none"/>
        </w:rPr>
        <w:t>$310 million</w:t>
      </w:r>
      <w:r>
        <w:rPr>
          <w:caps w:val="false"/>
          <w:smallCaps w:val="false"/>
          <w:sz w:val="24"/>
        </w:rPr>
        <w:t xml:space="preserve"> </w:t>
      </w:r>
      <w:r>
        <w:rPr>
          <w:rFonts w:ascii="Times New Roman;serif" w:hAnsi="Times New Roman;serif"/>
          <w:b w:val="false"/>
          <w:i w:val="false"/>
          <w:caps w:val="false"/>
          <w:smallCaps w:val="false"/>
          <w:sz w:val="22"/>
        </w:rPr>
        <w:t xml:space="preserve">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(Successor) and </w:t>
      </w:r>
      <w:r>
        <w:rPr>
          <w:rFonts w:ascii="Times New Roman;serif" w:hAnsi="Times New Roman;serif"/>
          <w:b w:val="false"/>
          <w:i w:val="false"/>
          <w:caps w:val="false"/>
          <w:smallCaps w:val="false"/>
          <w:strike w:val="false"/>
          <w:dstrike w:val="false"/>
          <w:sz w:val="22"/>
          <w:u w:val="none"/>
          <w:effect w:val="none"/>
        </w:rPr>
        <w:t>$178 million</w:t>
      </w:r>
      <w:r>
        <w:rPr>
          <w:caps w:val="false"/>
          <w:smallCaps w:val="false"/>
          <w:sz w:val="24"/>
        </w:rPr>
        <w:t xml:space="preserve"> </w:t>
      </w:r>
      <w:r>
        <w:rPr>
          <w:rFonts w:ascii="Times New Roman;serif" w:hAnsi="Times New Roman;serif"/>
          <w:b w:val="false"/>
          <w:i w:val="false"/>
          <w:caps w:val="false"/>
          <w:smallCaps w:val="false"/>
          <w:sz w:val="22"/>
        </w:rPr>
        <w:t xml:space="preserve">for the </w:t>
      </w:r>
      <w:r>
        <w:rPr>
          <w:rFonts w:ascii="Times New Roman;serif" w:hAnsi="Times New Roman;serif"/>
          <w:b w:val="false"/>
          <w:i w:val="false"/>
          <w:caps w:val="false"/>
          <w:smallCaps w:val="false"/>
          <w:strike w:val="false"/>
          <w:dstrike w:val="false"/>
          <w:sz w:val="22"/>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June 30, 2025</w:t>
      </w:r>
      <w:r>
        <w:rPr>
          <w:caps w:val="false"/>
          <w:smallCaps w:val="false"/>
          <w:sz w:val="24"/>
        </w:rPr>
        <w:t xml:space="preserve"> </w:t>
      </w:r>
      <w:r>
        <w:rPr>
          <w:rFonts w:ascii="Times New Roman;serif" w:hAnsi="Times New Roman;serif"/>
          <w:b w:val="false"/>
          <w:i w:val="false"/>
          <w:caps w:val="false"/>
          <w:smallCaps w:val="false"/>
          <w:sz w:val="22"/>
        </w:rPr>
        <w:t xml:space="preserve">(Predecessor) associated with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restructuring, transaction-related items and transformation initiatives. Our transformation initiatives are related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advancing our technology and operations, including the unification and evolution of systems and platforms,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migration to the cloud.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pPr>
      <w:r>
        <w:rPr>
          <w:rFonts w:ascii="Times New Roman;serif" w:hAnsi="Times New Roman;serif"/>
          <w:b w:val="false"/>
          <w:i/>
          <w:sz w:val="22"/>
        </w:rPr>
        <w:t>Investing Activities</w:t>
      </w:r>
      <w:r>
        <w:rPr>
          <w:caps w:val="false"/>
          <w:smallCaps w:val="false"/>
        </w:rPr>
        <w:t xml:space="preserve"> </w:t>
      </w:r>
    </w:p>
    <w:tbl>
      <w:tblPr>
        <w:tblW w:w="8001" w:type="dxa"/>
        <w:jc w:val="left"/>
        <w:tblInd w:w="0" w:type="dxa"/>
        <w:tblLayout w:type="fixed"/>
        <w:tblCellMar>
          <w:top w:w="28" w:type="dxa"/>
          <w:left w:w="28" w:type="dxa"/>
          <w:bottom w:w="28" w:type="dxa"/>
          <w:right w:w="28" w:type="dxa"/>
        </w:tblCellMar>
      </w:tblPr>
      <w:tblGrid>
        <w:gridCol w:w="3931"/>
        <w:gridCol w:w="150"/>
        <w:gridCol w:w="1095"/>
        <w:gridCol w:w="150"/>
        <w:gridCol w:w="109"/>
        <w:gridCol w:w="1126"/>
        <w:gridCol w:w="172"/>
        <w:gridCol w:w="1024"/>
        <w:gridCol w:w="244"/>
      </w:tblGrid>
      <w:tr>
        <w:trPr/>
        <w:tc>
          <w:tcPr>
            <w:tcW w:w="393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93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440"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r>
      <w:tr>
        <w:trPr/>
        <w:tc>
          <w:tcPr>
            <w:tcW w:w="39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393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Investments </w:t>
            </w:r>
          </w:p>
        </w:tc>
        <w:tc>
          <w:tcPr>
            <w:tcW w:w="15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$(172)</w:t>
            </w:r>
          </w:p>
        </w:tc>
        <w:tc>
          <w:tcPr>
            <w:tcW w:w="15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w:t>
            </w:r>
          </w:p>
        </w:tc>
        <w:tc>
          <w:tcPr>
            <w:tcW w:w="2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Capital expenditures </w:t>
            </w:r>
            <w:r>
              <w:rPr>
                <w:rFonts w:ascii="Times New Roman;serif" w:hAnsi="Times New Roman;serif"/>
                <w:b w:val="false"/>
                <w:i w:val="false"/>
                <w:caps w:val="false"/>
                <w:smallCaps w:val="false"/>
                <w:sz w:val="13"/>
              </w:rPr>
              <w:t>(a)</w:t>
            </w:r>
          </w:p>
        </w:tc>
        <w:tc>
          <w:tcPr>
            <w:tcW w:w="15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w:t>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w:t>
            </w:r>
          </w:p>
        </w:tc>
        <w:tc>
          <w:tcPr>
            <w:tcW w:w="244"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Advance consideration for WBD acquisition </w:t>
            </w:r>
            <w:r>
              <w:rPr>
                <w:rFonts w:ascii="Times New Roman;serif" w:hAnsi="Times New Roman;serif"/>
                <w:b w:val="false"/>
                <w:i w:val="false"/>
                <w:caps w:val="false"/>
                <w:smallCaps w:val="false"/>
                <w:sz w:val="13"/>
              </w:rPr>
              <w:t>(b)</w:t>
            </w:r>
          </w:p>
        </w:tc>
        <w:tc>
          <w:tcPr>
            <w:tcW w:w="15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(2,800)</w:t>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44"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Proceeds from dispositions </w:t>
            </w:r>
            <w:r>
              <w:rPr>
                <w:rFonts w:ascii="Times New Roman;serif" w:hAnsi="Times New Roman;serif"/>
                <w:b w:val="false"/>
                <w:i w:val="false"/>
                <w:caps w:val="false"/>
                <w:smallCaps w:val="false"/>
                <w:sz w:val="13"/>
              </w:rPr>
              <w:t>(c)</w:t>
            </w:r>
          </w:p>
        </w:tc>
        <w:tc>
          <w:tcPr>
            <w:tcW w:w="15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w:t>
            </w:r>
          </w:p>
        </w:tc>
        <w:tc>
          <w:tcPr>
            <w:tcW w:w="244" w:type="dxa"/>
            <w:tcBorders/>
            <w:vAlign w:val="center"/>
          </w:tcPr>
          <w:p>
            <w:pPr>
              <w:pStyle w:val="TableContents"/>
              <w:bidi w:val="0"/>
              <w:spacing w:before="0" w:after="283"/>
              <w:jc w:val="left"/>
              <w:rPr>
                <w:sz w:val="4"/>
                <w:szCs w:val="4"/>
              </w:rPr>
            </w:pPr>
            <w:r>
              <w:rPr>
                <w:sz w:val="4"/>
                <w:szCs w:val="4"/>
              </w:rPr>
            </w:r>
          </w:p>
        </w:tc>
      </w:tr>
      <w:tr>
        <w:trPr/>
        <w:tc>
          <w:tcPr>
            <w:tcW w:w="39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investing activities</w:t>
            </w:r>
          </w:p>
        </w:tc>
        <w:tc>
          <w:tcPr>
            <w:tcW w:w="15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5"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5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cash flow used for investing activities</w:t>
            </w:r>
          </w:p>
        </w:tc>
        <w:tc>
          <w:tcPr>
            <w:tcW w:w="15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$(3,115)</w:t>
            </w:r>
          </w:p>
        </w:tc>
        <w:tc>
          <w:tcPr>
            <w:tcW w:w="150"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w:t>
            </w:r>
          </w:p>
        </w:tc>
        <w:tc>
          <w:tcPr>
            <w:tcW w:w="24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(a) Includes payments associated with the implementation of our transformation initiatives of </w:t>
      </w:r>
      <w:r>
        <w:rPr>
          <w:rFonts w:ascii="Times New Roman;serif" w:hAnsi="Times New Roman;serif"/>
          <w:b w:val="false"/>
          <w:i w:val="false"/>
          <w:caps w:val="false"/>
          <w:smallCaps w:val="false"/>
          <w:strike w:val="false"/>
          <w:dstrike w:val="false"/>
          <w:sz w:val="18"/>
          <w:u w:val="none"/>
          <w:effect w:val="none"/>
        </w:rPr>
        <w:t>$33 million</w:t>
      </w:r>
      <w:r>
        <w:rPr>
          <w:caps w:val="false"/>
          <w:smallCaps w:val="false"/>
          <w:sz w:val="24"/>
        </w:rPr>
        <w:t xml:space="preserve"> </w:t>
      </w:r>
      <w:r>
        <w:rPr>
          <w:rFonts w:ascii="Times New Roman;serif" w:hAnsi="Times New Roman;serif"/>
          <w:b w:val="false"/>
          <w:i w:val="false"/>
          <w:caps w:val="false"/>
          <w:smallCaps w:val="false"/>
          <w:sz w:val="18"/>
        </w:rPr>
        <w:t xml:space="preserve">for the </w:t>
      </w:r>
      <w:r>
        <w:rPr>
          <w:rFonts w:ascii="Times New Roman;serif" w:hAnsi="Times New Roman;serif"/>
          <w:b w:val="false"/>
          <w:i w:val="false"/>
          <w:caps w:val="false"/>
          <w:smallCaps w:val="false"/>
          <w:strike w:val="false"/>
          <w:dstrike w:val="false"/>
          <w:sz w:val="18"/>
          <w:u w:val="none"/>
          <w:effect w:val="none"/>
        </w:rPr>
        <w:t xml:space="preserve">six </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18"/>
        </w:rPr>
        <w:t xml:space="preserve">(Successor) and </w:t>
      </w:r>
      <w:r>
        <w:rPr>
          <w:rFonts w:ascii="Times New Roman;serif" w:hAnsi="Times New Roman;serif"/>
          <w:b w:val="false"/>
          <w:i w:val="false"/>
          <w:caps w:val="false"/>
          <w:smallCaps w:val="false"/>
          <w:strike w:val="false"/>
          <w:dstrike w:val="false"/>
          <w:sz w:val="18"/>
          <w:u w:val="none"/>
          <w:effect w:val="none"/>
        </w:rPr>
        <w:t>$1 million</w:t>
      </w:r>
      <w:r>
        <w:rPr>
          <w:caps w:val="false"/>
          <w:smallCaps w:val="false"/>
          <w:sz w:val="24"/>
        </w:rPr>
        <w:t xml:space="preserve"> </w:t>
      </w:r>
      <w:r>
        <w:rPr>
          <w:rFonts w:ascii="Times New Roman;serif" w:hAnsi="Times New Roman;serif"/>
          <w:b w:val="false"/>
          <w:i w:val="false"/>
          <w:caps w:val="false"/>
          <w:smallCaps w:val="false"/>
          <w:sz w:val="18"/>
        </w:rPr>
        <w:t xml:space="preserve">for the </w:t>
      </w:r>
      <w:r>
        <w:rPr>
          <w:rFonts w:ascii="Times New Roman;serif" w:hAnsi="Times New Roman;serif"/>
          <w:b w:val="false"/>
          <w:i w:val="false"/>
          <w:caps w:val="false"/>
          <w:smallCaps w:val="false"/>
          <w:strike w:val="false"/>
          <w:dstrike w:val="false"/>
          <w:sz w:val="18"/>
          <w:u w:val="none"/>
          <w:effect w:val="none"/>
        </w:rPr>
        <w:t>six months ended</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June 30, 2025</w:t>
      </w:r>
      <w:r>
        <w:rPr>
          <w:caps w:val="false"/>
          <w:smallCaps w:val="false"/>
          <w:sz w:val="24"/>
        </w:rPr>
        <w:t xml:space="preserve"> </w:t>
      </w:r>
      <w:r>
        <w:rPr>
          <w:rFonts w:ascii="Times New Roman;serif" w:hAnsi="Times New Roman;serif"/>
          <w:b w:val="false"/>
          <w:i w:val="false"/>
          <w:caps w:val="false"/>
          <w:smallCaps w:val="false"/>
          <w:sz w:val="18"/>
        </w:rPr>
        <w:t>(Predecessor).</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(b) Reflects the termination fee paid to Netflix, on behalf of WBD (See Note </w:t>
      </w:r>
      <w:r>
        <w:rPr>
          <w:rFonts w:ascii="Times New Roman;serif" w:hAnsi="Times New Roman;serif"/>
          <w:b w:val="false"/>
          <w:i w:val="false"/>
          <w:caps w:val="false"/>
          <w:smallCaps w:val="false"/>
          <w:strike w:val="false"/>
          <w:dstrike w:val="false"/>
          <w:sz w:val="18"/>
          <w:u w:val="none"/>
          <w:effect w:val="none"/>
        </w:rPr>
        <w:t>15</w:t>
      </w:r>
      <w:r>
        <w:rPr>
          <w:caps w:val="false"/>
          <w:smallCaps w:val="false"/>
          <w:sz w:val="24"/>
        </w:rPr>
        <w:t xml:space="preserve"> </w:t>
      </w:r>
      <w:r>
        <w:rPr>
          <w:rFonts w:ascii="Times New Roman;serif" w:hAnsi="Times New Roman;serif"/>
          <w:b w:val="false"/>
          <w:i w:val="false"/>
          <w:caps w:val="false"/>
          <w:smallCaps w:val="false"/>
          <w:sz w:val="18"/>
        </w:rPr>
        <w:t xml:space="preserve">to the consolidated financial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statements).</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 2025 primarily reflects proceeds received from the disposition of a noncore business, and both periods include the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collection of receivables associated with the 2022 sale of a 37.5% interest in The CW.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 xml:space="preserve">Financing Activities </w:t>
      </w:r>
    </w:p>
    <w:tbl>
      <w:tblPr>
        <w:tblW w:w="9471" w:type="dxa"/>
        <w:jc w:val="left"/>
        <w:tblInd w:w="0" w:type="dxa"/>
        <w:tblLayout w:type="fixed"/>
        <w:tblCellMar>
          <w:top w:w="28" w:type="dxa"/>
          <w:left w:w="28" w:type="dxa"/>
          <w:bottom w:w="28" w:type="dxa"/>
          <w:right w:w="28" w:type="dxa"/>
        </w:tblCellMar>
      </w:tblPr>
      <w:tblGrid>
        <w:gridCol w:w="5401"/>
        <w:gridCol w:w="169"/>
        <w:gridCol w:w="1054"/>
        <w:gridCol w:w="172"/>
        <w:gridCol w:w="109"/>
        <w:gridCol w:w="1126"/>
        <w:gridCol w:w="172"/>
        <w:gridCol w:w="1024"/>
        <w:gridCol w:w="244"/>
      </w:tblGrid>
      <w:tr>
        <w:trPr/>
        <w:tc>
          <w:tcPr>
            <w:tcW w:w="54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40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Predecessor</w:t>
            </w:r>
          </w:p>
        </w:tc>
        <w:tc>
          <w:tcPr>
            <w:tcW w:w="1440"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tcBorders/>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r>
      <w:tr>
        <w:trPr/>
        <w:tc>
          <w:tcPr>
            <w:tcW w:w="54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54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Borrowings under credit facility</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$2,700</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2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Repayment of credit facility borrowings</w:t>
            </w:r>
          </w:p>
        </w:tc>
        <w:tc>
          <w:tcPr>
            <w:tcW w:w="16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w:t>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44" w:type="dxa"/>
            <w:tcBorders/>
            <w:vAlign w:val="center"/>
          </w:tcPr>
          <w:p>
            <w:pPr>
              <w:pStyle w:val="TableContents"/>
              <w:bidi w:val="0"/>
              <w:spacing w:before="0" w:after="283"/>
              <w:jc w:val="left"/>
              <w:rPr>
                <w:sz w:val="4"/>
                <w:szCs w:val="4"/>
              </w:rPr>
            </w:pPr>
            <w:r>
              <w:rPr>
                <w:sz w:val="4"/>
                <w:szCs w:val="4"/>
              </w:rPr>
            </w:r>
          </w:p>
        </w:tc>
      </w:tr>
      <w:tr>
        <w:trPr/>
        <w:tc>
          <w:tcPr>
            <w:tcW w:w="54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Repayment of notes and debentures</w:t>
            </w:r>
          </w:p>
        </w:tc>
        <w:tc>
          <w:tcPr>
            <w:tcW w:w="16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(347)</w:t>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44" w:type="dxa"/>
            <w:tcBorders/>
            <w:vAlign w:val="center"/>
          </w:tcPr>
          <w:p>
            <w:pPr>
              <w:pStyle w:val="TableContents"/>
              <w:bidi w:val="0"/>
              <w:spacing w:before="0" w:after="283"/>
              <w:jc w:val="left"/>
              <w:rPr>
                <w:sz w:val="4"/>
                <w:szCs w:val="4"/>
              </w:rPr>
            </w:pPr>
            <w:r>
              <w:rPr>
                <w:sz w:val="4"/>
                <w:szCs w:val="4"/>
              </w:rPr>
            </w:r>
          </w:p>
        </w:tc>
      </w:tr>
      <w:tr>
        <w:trPr/>
        <w:tc>
          <w:tcPr>
            <w:tcW w:w="54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Dividends paid on common stock</w:t>
            </w:r>
          </w:p>
        </w:tc>
        <w:tc>
          <w:tcPr>
            <w:tcW w:w="16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w:t>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244" w:type="dxa"/>
            <w:tcBorders/>
            <w:vAlign w:val="center"/>
          </w:tcPr>
          <w:p>
            <w:pPr>
              <w:pStyle w:val="TableContents"/>
              <w:bidi w:val="0"/>
              <w:spacing w:before="0" w:after="283"/>
              <w:jc w:val="left"/>
              <w:rPr>
                <w:sz w:val="4"/>
                <w:szCs w:val="4"/>
              </w:rPr>
            </w:pPr>
            <w:r>
              <w:rPr>
                <w:sz w:val="4"/>
                <w:szCs w:val="4"/>
              </w:rPr>
            </w:r>
          </w:p>
        </w:tc>
      </w:tr>
      <w:tr>
        <w:trPr/>
        <w:tc>
          <w:tcPr>
            <w:tcW w:w="54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Payment of payroll taxes in lieu of issuing shares for stock-based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compensation</w:t>
            </w:r>
          </w:p>
        </w:tc>
        <w:tc>
          <w:tcPr>
            <w:tcW w:w="16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c>
          <w:tcPr>
            <w:tcW w:w="244" w:type="dxa"/>
            <w:tcBorders/>
            <w:vAlign w:val="center"/>
          </w:tcPr>
          <w:p>
            <w:pPr>
              <w:pStyle w:val="TableContents"/>
              <w:bidi w:val="0"/>
              <w:spacing w:before="0" w:after="283"/>
              <w:jc w:val="left"/>
              <w:rPr>
                <w:sz w:val="4"/>
                <w:szCs w:val="4"/>
              </w:rPr>
            </w:pPr>
            <w:r>
              <w:rPr>
                <w:sz w:val="4"/>
                <w:szCs w:val="4"/>
              </w:rPr>
            </w:r>
          </w:p>
        </w:tc>
      </w:tr>
      <w:tr>
        <w:trPr/>
        <w:tc>
          <w:tcPr>
            <w:tcW w:w="54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Payments to noncontrolling interests</w:t>
            </w:r>
          </w:p>
        </w:tc>
        <w:tc>
          <w:tcPr>
            <w:tcW w:w="16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w:t>
            </w:r>
          </w:p>
        </w:tc>
        <w:tc>
          <w:tcPr>
            <w:tcW w:w="244" w:type="dxa"/>
            <w:tcBorders/>
            <w:vAlign w:val="center"/>
          </w:tcPr>
          <w:p>
            <w:pPr>
              <w:pStyle w:val="TableContents"/>
              <w:bidi w:val="0"/>
              <w:spacing w:before="0" w:after="283"/>
              <w:jc w:val="left"/>
              <w:rPr>
                <w:sz w:val="4"/>
                <w:szCs w:val="4"/>
              </w:rPr>
            </w:pPr>
            <w:r>
              <w:rPr>
                <w:sz w:val="4"/>
                <w:szCs w:val="4"/>
              </w:rPr>
            </w:r>
          </w:p>
        </w:tc>
      </w:tr>
      <w:tr>
        <w:trPr/>
        <w:tc>
          <w:tcPr>
            <w:tcW w:w="54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financing activities</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26"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cash flow provided by (used for) financing activities</w:t>
            </w:r>
          </w:p>
        </w:tc>
        <w:tc>
          <w:tcPr>
            <w:tcW w:w="16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$992</w:t>
            </w:r>
          </w:p>
        </w:tc>
        <w:tc>
          <w:tcPr>
            <w:tcW w:w="17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w:t>
            </w:r>
          </w:p>
        </w:tc>
        <w:tc>
          <w:tcPr>
            <w:tcW w:w="24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Common Stock Dividends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following table presents dividends declared per share and total dividends for Paramount Skydance Corporation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Class A and B Common Stock for the Successor period and Paramount Global’s Class A and Class B Common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Stock for the Predecessor period.</w:t>
      </w:r>
    </w:p>
    <w:tbl>
      <w:tblPr>
        <w:tblW w:w="9916" w:type="dxa"/>
        <w:jc w:val="left"/>
        <w:tblInd w:w="0" w:type="dxa"/>
        <w:tblLayout w:type="fixed"/>
        <w:tblCellMar>
          <w:top w:w="28" w:type="dxa"/>
          <w:left w:w="28" w:type="dxa"/>
          <w:bottom w:w="28" w:type="dxa"/>
          <w:right w:w="28" w:type="dxa"/>
        </w:tblCellMar>
      </w:tblPr>
      <w:tblGrid>
        <w:gridCol w:w="3211"/>
        <w:gridCol w:w="222"/>
        <w:gridCol w:w="858"/>
        <w:gridCol w:w="224"/>
        <w:gridCol w:w="109"/>
        <w:gridCol w:w="109"/>
        <w:gridCol w:w="221"/>
        <w:gridCol w:w="859"/>
        <w:gridCol w:w="224"/>
        <w:gridCol w:w="109"/>
        <w:gridCol w:w="190"/>
        <w:gridCol w:w="923"/>
        <w:gridCol w:w="192"/>
        <w:gridCol w:w="109"/>
        <w:gridCol w:w="1006"/>
        <w:gridCol w:w="201"/>
        <w:gridCol w:w="863"/>
        <w:gridCol w:w="286"/>
      </w:tblGrid>
      <w:tr>
        <w:trPr/>
        <w:tc>
          <w:tcPr>
            <w:tcW w:w="3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21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Successor</w:t>
            </w:r>
          </w:p>
        </w:tc>
        <w:tc>
          <w:tcPr>
            <w:tcW w:w="109" w:type="dxa"/>
            <w:tcBorders>
              <w:top w:val="single" w:sz="16"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left w:val="single" w:sz="12" w:space="0" w:color="000000"/>
              <w:bottom w:val="single" w:sz="8" w:space="0" w:color="000000"/>
            </w:tcBorders>
            <w:tcMar>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Predecessor</w:t>
            </w:r>
          </w:p>
        </w:tc>
        <w:tc>
          <w:tcPr>
            <w:tcW w:w="1350"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Three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Six Months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Ended June 30,</w:t>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9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3"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2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Class A and Class B Common Stock</w:t>
            </w:r>
          </w:p>
        </w:tc>
        <w:tc>
          <w:tcPr>
            <w:tcW w:w="2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Dividends declared per common share</w:t>
            </w:r>
          </w:p>
        </w:tc>
        <w:tc>
          <w:tcPr>
            <w:tcW w:w="2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286" w:type="dxa"/>
            <w:tcBorders/>
            <w:vAlign w:val="center"/>
          </w:tcPr>
          <w:p>
            <w:pPr>
              <w:pStyle w:val="TableContents"/>
              <w:bidi w:val="0"/>
              <w:spacing w:before="0" w:after="283"/>
              <w:jc w:val="left"/>
              <w:rPr>
                <w:sz w:val="4"/>
                <w:szCs w:val="4"/>
              </w:rPr>
            </w:pPr>
            <w:r>
              <w:rPr>
                <w:sz w:val="4"/>
                <w:szCs w:val="4"/>
              </w:rPr>
            </w:r>
          </w:p>
        </w:tc>
      </w:tr>
      <w:tr>
        <w:trPr/>
        <w:tc>
          <w:tcPr>
            <w:tcW w:w="3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common stock dividends</w:t>
            </w:r>
          </w:p>
        </w:tc>
        <w:tc>
          <w:tcPr>
            <w:tcW w:w="22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8"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w:t>
            </w:r>
          </w:p>
        </w:tc>
        <w:tc>
          <w:tcPr>
            <w:tcW w:w="22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9"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22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3"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w:t>
            </w:r>
          </w:p>
        </w:tc>
        <w:tc>
          <w:tcPr>
            <w:tcW w:w="192"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12"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1"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3" w:type="dxa"/>
            <w:tcBorders>
              <w:bottom w:val="single" w:sz="16"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28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Capital Structure</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sets forth our debt.</w:t>
      </w:r>
    </w:p>
    <w:tbl>
      <w:tblPr>
        <w:tblW w:w="6769" w:type="dxa"/>
        <w:jc w:val="left"/>
        <w:tblInd w:w="0" w:type="dxa"/>
        <w:tblLayout w:type="fixed"/>
        <w:tblCellMar>
          <w:top w:w="28" w:type="dxa"/>
          <w:left w:w="28" w:type="dxa"/>
          <w:bottom w:w="28" w:type="dxa"/>
          <w:right w:w="28" w:type="dxa"/>
        </w:tblCellMar>
      </w:tblPr>
      <w:tblGrid>
        <w:gridCol w:w="3616"/>
        <w:gridCol w:w="139"/>
        <w:gridCol w:w="997"/>
        <w:gridCol w:w="139"/>
        <w:gridCol w:w="109"/>
        <w:gridCol w:w="184"/>
        <w:gridCol w:w="1324"/>
        <w:gridCol w:w="261"/>
      </w:tblGrid>
      <w:tr>
        <w:trPr/>
        <w:tc>
          <w:tcPr>
            <w:tcW w:w="361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361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16" w:space="0" w:color="000000"/>
              <w:right w:val="single" w:sz="12" w:space="0" w:color="000000"/>
            </w:tcBorders>
            <w:tcMar>
              <w:left w:w="0" w:type="dxa"/>
              <w:bottom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At</w:t>
            </w:r>
          </w:p>
        </w:tc>
        <w:tc>
          <w:tcPr>
            <w:tcW w:w="109" w:type="dxa"/>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At</w:t>
            </w:r>
          </w:p>
        </w:tc>
      </w:tr>
      <w:tr>
        <w:trPr/>
        <w:tc>
          <w:tcPr>
            <w:tcW w:w="36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right w:val="single" w:sz="12" w:space="0" w:color="000000"/>
            </w:tcBorders>
            <w:tcMar>
              <w:top w:w="0" w:type="dxa"/>
              <w:lef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 2026</w:t>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December 31, 2025</w:t>
            </w:r>
          </w:p>
        </w:tc>
      </w:tr>
      <w:tr>
        <w:trPr/>
        <w:tc>
          <w:tcPr>
            <w:tcW w:w="361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Senior debt</w:t>
            </w:r>
          </w:p>
        </w:tc>
        <w:tc>
          <w:tcPr>
            <w:tcW w:w="1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$11,737</w:t>
            </w:r>
          </w:p>
        </w:tc>
        <w:tc>
          <w:tcPr>
            <w:tcW w:w="13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$12,038</w:t>
            </w:r>
          </w:p>
        </w:tc>
        <w:tc>
          <w:tcPr>
            <w:tcW w:w="2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Junior debt</w:t>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1,617</w:t>
            </w:r>
          </w:p>
        </w:tc>
        <w:tc>
          <w:tcPr>
            <w:tcW w:w="13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1,617</w:t>
            </w:r>
          </w:p>
        </w:tc>
        <w:tc>
          <w:tcPr>
            <w:tcW w:w="261" w:type="dxa"/>
            <w:tcBorders/>
            <w:vAlign w:val="center"/>
          </w:tcPr>
          <w:p>
            <w:pPr>
              <w:pStyle w:val="TableContents"/>
              <w:bidi w:val="0"/>
              <w:spacing w:before="0" w:after="283"/>
              <w:jc w:val="left"/>
              <w:rPr>
                <w:sz w:val="4"/>
                <w:szCs w:val="4"/>
              </w:rPr>
            </w:pPr>
            <w:r>
              <w:rPr>
                <w:sz w:val="4"/>
                <w:szCs w:val="4"/>
              </w:rPr>
            </w:r>
          </w:p>
        </w:tc>
      </w:tr>
      <w:tr>
        <w:trPr/>
        <w:tc>
          <w:tcPr>
            <w:tcW w:w="361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Borrowings under credit facility</w:t>
            </w:r>
          </w:p>
        </w:tc>
        <w:tc>
          <w:tcPr>
            <w:tcW w:w="1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1,800</w:t>
            </w:r>
          </w:p>
        </w:tc>
        <w:tc>
          <w:tcPr>
            <w:tcW w:w="139" w:type="dxa"/>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61" w:type="dxa"/>
            <w:tcBorders/>
            <w:vAlign w:val="center"/>
          </w:tcPr>
          <w:p>
            <w:pPr>
              <w:pStyle w:val="TableContents"/>
              <w:bidi w:val="0"/>
              <w:spacing w:before="0" w:after="283"/>
              <w:jc w:val="left"/>
              <w:rPr>
                <w:sz w:val="4"/>
                <w:szCs w:val="4"/>
              </w:rPr>
            </w:pPr>
            <w:r>
              <w:rPr>
                <w:sz w:val="4"/>
                <w:szCs w:val="4"/>
              </w:rPr>
            </w:r>
          </w:p>
        </w:tc>
      </w:tr>
      <w:tr>
        <w:trPr/>
        <w:tc>
          <w:tcPr>
            <w:tcW w:w="36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Obligations under finance leases</w:t>
            </w:r>
          </w:p>
        </w:tc>
        <w:tc>
          <w:tcPr>
            <w:tcW w:w="1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3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Total debt </w:t>
            </w:r>
            <w:r>
              <w:rPr>
                <w:rFonts w:ascii="Times New Roman;serif" w:hAnsi="Times New Roman;serif"/>
                <w:b w:val="false"/>
                <w:i w:val="false"/>
                <w:caps w:val="false"/>
                <w:smallCaps w:val="false"/>
                <w:sz w:val="13"/>
              </w:rPr>
              <w:t>(a)</w:t>
            </w:r>
          </w:p>
        </w:tc>
        <w:tc>
          <w:tcPr>
            <w:tcW w:w="1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15,156</w:t>
            </w:r>
          </w:p>
        </w:tc>
        <w:tc>
          <w:tcPr>
            <w:tcW w:w="139" w:type="dxa"/>
            <w:tcBorders>
              <w:top w:val="single" w:sz="8"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13,658</w:t>
            </w:r>
          </w:p>
        </w:tc>
        <w:tc>
          <w:tcPr>
            <w:tcW w:w="2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Less current portion </w:t>
            </w:r>
          </w:p>
        </w:tc>
        <w:tc>
          <w:tcPr>
            <w:tcW w:w="1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7"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665</w:t>
            </w:r>
          </w:p>
        </w:tc>
        <w:tc>
          <w:tcPr>
            <w:tcW w:w="139"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4"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433</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long-term debt, net of current portion</w:t>
            </w:r>
          </w:p>
        </w:tc>
        <w:tc>
          <w:tcPr>
            <w:tcW w:w="139"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7"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$14,491</w:t>
            </w:r>
          </w:p>
        </w:tc>
        <w:tc>
          <w:tcPr>
            <w:tcW w:w="139" w:type="dxa"/>
            <w:tcBorders>
              <w:top w:val="single" w:sz="8" w:space="0" w:color="000000"/>
              <w:bottom w:val="single" w:sz="16"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4" w:type="dxa"/>
            <w:tcBorders>
              <w:top w:val="single" w:sz="8" w:space="0" w:color="000000"/>
              <w:bottom w:val="single" w:sz="16"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$13,225</w:t>
            </w:r>
          </w:p>
        </w:tc>
        <w:tc>
          <w:tcPr>
            <w:tcW w:w="261" w:type="dxa"/>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(a)  At </w:t>
      </w:r>
      <w:r>
        <w:rPr>
          <w:rFonts w:ascii="Times New Roman;serif" w:hAnsi="Times New Roman;serif"/>
          <w:b w:val="false"/>
          <w:i w:val="false"/>
          <w:caps w:val="false"/>
          <w:smallCaps w:val="false"/>
          <w:strike w:val="false"/>
          <w:dstrike w:val="false"/>
          <w:sz w:val="18"/>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18"/>
        </w:rPr>
        <w:t xml:space="preserve">and </w:t>
      </w:r>
      <w:r>
        <w:rPr>
          <w:rFonts w:ascii="Times New Roman;serif" w:hAnsi="Times New Roman;serif"/>
          <w:b w:val="false"/>
          <w:i w:val="false"/>
          <w:caps w:val="false"/>
          <w:smallCaps w:val="false"/>
          <w:strike w:val="false"/>
          <w:dstrike w:val="false"/>
          <w:sz w:val="18"/>
          <w:u w:val="none"/>
          <w:effect w:val="none"/>
        </w:rPr>
        <w:t>December 31, 2025</w:t>
      </w:r>
      <w:r>
        <w:rPr>
          <w:rFonts w:ascii="Times New Roman;serif" w:hAnsi="Times New Roman;serif"/>
          <w:b w:val="false"/>
          <w:i w:val="false"/>
          <w:caps w:val="false"/>
          <w:smallCaps w:val="false"/>
          <w:sz w:val="18"/>
        </w:rPr>
        <w:t xml:space="preserve">, our total senior and junior debt was net of unamortized fair value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adjustments of  </w:t>
      </w:r>
      <w:r>
        <w:rPr>
          <w:rFonts w:ascii="Times New Roman;serif" w:hAnsi="Times New Roman;serif"/>
          <w:b w:val="false"/>
          <w:i w:val="false"/>
          <w:caps w:val="false"/>
          <w:smallCaps w:val="false"/>
          <w:strike w:val="false"/>
          <w:dstrike w:val="false"/>
          <w:sz w:val="18"/>
          <w:u w:val="none"/>
          <w:effect w:val="none"/>
        </w:rPr>
        <w:t>$1.28 billion</w:t>
      </w:r>
      <w:r>
        <w:rPr>
          <w:caps w:val="false"/>
          <w:smallCaps w:val="false"/>
          <w:sz w:val="24"/>
        </w:rPr>
        <w:t xml:space="preserve"> </w:t>
      </w:r>
      <w:r>
        <w:rPr>
          <w:rFonts w:ascii="Times New Roman;serif" w:hAnsi="Times New Roman;serif"/>
          <w:b w:val="false"/>
          <w:i w:val="false"/>
          <w:caps w:val="false"/>
          <w:smallCaps w:val="false"/>
          <w:sz w:val="18"/>
        </w:rPr>
        <w:t xml:space="preserve">and </w:t>
      </w:r>
      <w:r>
        <w:rPr>
          <w:rFonts w:ascii="Times New Roman;serif" w:hAnsi="Times New Roman;serif"/>
          <w:b w:val="false"/>
          <w:i w:val="false"/>
          <w:caps w:val="false"/>
          <w:smallCaps w:val="false"/>
          <w:strike w:val="false"/>
          <w:dstrike w:val="false"/>
          <w:sz w:val="18"/>
          <w:u w:val="none"/>
          <w:effect w:val="none"/>
        </w:rPr>
        <w:t>$1.32 billion</w:t>
      </w:r>
      <w:r>
        <w:rPr>
          <w:rFonts w:ascii="Times New Roman;serif" w:hAnsi="Times New Roman;serif"/>
          <w:b w:val="false"/>
          <w:i w:val="false"/>
          <w:caps w:val="false"/>
          <w:smallCaps w:val="false"/>
          <w:sz w:val="18"/>
        </w:rPr>
        <w:t xml:space="preserve">, respectively, recorded in connection with the pushdown of the Ultimate </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Parent’s basis (see Note </w:t>
      </w:r>
      <w:r>
        <w:rPr>
          <w:rFonts w:ascii="Times New Roman;serif" w:hAnsi="Times New Roman;serif"/>
          <w:b w:val="false"/>
          <w:i w:val="false"/>
          <w:caps w:val="false"/>
          <w:smallCaps w:val="false"/>
          <w:strike w:val="false"/>
          <w:dstrike w:val="false"/>
          <w:sz w:val="18"/>
          <w:u w:val="none"/>
          <w:effect w:val="none"/>
        </w:rPr>
        <w:t>2</w:t>
      </w:r>
      <w:r>
        <w:rPr>
          <w:caps w:val="false"/>
          <w:smallCaps w:val="false"/>
          <w:sz w:val="24"/>
        </w:rPr>
        <w:t xml:space="preserve"> </w:t>
      </w:r>
      <w:r>
        <w:rPr>
          <w:rFonts w:ascii="Times New Roman;serif" w:hAnsi="Times New Roman;serif"/>
          <w:b w:val="false"/>
          <w:i w:val="false"/>
          <w:caps w:val="false"/>
          <w:smallCaps w:val="false"/>
          <w:sz w:val="18"/>
        </w:rPr>
        <w:t xml:space="preserve">to the consolidated financial statements). The face value of our total debt at </w:t>
      </w:r>
      <w:r>
        <w:rPr>
          <w:rFonts w:ascii="Times New Roman;serif" w:hAnsi="Times New Roman;serif"/>
          <w:b w:val="false"/>
          <w:i w:val="false"/>
          <w:caps w:val="false"/>
          <w:smallCaps w:val="false"/>
          <w:strike w:val="false"/>
          <w:dstrike w:val="false"/>
          <w:sz w:val="18"/>
          <w:u w:val="none"/>
          <w:effect w:val="none"/>
        </w:rPr>
        <w:t>June 30, 2026</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8"/>
        </w:rPr>
        <w:t xml:space="preserve">and </w:t>
      </w:r>
      <w:r>
        <w:rPr>
          <w:rFonts w:ascii="Times New Roman;serif" w:hAnsi="Times New Roman;serif"/>
          <w:b w:val="false"/>
          <w:i w:val="false"/>
          <w:caps w:val="false"/>
          <w:smallCaps w:val="false"/>
          <w:strike w:val="false"/>
          <w:dstrike w:val="false"/>
          <w:sz w:val="18"/>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18"/>
        </w:rPr>
        <w:t xml:space="preserve">was </w:t>
      </w:r>
      <w:r>
        <w:rPr>
          <w:rFonts w:ascii="Times New Roman;serif" w:hAnsi="Times New Roman;serif"/>
          <w:b w:val="false"/>
          <w:i w:val="false"/>
          <w:caps w:val="false"/>
          <w:smallCaps w:val="false"/>
          <w:strike w:val="false"/>
          <w:dstrike w:val="false"/>
          <w:sz w:val="18"/>
          <w:u w:val="none"/>
          <w:effect w:val="none"/>
        </w:rPr>
        <w:t>$16.43 billion</w:t>
      </w:r>
      <w:r>
        <w:rPr>
          <w:caps w:val="false"/>
          <w:smallCaps w:val="false"/>
          <w:sz w:val="24"/>
        </w:rPr>
        <w:t xml:space="preserve"> </w:t>
      </w:r>
      <w:r>
        <w:rPr>
          <w:rFonts w:ascii="Times New Roman;serif" w:hAnsi="Times New Roman;serif"/>
          <w:b w:val="false"/>
          <w:i w:val="false"/>
          <w:caps w:val="false"/>
          <w:smallCaps w:val="false"/>
          <w:sz w:val="18"/>
        </w:rPr>
        <w:t xml:space="preserve">(including credit facility borrowings discussed below) and </w:t>
      </w:r>
      <w:r>
        <w:rPr>
          <w:rFonts w:ascii="Times New Roman;serif" w:hAnsi="Times New Roman;serif"/>
          <w:b w:val="false"/>
          <w:i w:val="false"/>
          <w:caps w:val="false"/>
          <w:smallCaps w:val="false"/>
          <w:strike w:val="false"/>
          <w:dstrike w:val="false"/>
          <w:sz w:val="18"/>
          <w:u w:val="none"/>
          <w:effect w:val="none"/>
        </w:rPr>
        <w:t>$14.98 billion</w:t>
      </w:r>
      <w:r>
        <w:rPr>
          <w:rFonts w:ascii="Times New Roman;serif" w:hAnsi="Times New Roman;serif"/>
          <w:b w:val="false"/>
          <w:i w:val="false"/>
          <w:caps w:val="false"/>
          <w:smallCaps w:val="false"/>
          <w:sz w:val="20"/>
        </w:rPr>
        <w:t xml:space="preserv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respectively.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Senior Debt</w:t>
      </w:r>
    </w:p>
    <w:p>
      <w:pPr>
        <w:pStyle w:val="TextBody"/>
        <w:bidi w:val="0"/>
        <w:spacing w:lineRule="atLeast" w:line="220" w:before="0" w:after="0"/>
        <w:jc w:val="both"/>
        <w:rPr>
          <w:sz w:val="24"/>
          <w:u w:val="single"/>
        </w:rPr>
      </w:pPr>
      <w:r>
        <w:rPr>
          <w:rFonts w:ascii="Times New Roman;serif" w:hAnsi="Times New Roman;serif"/>
          <w:b w:val="false"/>
          <w:i w:val="false"/>
          <w:caps w:val="false"/>
          <w:smallCaps w:val="false"/>
          <w:sz w:val="22"/>
          <w:u w:val="single"/>
        </w:rPr>
        <w:t xml:space="preserve">At </w:t>
      </w:r>
      <w:r>
        <w:rPr>
          <w:rFonts w:ascii="Times New Roman;serif" w:hAnsi="Times New Roman;serif"/>
          <w:b w:val="false"/>
          <w:i w:val="false"/>
          <w:caps w:val="false"/>
          <w:smallCaps w:val="false"/>
          <w:strike w:val="false"/>
          <w:dstrike w:val="false"/>
          <w:sz w:val="22"/>
          <w:u w:val="none"/>
          <w:effect w:val="none"/>
        </w:rPr>
        <w:t>June 30, 2026</w:t>
      </w:r>
      <w:r>
        <w:rPr>
          <w:rFonts w:ascii="Times New Roman;serif" w:hAnsi="Times New Roman;serif"/>
          <w:b w:val="false"/>
          <w:i w:val="false"/>
          <w:caps w:val="false"/>
          <w:smallCaps w:val="false"/>
          <w:sz w:val="22"/>
          <w:u w:val="single"/>
        </w:rPr>
        <w:t>, our senior debt was comprised of senior notes and debentures due between 2026 and 2050 with</w:t>
      </w:r>
      <w:r>
        <w:rPr>
          <w:caps w:val="false"/>
          <w:smallCaps w:val="false"/>
          <w:sz w:val="24"/>
          <w:u w:val="single"/>
        </w:rPr>
        <w:t xml:space="preserve"> </w:t>
      </w:r>
    </w:p>
    <w:p>
      <w:pPr>
        <w:pStyle w:val="TextBody"/>
        <w:bidi w:val="0"/>
        <w:spacing w:lineRule="atLeast" w:line="220" w:before="0" w:after="0"/>
        <w:jc w:val="both"/>
        <w:rPr>
          <w:sz w:val="24"/>
          <w:u w:val="single"/>
        </w:rPr>
      </w:pPr>
      <w:r>
        <w:rPr>
          <w:rFonts w:ascii="Times New Roman;serif" w:hAnsi="Times New Roman;serif"/>
          <w:b w:val="false"/>
          <w:i w:val="false"/>
          <w:caps w:val="false"/>
          <w:smallCaps w:val="false"/>
          <w:sz w:val="22"/>
          <w:u w:val="single"/>
        </w:rPr>
        <w:t xml:space="preserve">interest rates ranging from </w:t>
      </w:r>
      <w:r>
        <w:rPr>
          <w:rFonts w:ascii="Times New Roman;serif" w:hAnsi="Times New Roman;serif"/>
          <w:b w:val="false"/>
          <w:i w:val="false"/>
          <w:caps w:val="false"/>
          <w:smallCaps w:val="false"/>
          <w:strike w:val="false"/>
          <w:dstrike w:val="false"/>
          <w:sz w:val="22"/>
          <w:u w:val="none"/>
          <w:effect w:val="none"/>
        </w:rPr>
        <w:t>2.90%</w:t>
      </w:r>
      <w:r>
        <w:rPr>
          <w:caps w:val="false"/>
          <w:smallCaps w:val="false"/>
          <w:sz w:val="24"/>
          <w:u w:val="single"/>
        </w:rPr>
        <w:t xml:space="preserve"> </w:t>
      </w:r>
      <w:r>
        <w:rPr>
          <w:rFonts w:ascii="Times New Roman;serif" w:hAnsi="Times New Roman;serif"/>
          <w:b w:val="false"/>
          <w:i w:val="false"/>
          <w:caps w:val="false"/>
          <w:smallCaps w:val="false"/>
          <w:sz w:val="22"/>
          <w:u w:val="single"/>
        </w:rPr>
        <w:t xml:space="preserve">to </w:t>
      </w:r>
      <w:r>
        <w:rPr>
          <w:rFonts w:ascii="Times New Roman;serif" w:hAnsi="Times New Roman;serif"/>
          <w:b w:val="false"/>
          <w:i w:val="false"/>
          <w:caps w:val="false"/>
          <w:smallCaps w:val="false"/>
          <w:strike w:val="false"/>
          <w:dstrike w:val="false"/>
          <w:sz w:val="22"/>
          <w:u w:val="none"/>
          <w:effect w:val="none"/>
        </w:rPr>
        <w:t>7.875%</w:t>
      </w:r>
      <w:r>
        <w:rPr>
          <w:rFonts w:ascii="Times New Roman;serif" w:hAnsi="Times New Roman;serif"/>
          <w:b w:val="false"/>
          <w:i w:val="false"/>
          <w:caps w:val="false"/>
          <w:smallCaps w:val="false"/>
          <w:sz w:val="22"/>
          <w:u w:val="single"/>
        </w:rPr>
        <w:t>.</w:t>
      </w:r>
      <w:r>
        <w:rPr>
          <w:caps w:val="false"/>
          <w:smallCaps w:val="false"/>
          <w:sz w:val="24"/>
          <w:u w:val="single"/>
        </w:rPr>
        <w:t xml:space="preserve"> </w:t>
      </w:r>
    </w:p>
    <w:p>
      <w:pPr>
        <w:pStyle w:val="TextBody"/>
        <w:bidi w:val="0"/>
        <w:spacing w:lineRule="atLeast" w:line="220" w:before="0" w:after="0"/>
        <w:jc w:val="both"/>
        <w:rPr>
          <w:sz w:val="24"/>
          <w:u w:val="single"/>
        </w:rPr>
      </w:pPr>
      <w:r>
        <w:rPr>
          <w:rFonts w:ascii="Times New Roman;serif" w:hAnsi="Times New Roman;serif"/>
          <w:b w:val="false"/>
          <w:i w:val="false"/>
          <w:caps w:val="false"/>
          <w:smallCaps w:val="false"/>
          <w:sz w:val="22"/>
          <w:u w:val="single"/>
        </w:rPr>
        <w:t xml:space="preserve">In January 2026, we repaid our </w:t>
      </w:r>
      <w:r>
        <w:rPr>
          <w:rFonts w:ascii="Times New Roman;serif" w:hAnsi="Times New Roman;serif"/>
          <w:b w:val="false"/>
          <w:i w:val="false"/>
          <w:caps w:val="false"/>
          <w:smallCaps w:val="false"/>
          <w:strike w:val="false"/>
          <w:dstrike w:val="false"/>
          <w:sz w:val="22"/>
          <w:u w:val="none"/>
          <w:effect w:val="none"/>
        </w:rPr>
        <w:t>$347 million</w:t>
      </w:r>
      <w:r>
        <w:rPr>
          <w:caps w:val="false"/>
          <w:smallCaps w:val="false"/>
          <w:sz w:val="24"/>
          <w:u w:val="single"/>
        </w:rPr>
        <w:t xml:space="preserve"> </w:t>
      </w:r>
      <w:r>
        <w:rPr>
          <w:rFonts w:ascii="Times New Roman;serif" w:hAnsi="Times New Roman;serif"/>
          <w:b w:val="false"/>
          <w:i w:val="false"/>
          <w:caps w:val="false"/>
          <w:smallCaps w:val="false"/>
          <w:sz w:val="22"/>
          <w:u w:val="single"/>
        </w:rPr>
        <w:t xml:space="preserve">of </w:t>
      </w:r>
      <w:r>
        <w:rPr>
          <w:rFonts w:ascii="Times New Roman;serif" w:hAnsi="Times New Roman;serif"/>
          <w:b w:val="false"/>
          <w:i w:val="false"/>
          <w:caps w:val="false"/>
          <w:smallCaps w:val="false"/>
          <w:strike w:val="false"/>
          <w:dstrike w:val="false"/>
          <w:sz w:val="22"/>
          <w:u w:val="none"/>
          <w:effect w:val="none"/>
        </w:rPr>
        <w:t>4.0%</w:t>
      </w:r>
      <w:r>
        <w:rPr>
          <w:caps w:val="false"/>
          <w:smallCaps w:val="false"/>
          <w:sz w:val="24"/>
          <w:u w:val="single"/>
        </w:rPr>
        <w:t xml:space="preserve"> </w:t>
      </w:r>
      <w:r>
        <w:rPr>
          <w:rFonts w:ascii="Times New Roman;serif" w:hAnsi="Times New Roman;serif"/>
          <w:b w:val="false"/>
          <w:i w:val="false"/>
          <w:caps w:val="false"/>
          <w:smallCaps w:val="false"/>
          <w:sz w:val="22"/>
          <w:u w:val="single"/>
        </w:rPr>
        <w:t>senior notes at maturity.</w:t>
      </w:r>
    </w:p>
    <w:p>
      <w:pPr>
        <w:pStyle w:val="TextBody"/>
        <w:bidi w:val="0"/>
        <w:spacing w:lineRule="atLeast" w:line="220" w:before="0" w:after="0"/>
        <w:jc w:val="both"/>
        <w:rPr>
          <w:rFonts w:ascii="Times New Roman;serif" w:hAnsi="Times New Roman;serif"/>
          <w:b w:val="false"/>
          <w:i/>
          <w:sz w:val="22"/>
          <w:u w:val="single"/>
        </w:rPr>
      </w:pPr>
      <w:r>
        <w:rPr>
          <w:rFonts w:ascii="Times New Roman;serif" w:hAnsi="Times New Roman;serif"/>
          <w:b w:val="false"/>
          <w:i/>
          <w:sz w:val="22"/>
          <w:u w:val="single"/>
        </w:rPr>
        <w:t>Junior Debt</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At </w:t>
      </w:r>
      <w:r>
        <w:rPr>
          <w:rFonts w:ascii="Times New Roman;serif" w:hAnsi="Times New Roman;serif"/>
          <w:b w:val="false"/>
          <w:i w:val="false"/>
          <w:caps w:val="false"/>
          <w:smallCaps w:val="false"/>
          <w:strike w:val="false"/>
          <w:dstrike w:val="false"/>
          <w:sz w:val="22"/>
          <w:u w:val="none"/>
          <w:effect w:val="none"/>
        </w:rPr>
        <w:t>June 30, 2026</w:t>
      </w:r>
      <w:r>
        <w:rPr>
          <w:rFonts w:ascii="Times New Roman;serif" w:hAnsi="Times New Roman;serif"/>
          <w:b w:val="false"/>
          <w:i w:val="false"/>
          <w:caps w:val="false"/>
          <w:smallCaps w:val="false"/>
          <w:sz w:val="22"/>
        </w:rPr>
        <w:t xml:space="preserve">, our junior debt was comprised of </w:t>
      </w:r>
      <w:r>
        <w:rPr>
          <w:rFonts w:ascii="Times New Roman;serif" w:hAnsi="Times New Roman;serif"/>
          <w:b w:val="false"/>
          <w:i w:val="false"/>
          <w:caps w:val="false"/>
          <w:smallCaps w:val="false"/>
          <w:strike w:val="false"/>
          <w:dstrike w:val="false"/>
          <w:sz w:val="22"/>
          <w:u w:val="none"/>
          <w:effect w:val="none"/>
        </w:rPr>
        <w:t>$628 million</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6.25%</w:t>
      </w:r>
      <w:r>
        <w:rPr>
          <w:caps w:val="false"/>
          <w:smallCaps w:val="false"/>
          <w:sz w:val="24"/>
        </w:rPr>
        <w:t xml:space="preserve"> </w:t>
      </w:r>
      <w:r>
        <w:rPr>
          <w:rFonts w:ascii="Times New Roman;serif" w:hAnsi="Times New Roman;serif"/>
          <w:b w:val="false"/>
          <w:i w:val="false"/>
          <w:caps w:val="false"/>
          <w:smallCaps w:val="false"/>
          <w:sz w:val="22"/>
        </w:rPr>
        <w:t xml:space="preserve">junior subordinated debentures due </w:t>
      </w:r>
      <w:r>
        <w:rPr>
          <w:rFonts w:ascii="Times New Roman;serif" w:hAnsi="Times New Roman;serif"/>
          <w:b w:val="false"/>
          <w:i w:val="false"/>
          <w:caps w:val="false"/>
          <w:smallCaps w:val="false"/>
          <w:strike w:val="false"/>
          <w:dstrike w:val="false"/>
          <w:sz w:val="22"/>
          <w:u w:val="none"/>
          <w:effect w:val="none"/>
        </w:rPr>
        <w:t>2057</w:t>
      </w:r>
      <w:r>
        <w:rPr>
          <w:caps w:val="false"/>
          <w:smallCaps w:val="false"/>
          <w:sz w:val="24"/>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and </w:t>
      </w:r>
      <w:r>
        <w:rPr>
          <w:rFonts w:ascii="Times New Roman;serif" w:hAnsi="Times New Roman;serif"/>
          <w:b w:val="false"/>
          <w:i w:val="false"/>
          <w:caps w:val="false"/>
          <w:smallCaps w:val="false"/>
          <w:strike w:val="false"/>
          <w:dstrike w:val="false"/>
          <w:sz w:val="22"/>
          <w:u w:val="none"/>
          <w:effect w:val="none"/>
        </w:rPr>
        <w:t>$989 million</w:t>
      </w:r>
      <w:r>
        <w:rPr>
          <w:caps w:val="false"/>
          <w:smallCaps w:val="false"/>
          <w:sz w:val="24"/>
        </w:rPr>
        <w:t xml:space="preserve"> </w:t>
      </w:r>
      <w:r>
        <w:rPr>
          <w:rFonts w:ascii="Times New Roman;serif" w:hAnsi="Times New Roman;serif"/>
          <w:b w:val="false"/>
          <w:i w:val="false"/>
          <w:caps w:val="false"/>
          <w:smallCaps w:val="false"/>
          <w:strike w:val="false"/>
          <w:dstrike w:val="false"/>
          <w:sz w:val="22"/>
          <w:u w:val="none"/>
          <w:effect w:val="none"/>
        </w:rPr>
        <w:t>6.375%</w:t>
      </w:r>
      <w:r>
        <w:rPr>
          <w:caps w:val="false"/>
          <w:smallCaps w:val="false"/>
          <w:sz w:val="24"/>
        </w:rPr>
        <w:t xml:space="preserve"> </w:t>
      </w:r>
      <w:r>
        <w:rPr>
          <w:rFonts w:ascii="Times New Roman;serif" w:hAnsi="Times New Roman;serif"/>
          <w:b w:val="false"/>
          <w:i w:val="false"/>
          <w:caps w:val="false"/>
          <w:smallCaps w:val="false"/>
          <w:sz w:val="22"/>
        </w:rPr>
        <w:t xml:space="preserve">junior subordinated debentures due 2062. The subordination and extended term, as well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as an interest deferral option of our junior subordinated debentures, provide significant credit protection measures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for senior creditors and, as a result of these features, the debentures received a 50% equity credit by Standard &amp;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Poor’s Rating Services, Fitch Ratings Inc., and Moody’s Investors Service, Inc.</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 xml:space="preserve">Supplemental Guarantor Financial Information </w:t>
      </w:r>
    </w:p>
    <w:p>
      <w:pPr>
        <w:pStyle w:val="TextBody"/>
        <w:bidi w:val="0"/>
        <w:spacing w:lineRule="atLeast" w:line="220" w:before="0" w:after="0"/>
        <w:jc w:val="both"/>
        <w:rPr>
          <w:u w:val="single"/>
        </w:rPr>
      </w:pPr>
      <w:r>
        <w:rPr>
          <w:rFonts w:ascii="Times New Roman;serif" w:hAnsi="Times New Roman;serif"/>
          <w:b w:val="false"/>
          <w:i w:val="false"/>
          <w:caps w:val="false"/>
          <w:smallCaps w:val="false"/>
          <w:sz w:val="22"/>
          <w:u w:val="single"/>
        </w:rPr>
        <w:t>Paramount Global is a 100% owned subsidiary of Paramount Skydance Corporation. Upon the closing of the</w:t>
      </w:r>
      <w:r>
        <w:rPr>
          <w:caps w:val="false"/>
          <w:smallCaps w:val="false"/>
          <w:u w:val="single"/>
        </w:rPr>
        <w:t xml:space="preserve"> </w:t>
      </w:r>
    </w:p>
    <w:p>
      <w:pPr>
        <w:pStyle w:val="TextBody"/>
        <w:bidi w:val="0"/>
        <w:spacing w:lineRule="atLeast" w:line="220" w:before="0" w:after="0"/>
        <w:jc w:val="both"/>
        <w:rPr>
          <w:u w:val="single"/>
        </w:rPr>
      </w:pPr>
      <w:r>
        <w:rPr>
          <w:rFonts w:ascii="Times New Roman;serif" w:hAnsi="Times New Roman;serif"/>
          <w:b w:val="false"/>
          <w:i w:val="false"/>
          <w:caps w:val="false"/>
          <w:smallCaps w:val="false"/>
          <w:sz w:val="22"/>
          <w:u w:val="single"/>
        </w:rPr>
        <w:t>Skydance Transactions, Paramount Skydance Corporation provided a full and unconditional parent guarantee of</w:t>
      </w:r>
      <w:r>
        <w:rPr>
          <w:caps w:val="false"/>
          <w:smallCaps w:val="false"/>
          <w:u w:val="single"/>
        </w:rPr>
        <w:t xml:space="preserve"> </w:t>
      </w:r>
    </w:p>
    <w:p>
      <w:pPr>
        <w:pStyle w:val="TextBody"/>
        <w:bidi w:val="0"/>
        <w:spacing w:lineRule="atLeast" w:line="220" w:before="0" w:after="0"/>
        <w:jc w:val="both"/>
        <w:rPr>
          <w:u w:val="single"/>
        </w:rPr>
      </w:pPr>
      <w:r>
        <w:rPr>
          <w:rFonts w:ascii="Times New Roman;serif" w:hAnsi="Times New Roman;serif"/>
          <w:b w:val="false"/>
          <w:i w:val="false"/>
          <w:caps w:val="false"/>
          <w:smallCaps w:val="false"/>
          <w:sz w:val="22"/>
          <w:u w:val="single"/>
        </w:rPr>
        <w:t>Paramount Global’s senior and junior debt. None of Paramount Skydance Corporation’s other subsidiaries are</w:t>
      </w:r>
      <w:r>
        <w:rPr>
          <w:caps w:val="false"/>
          <w:smallCaps w:val="false"/>
          <w:u w:val="single"/>
        </w:rPr>
        <w:t xml:space="preserve"> </w:t>
      </w:r>
    </w:p>
    <w:p>
      <w:pPr>
        <w:pStyle w:val="TextBody"/>
        <w:bidi w:val="0"/>
        <w:spacing w:lineRule="atLeast" w:line="220" w:before="0" w:after="0"/>
        <w:jc w:val="both"/>
        <w:rPr>
          <w:rFonts w:ascii="Times New Roman;serif" w:hAnsi="Times New Roman;serif"/>
          <w:b w:val="false"/>
          <w:i w:val="false"/>
          <w:caps w:val="false"/>
          <w:smallCaps w:val="false"/>
          <w:sz w:val="22"/>
          <w:u w:val="single"/>
        </w:rPr>
      </w:pPr>
      <w:r>
        <w:rPr>
          <w:rFonts w:ascii="Times New Roman;serif" w:hAnsi="Times New Roman;serif"/>
          <w:b w:val="false"/>
          <w:i w:val="false"/>
          <w:caps w:val="false"/>
          <w:smallCaps w:val="false"/>
          <w:sz w:val="22"/>
          <w:u w:val="single"/>
        </w:rPr>
        <w:t>guarantors of Paramount Global’s debt.</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tables below present combined summarized financial information for Paramount Skydance Corporation,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parent guarantor, and Paramount Global, the issuer (jointly the “Obligor Group”) as standalone companies after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elimination of intercompany transactions and balances, and do not include nonguarantor and nonissuer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subsidiaries. This summarized financial information has been prepared and presented pursuant to the Securities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Exchange Commission Regulation S-X Rule 13-01, “Financial Disclosures about Guarantors and Issuers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Guaranteed Securities” and is not intended to present the financial position or results of operations of the Obligor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Group in accordance with U.S. GAAP.</w:t>
      </w:r>
    </w:p>
    <w:tbl>
      <w:tblPr>
        <w:tblW w:w="4699" w:type="dxa"/>
        <w:jc w:val="left"/>
        <w:tblInd w:w="0" w:type="dxa"/>
        <w:tblLayout w:type="fixed"/>
        <w:tblCellMar>
          <w:top w:w="28" w:type="dxa"/>
          <w:left w:w="28" w:type="dxa"/>
          <w:bottom w:w="28" w:type="dxa"/>
          <w:right w:w="28" w:type="dxa"/>
        </w:tblCellMar>
      </w:tblPr>
      <w:tblGrid>
        <w:gridCol w:w="1891"/>
        <w:gridCol w:w="176"/>
        <w:gridCol w:w="1043"/>
        <w:gridCol w:w="176"/>
        <w:gridCol w:w="109"/>
        <w:gridCol w:w="167"/>
        <w:gridCol w:w="900"/>
        <w:gridCol w:w="237"/>
      </w:tblGrid>
      <w:tr>
        <w:trPr/>
        <w:tc>
          <w:tcPr>
            <w:tcW w:w="18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699"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Summarized Statement of Operations</w:t>
            </w:r>
          </w:p>
        </w:tc>
      </w:tr>
      <w:tr>
        <w:trPr/>
        <w:tc>
          <w:tcPr>
            <w:tcW w:w="18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Ended June 30,</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Period From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August 7, -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December 31,</w:t>
            </w:r>
          </w:p>
        </w:tc>
      </w:tr>
      <w:tr>
        <w:trPr/>
        <w:tc>
          <w:tcPr>
            <w:tcW w:w="18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loss</w:t>
            </w:r>
          </w:p>
        </w:tc>
        <w:tc>
          <w:tcPr>
            <w:tcW w:w="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w:t>
            </w:r>
          </w:p>
        </w:tc>
        <w:tc>
          <w:tcPr>
            <w:tcW w:w="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w:t>
            </w:r>
          </w:p>
        </w:tc>
        <w:tc>
          <w:tcPr>
            <w:tcW w:w="23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expense, net</w:t>
            </w:r>
          </w:p>
        </w:tc>
        <w:tc>
          <w:tcPr>
            <w:tcW w:w="17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$(473)</w:t>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$(306)</w:t>
            </w:r>
          </w:p>
        </w:tc>
        <w:tc>
          <w:tcPr>
            <w:tcW w:w="237"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Intercompany interest</w:t>
            </w:r>
          </w:p>
        </w:tc>
        <w:tc>
          <w:tcPr>
            <w:tcW w:w="17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$(158)</w:t>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w:t>
            </w:r>
          </w:p>
        </w:tc>
        <w:tc>
          <w:tcPr>
            <w:tcW w:w="237"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loss</w:t>
            </w:r>
          </w:p>
        </w:tc>
        <w:tc>
          <w:tcPr>
            <w:tcW w:w="17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$(878)</w:t>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$(546)</w:t>
            </w:r>
          </w:p>
        </w:tc>
        <w:tc>
          <w:tcPr>
            <w:tcW w:w="237"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485" w:type="dxa"/>
        <w:jc w:val="left"/>
        <w:tblInd w:w="0" w:type="dxa"/>
        <w:tblLayout w:type="fixed"/>
        <w:tblCellMar>
          <w:top w:w="28" w:type="dxa"/>
          <w:left w:w="28" w:type="dxa"/>
          <w:bottom w:w="28" w:type="dxa"/>
          <w:right w:w="28" w:type="dxa"/>
        </w:tblCellMar>
      </w:tblPr>
      <w:tblGrid>
        <w:gridCol w:w="3631"/>
        <w:gridCol w:w="126"/>
        <w:gridCol w:w="903"/>
        <w:gridCol w:w="126"/>
        <w:gridCol w:w="109"/>
        <w:gridCol w:w="166"/>
        <w:gridCol w:w="1190"/>
        <w:gridCol w:w="234"/>
      </w:tblGrid>
      <w:tr>
        <w:trPr/>
        <w:tc>
          <w:tcPr>
            <w:tcW w:w="36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6485" w:type="dxa"/>
            <w:gridSpan w:val="8"/>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Summarized Balance Sheets</w:t>
            </w:r>
          </w:p>
        </w:tc>
      </w:tr>
      <w:tr>
        <w:trPr/>
        <w:tc>
          <w:tcPr>
            <w:tcW w:w="36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At</w:t>
            </w:r>
          </w:p>
        </w:tc>
        <w:tc>
          <w:tcPr>
            <w:tcW w:w="23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 2026</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December 31, 2025</w:t>
            </w:r>
          </w:p>
        </w:tc>
      </w:tr>
      <w:tr>
        <w:trPr/>
        <w:tc>
          <w:tcPr>
            <w:tcW w:w="363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Current assets</w:t>
            </w:r>
          </w:p>
        </w:tc>
        <w:tc>
          <w:tcPr>
            <w:tcW w:w="1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$398</w:t>
            </w:r>
          </w:p>
        </w:tc>
        <w:tc>
          <w:tcPr>
            <w:tcW w:w="1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$1,350</w:t>
            </w:r>
          </w:p>
        </w:tc>
        <w:tc>
          <w:tcPr>
            <w:tcW w:w="23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Noncurrent assets</w:t>
            </w:r>
          </w:p>
        </w:tc>
        <w:tc>
          <w:tcPr>
            <w:tcW w:w="1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w:t>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$293</w:t>
            </w:r>
          </w:p>
        </w:tc>
        <w:tc>
          <w:tcPr>
            <w:tcW w:w="234" w:type="dxa"/>
            <w:tcBorders/>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Debt, current</w:t>
            </w:r>
          </w:p>
        </w:tc>
        <w:tc>
          <w:tcPr>
            <w:tcW w:w="1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$664</w:t>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$432</w:t>
            </w:r>
          </w:p>
        </w:tc>
        <w:tc>
          <w:tcPr>
            <w:tcW w:w="234" w:type="dxa"/>
            <w:tcBorders/>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Current liabilities</w:t>
            </w:r>
          </w:p>
        </w:tc>
        <w:tc>
          <w:tcPr>
            <w:tcW w:w="1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$791</w:t>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$664</w:t>
            </w:r>
          </w:p>
        </w:tc>
        <w:tc>
          <w:tcPr>
            <w:tcW w:w="234" w:type="dxa"/>
            <w:tcBorders/>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Long-term debt</w:t>
            </w:r>
          </w:p>
        </w:tc>
        <w:tc>
          <w:tcPr>
            <w:tcW w:w="1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$14,490</w:t>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$13,223</w:t>
            </w:r>
          </w:p>
        </w:tc>
        <w:tc>
          <w:tcPr>
            <w:tcW w:w="234" w:type="dxa"/>
            <w:tcBorders/>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Noncurrent liabilities</w:t>
            </w:r>
          </w:p>
        </w:tc>
        <w:tc>
          <w:tcPr>
            <w:tcW w:w="1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$2,182</w:t>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$2,222</w:t>
            </w:r>
          </w:p>
        </w:tc>
        <w:tc>
          <w:tcPr>
            <w:tcW w:w="234" w:type="dxa"/>
            <w:tcBorders/>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Notes payable to nonguarantor subsidiaries</w:t>
            </w:r>
          </w:p>
        </w:tc>
        <w:tc>
          <w:tcPr>
            <w:tcW w:w="1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$1,690</w:t>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$975</w:t>
            </w:r>
          </w:p>
        </w:tc>
        <w:tc>
          <w:tcPr>
            <w:tcW w:w="234"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0"/>
        <w:jc w:val="both"/>
        <w:rPr>
          <w:u w:val="single"/>
        </w:rPr>
      </w:pPr>
      <w:r>
        <w:rPr>
          <w:rFonts w:ascii="Times New Roman;serif" w:hAnsi="Times New Roman;serif"/>
          <w:b w:val="false"/>
          <w:i/>
          <w:sz w:val="22"/>
          <w:u w:val="single"/>
        </w:rPr>
        <w:t>Commercial Paper</w:t>
      </w:r>
      <w:r>
        <w:rPr>
          <w:u w:val="singl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At both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and </w:t>
      </w:r>
      <w:r>
        <w:rPr>
          <w:rFonts w:ascii="Times New Roman;serif" w:hAnsi="Times New Roman;serif"/>
          <w:b w:val="false"/>
          <w:i w:val="false"/>
          <w:caps w:val="false"/>
          <w:smallCaps w:val="false"/>
          <w:strike w:val="false"/>
          <w:dstrike w:val="false"/>
          <w:sz w:val="22"/>
          <w:u w:val="none"/>
          <w:effect w:val="none"/>
        </w:rPr>
        <w:t>December 31, 2025</w:t>
      </w:r>
      <w:r>
        <w:rPr>
          <w:rFonts w:ascii="Times New Roman;serif" w:hAnsi="Times New Roman;serif"/>
          <w:b w:val="false"/>
          <w:i w:val="false"/>
          <w:caps w:val="false"/>
          <w:smallCaps w:val="false"/>
          <w:sz w:val="22"/>
        </w:rPr>
        <w:t xml:space="preserve">, we had </w:t>
      </w:r>
      <w:r>
        <w:rPr>
          <w:rFonts w:ascii="Times New Roman;serif" w:hAnsi="Times New Roman;serif"/>
          <w:b w:val="false"/>
          <w:i w:val="false"/>
          <w:caps w:val="false"/>
          <w:smallCaps w:val="false"/>
          <w:strike w:val="false"/>
          <w:dstrike w:val="false"/>
          <w:sz w:val="22"/>
          <w:u w:val="none"/>
          <w:effect w:val="none"/>
        </w:rPr>
        <w:t>no</w:t>
      </w:r>
      <w:r>
        <w:rPr>
          <w:caps w:val="false"/>
          <w:smallCaps w:val="false"/>
          <w:sz w:val="24"/>
        </w:rPr>
        <w:t xml:space="preserve"> </w:t>
      </w:r>
      <w:r>
        <w:rPr>
          <w:rFonts w:ascii="Times New Roman;serif" w:hAnsi="Times New Roman;serif"/>
          <w:b w:val="false"/>
          <w:i w:val="false"/>
          <w:caps w:val="false"/>
          <w:smallCaps w:val="false"/>
          <w:sz w:val="22"/>
        </w:rPr>
        <w:t>outstanding commercial paper borrowings.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Credit Facility</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April 2026, we entered into an amendment to our revolving credit facility (the “Credit Facility”), increasing the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commitments from </w:t>
      </w:r>
      <w:r>
        <w:rPr>
          <w:rFonts w:ascii="Times New Roman;serif" w:hAnsi="Times New Roman;serif"/>
          <w:b w:val="false"/>
          <w:i w:val="false"/>
          <w:caps w:val="false"/>
          <w:smallCaps w:val="false"/>
          <w:strike w:val="false"/>
          <w:dstrike w:val="false"/>
          <w:sz w:val="22"/>
          <w:u w:val="none"/>
          <w:effect w:val="none"/>
        </w:rPr>
        <w:t>$3.50 billion</w:t>
      </w:r>
      <w:r>
        <w:rPr>
          <w:caps w:val="false"/>
          <w:smallCaps w:val="false"/>
          <w:sz w:val="24"/>
        </w:rPr>
        <w:t xml:space="preserve"> </w:t>
      </w:r>
      <w:r>
        <w:rPr>
          <w:rFonts w:ascii="Times New Roman;serif" w:hAnsi="Times New Roman;serif"/>
          <w:b w:val="false"/>
          <w:i w:val="false"/>
          <w:caps w:val="false"/>
          <w:smallCaps w:val="false"/>
          <w:sz w:val="22"/>
        </w:rPr>
        <w:t xml:space="preserve">to $5.00 billion, which will be reduced to </w:t>
      </w:r>
      <w:r>
        <w:rPr>
          <w:rFonts w:ascii="Times New Roman;serif" w:hAnsi="Times New Roman;serif"/>
          <w:b w:val="false"/>
          <w:i w:val="false"/>
          <w:caps w:val="false"/>
          <w:smallCaps w:val="false"/>
          <w:strike w:val="false"/>
          <w:dstrike w:val="false"/>
          <w:sz w:val="22"/>
          <w:u w:val="none"/>
          <w:effect w:val="none"/>
        </w:rPr>
        <w:t>$4.94 billion</w:t>
      </w:r>
      <w:r>
        <w:rPr>
          <w:caps w:val="false"/>
          <w:smallCaps w:val="false"/>
          <w:sz w:val="24"/>
        </w:rPr>
        <w:t xml:space="preserve"> </w:t>
      </w:r>
      <w:r>
        <w:rPr>
          <w:rFonts w:ascii="Times New Roman;serif" w:hAnsi="Times New Roman;serif"/>
          <w:b w:val="false"/>
          <w:i w:val="false"/>
          <w:caps w:val="false"/>
          <w:smallCaps w:val="false"/>
          <w:sz w:val="22"/>
        </w:rPr>
        <w:t xml:space="preserve">in </w:t>
      </w:r>
      <w:r>
        <w:rPr>
          <w:rFonts w:ascii="Times New Roman;serif" w:hAnsi="Times New Roman;serif"/>
          <w:b w:val="false"/>
          <w:i w:val="false"/>
          <w:caps w:val="false"/>
          <w:smallCaps w:val="false"/>
          <w:strike w:val="false"/>
          <w:dstrike w:val="false"/>
          <w:sz w:val="22"/>
          <w:u w:val="none"/>
          <w:effect w:val="none"/>
        </w:rPr>
        <w:t>January 2027</w:t>
      </w:r>
      <w:r>
        <w:rPr>
          <w:caps w:val="false"/>
          <w:smallCaps w:val="false"/>
          <w:sz w:val="24"/>
        </w:rPr>
        <w:t xml:space="preserve"> </w:t>
      </w:r>
      <w:r>
        <w:rPr>
          <w:rFonts w:ascii="Times New Roman;serif" w:hAnsi="Times New Roman;serif"/>
          <w:b w:val="false"/>
          <w:i w:val="false"/>
          <w:caps w:val="false"/>
          <w:smallCaps w:val="false"/>
          <w:sz w:val="22"/>
        </w:rPr>
        <w:t xml:space="preserve">through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maturity in January 2028. The Credit Facility is used for general corporate purposes and to support commercial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paper borrowings, if any. We may, at our option, also borrow in certain foreign currencies up to specified limits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under the Credit Facility. Borrowing rates under the Credit Facility are determined at the time of each borrowing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and are generally based on either the prime rate in the U.S. or an applicable benchmark rate plus a margin (based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on our senior unsecured debt rating), depending on the type and tenor of the loans entered into. The benchmark rate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for loans denominated in U.S. dollars is Term SOFR, and for loans denominated in euros, sterling and yen is based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on EURIBOR, SONIA and TIBOR, respectively. In the first quarter of 2026, in connection with the </w:t>
      </w:r>
      <w:r>
        <w:rPr>
          <w:rFonts w:ascii="Times New Roman;serif" w:hAnsi="Times New Roman;serif"/>
          <w:b w:val="false"/>
          <w:i w:val="false"/>
          <w:caps w:val="false"/>
          <w:smallCaps w:val="false"/>
          <w:strike w:val="false"/>
          <w:dstrike w:val="false"/>
          <w:sz w:val="22"/>
          <w:u w:val="none"/>
          <w:effect w:val="none"/>
        </w:rPr>
        <w:t>$2.8 billion</w:t>
      </w:r>
      <w:r>
        <w:rPr>
          <w:caps w:val="false"/>
          <w:smallCaps w:val="false"/>
          <w:sz w:val="24"/>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termination fee paid to Netflix, we borrowed </w:t>
      </w:r>
      <w:r>
        <w:rPr>
          <w:rFonts w:ascii="Times New Roman;serif" w:hAnsi="Times New Roman;serif"/>
          <w:b w:val="false"/>
          <w:i w:val="false"/>
          <w:caps w:val="false"/>
          <w:smallCaps w:val="false"/>
          <w:strike w:val="false"/>
          <w:dstrike w:val="false"/>
          <w:sz w:val="22"/>
          <w:u w:val="none"/>
          <w:effect w:val="none"/>
        </w:rPr>
        <w:t>$2.15 billion</w:t>
      </w:r>
      <w:r>
        <w:rPr>
          <w:caps w:val="false"/>
          <w:smallCaps w:val="false"/>
          <w:sz w:val="24"/>
        </w:rPr>
        <w:t xml:space="preserve"> </w:t>
      </w:r>
      <w:r>
        <w:rPr>
          <w:rFonts w:ascii="Times New Roman;serif" w:hAnsi="Times New Roman;serif"/>
          <w:b w:val="false"/>
          <w:i w:val="false"/>
          <w:caps w:val="false"/>
          <w:smallCaps w:val="false"/>
          <w:sz w:val="22"/>
        </w:rPr>
        <w:t xml:space="preserve">under the Credit Facility. As of </w:t>
      </w:r>
      <w:r>
        <w:rPr>
          <w:rFonts w:ascii="Times New Roman;serif" w:hAnsi="Times New Roman;serif"/>
          <w:b w:val="false"/>
          <w:i w:val="false"/>
          <w:caps w:val="false"/>
          <w:smallCaps w:val="false"/>
          <w:strike w:val="false"/>
          <w:dstrike w:val="false"/>
          <w:sz w:val="22"/>
          <w:u w:val="none"/>
          <w:effect w:val="none"/>
        </w:rPr>
        <w:t>June 30, 2026</w:t>
      </w:r>
      <w:r>
        <w:rPr>
          <w:rFonts w:ascii="Times New Roman;serif" w:hAnsi="Times New Roman;serif"/>
          <w:b w:val="false"/>
          <w:i w:val="false"/>
          <w:caps w:val="false"/>
          <w:smallCaps w:val="false"/>
          <w:sz w:val="22"/>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outstanding borrowings under the Credit Facility totaled </w:t>
      </w:r>
      <w:r>
        <w:rPr>
          <w:rFonts w:ascii="Times New Roman;serif" w:hAnsi="Times New Roman;serif"/>
          <w:b w:val="false"/>
          <w:i w:val="false"/>
          <w:caps w:val="false"/>
          <w:smallCaps w:val="false"/>
          <w:strike w:val="false"/>
          <w:dstrike w:val="false"/>
          <w:sz w:val="22"/>
          <w:u w:val="none"/>
          <w:effect w:val="none"/>
        </w:rPr>
        <w:t>$1.8 billion</w:t>
      </w:r>
      <w:r>
        <w:rPr>
          <w:caps w:val="false"/>
          <w:smallCaps w:val="false"/>
          <w:sz w:val="24"/>
        </w:rPr>
        <w:t xml:space="preserve"> </w:t>
      </w:r>
      <w:r>
        <w:rPr>
          <w:rFonts w:ascii="Times New Roman;serif" w:hAnsi="Times New Roman;serif"/>
          <w:b w:val="false"/>
          <w:i w:val="false"/>
          <w:caps w:val="false"/>
          <w:smallCaps w:val="false"/>
          <w:sz w:val="22"/>
        </w:rPr>
        <w:t xml:space="preserve">at a weighted average interest rate of </w:t>
      </w:r>
      <w:r>
        <w:rPr>
          <w:rFonts w:ascii="Times New Roman;serif" w:hAnsi="Times New Roman;serif"/>
          <w:b w:val="false"/>
          <w:i w:val="false"/>
          <w:caps w:val="false"/>
          <w:smallCaps w:val="false"/>
          <w:strike w:val="false"/>
          <w:dstrike w:val="false"/>
          <w:sz w:val="22"/>
          <w:u w:val="none"/>
          <w:effect w:val="none"/>
        </w:rPr>
        <w:t>6.13%</w:t>
      </w:r>
      <w:r>
        <w:rPr>
          <w:rFonts w:ascii="Times New Roman;serif" w:hAnsi="Times New Roman;serif"/>
          <w:b w:val="false"/>
          <w:i w:val="false"/>
          <w:caps w:val="false"/>
          <w:smallCaps w:val="false"/>
          <w:sz w:val="22"/>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The remaining availability under the Credit Facility at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was </w:t>
      </w:r>
      <w:r>
        <w:rPr>
          <w:rFonts w:ascii="Times New Roman;serif" w:hAnsi="Times New Roman;serif"/>
          <w:b w:val="false"/>
          <w:i w:val="false"/>
          <w:caps w:val="false"/>
          <w:smallCaps w:val="false"/>
          <w:strike w:val="false"/>
          <w:dstrike w:val="false"/>
          <w:sz w:val="22"/>
          <w:u w:val="none"/>
          <w:effect w:val="none"/>
        </w:rPr>
        <w:t>$3.2 billion</w:t>
      </w:r>
      <w:r>
        <w:rPr>
          <w:rFonts w:ascii="Times New Roman;serif" w:hAnsi="Times New Roman;serif"/>
          <w:b w:val="false"/>
          <w:i w:val="false"/>
          <w:caps w:val="false"/>
          <w:smallCaps w:val="false"/>
          <w:sz w:val="22"/>
        </w:rPr>
        <w:t xml:space="preserve">. At August 3, 2026,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outstanding borrowings under the Credit Facility totaled </w:t>
      </w:r>
      <w:r>
        <w:rPr>
          <w:rFonts w:ascii="Times New Roman;serif" w:hAnsi="Times New Roman;serif"/>
          <w:b w:val="false"/>
          <w:i w:val="false"/>
          <w:caps w:val="false"/>
          <w:smallCaps w:val="false"/>
          <w:strike w:val="false"/>
          <w:dstrike w:val="false"/>
          <w:sz w:val="22"/>
          <w:u w:val="none"/>
          <w:effect w:val="none"/>
        </w:rPr>
        <w:t>$1.75 billion</w:t>
      </w:r>
      <w:r>
        <w:rPr>
          <w:caps w:val="false"/>
          <w:smallCaps w:val="false"/>
          <w:sz w:val="24"/>
        </w:rPr>
        <w:t xml:space="preserve"> </w:t>
      </w:r>
      <w:r>
        <w:rPr>
          <w:rFonts w:ascii="Times New Roman;serif" w:hAnsi="Times New Roman;serif"/>
          <w:b w:val="false"/>
          <w:i w:val="false"/>
          <w:caps w:val="false"/>
          <w:smallCaps w:val="false"/>
          <w:sz w:val="22"/>
        </w:rPr>
        <w:t xml:space="preserve">at a weighted average interest rate of </w:t>
      </w:r>
      <w:r>
        <w:rPr>
          <w:rFonts w:ascii="Times New Roman;serif" w:hAnsi="Times New Roman;serif"/>
          <w:b w:val="false"/>
          <w:i w:val="false"/>
          <w:caps w:val="false"/>
          <w:smallCaps w:val="false"/>
          <w:strike w:val="false"/>
          <w:dstrike w:val="false"/>
          <w:sz w:val="22"/>
          <w:u w:val="none"/>
          <w:effect w:val="none"/>
        </w:rPr>
        <w:t>6.13%</w:t>
      </w:r>
      <w:r>
        <w:rPr>
          <w:rFonts w:ascii="Times New Roman;serif" w:hAnsi="Times New Roman;serif"/>
          <w:b w:val="false"/>
          <w:i w:val="false"/>
          <w:caps w:val="false"/>
          <w:smallCaps w:val="false"/>
          <w:sz w:val="22"/>
        </w:rPr>
        <w:t xml:space="preserv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Credit facility borrowings outstanding at the closing of the WBD Merger are expected to be repaid with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funding from the private placement described in Note 1 to the consolidated financial statements.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Credit Facility has one principal financial covenant which sets a maximum Consolidated Total Leverage Ratio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(“Leverage Ratio”) at the end of each quarter. The maximum Leverage Ratio was </w:t>
      </w:r>
      <w:r>
        <w:rPr>
          <w:rFonts w:ascii="Times New Roman;serif" w:hAnsi="Times New Roman;serif"/>
          <w:b w:val="false"/>
          <w:i w:val="false"/>
          <w:caps w:val="false"/>
          <w:smallCaps w:val="false"/>
          <w:strike w:val="false"/>
          <w:dstrike w:val="false"/>
          <w:sz w:val="22"/>
          <w:u w:val="none"/>
          <w:effect w:val="none"/>
        </w:rPr>
        <w:t>4.50</w:t>
      </w:r>
      <w:r>
        <w:rPr>
          <w:rFonts w:ascii="Times New Roman;serif" w:hAnsi="Times New Roman;serif"/>
          <w:b w:val="false"/>
          <w:i w:val="false"/>
          <w:caps w:val="false"/>
          <w:smallCaps w:val="false"/>
          <w:sz w:val="22"/>
        </w:rPr>
        <w:t xml:space="preserve">x for the quarter ended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and will remain at this level until maturity. The Leverage Ratio reflects the ratio of our Consolidated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Indebtedness, net of a maximum of </w:t>
      </w:r>
      <w:r>
        <w:rPr>
          <w:rFonts w:ascii="Times New Roman;serif" w:hAnsi="Times New Roman;serif"/>
          <w:b w:val="false"/>
          <w:i w:val="false"/>
          <w:caps w:val="false"/>
          <w:smallCaps w:val="false"/>
          <w:strike w:val="false"/>
          <w:dstrike w:val="false"/>
          <w:sz w:val="22"/>
          <w:u w:val="none"/>
          <w:effect w:val="none"/>
        </w:rPr>
        <w:t>$3.0 billion</w:t>
      </w:r>
      <w:r>
        <w:rPr>
          <w:caps w:val="false"/>
          <w:smallCaps w:val="false"/>
          <w:sz w:val="24"/>
        </w:rPr>
        <w:t xml:space="preserve"> </w:t>
      </w:r>
      <w:r>
        <w:rPr>
          <w:rFonts w:ascii="Times New Roman;serif" w:hAnsi="Times New Roman;serif"/>
          <w:b w:val="false"/>
          <w:i w:val="false"/>
          <w:caps w:val="false"/>
          <w:smallCaps w:val="false"/>
          <w:sz w:val="22"/>
        </w:rPr>
        <w:t xml:space="preserve">of unrestricted cash and cash equivalents at the end of a quarter,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Consolidated EBITDA (each as defined in the credit agreement) for the trailing twelve-month period. We met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the covenant as of </w:t>
      </w:r>
      <w:r>
        <w:rPr>
          <w:rFonts w:ascii="Times New Roman;serif" w:hAnsi="Times New Roman;serif"/>
          <w:b w:val="false"/>
          <w:i w:val="false"/>
          <w:caps w:val="false"/>
          <w:smallCaps w:val="false"/>
          <w:strike w:val="false"/>
          <w:dstrike w:val="false"/>
          <w:sz w:val="22"/>
          <w:u w:val="none"/>
          <w:effect w:val="none"/>
        </w:rPr>
        <w:t>June 30, 2026</w:t>
      </w:r>
      <w:r>
        <w:rPr>
          <w:rFonts w:ascii="Times New Roman;serif" w:hAnsi="Times New Roman;serif"/>
          <w:b w:val="false"/>
          <w:i w:val="false"/>
          <w:caps w:val="false"/>
          <w:smallCaps w:val="false"/>
          <w:sz w:val="22"/>
        </w:rPr>
        <w:t xml:space="preserve">.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Other Bank Borrowings</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At both </w:t>
      </w:r>
      <w:r>
        <w:rPr>
          <w:rFonts w:ascii="Times New Roman;serif" w:hAnsi="Times New Roman;serif"/>
          <w:b w:val="false"/>
          <w:i w:val="false"/>
          <w:caps w:val="false"/>
          <w:smallCaps w:val="false"/>
          <w:strike w:val="false"/>
          <w:dstrike w:val="false"/>
          <w:sz w:val="22"/>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2"/>
        </w:rPr>
        <w:t xml:space="preserve">and </w:t>
      </w:r>
      <w:r>
        <w:rPr>
          <w:rFonts w:ascii="Times New Roman;serif" w:hAnsi="Times New Roman;serif"/>
          <w:b w:val="false"/>
          <w:i w:val="false"/>
          <w:caps w:val="false"/>
          <w:smallCaps w:val="false"/>
          <w:strike w:val="false"/>
          <w:dstrike w:val="false"/>
          <w:sz w:val="22"/>
          <w:u w:val="none"/>
          <w:effect w:val="none"/>
        </w:rPr>
        <w:t>December 31, 2025</w:t>
      </w:r>
      <w:r>
        <w:rPr>
          <w:rFonts w:ascii="Times New Roman;serif" w:hAnsi="Times New Roman;serif"/>
          <w:b w:val="false"/>
          <w:i w:val="false"/>
          <w:caps w:val="false"/>
          <w:smallCaps w:val="false"/>
          <w:sz w:val="22"/>
        </w:rPr>
        <w:t xml:space="preserve">, there were </w:t>
      </w:r>
      <w:r>
        <w:rPr>
          <w:rFonts w:ascii="Times New Roman;serif" w:hAnsi="Times New Roman;serif"/>
          <w:b w:val="false"/>
          <w:i w:val="false"/>
          <w:caps w:val="false"/>
          <w:smallCaps w:val="false"/>
          <w:strike w:val="false"/>
          <w:dstrike w:val="false"/>
          <w:sz w:val="22"/>
          <w:u w:val="none"/>
          <w:effect w:val="none"/>
        </w:rPr>
        <w:t>no</w:t>
      </w:r>
      <w:r>
        <w:rPr>
          <w:caps w:val="false"/>
          <w:smallCaps w:val="false"/>
          <w:sz w:val="24"/>
        </w:rPr>
        <w:t xml:space="preserve"> </w:t>
      </w:r>
      <w:r>
        <w:rPr>
          <w:rFonts w:ascii="Times New Roman;serif" w:hAnsi="Times New Roman;serif"/>
          <w:b w:val="false"/>
          <w:i w:val="false"/>
          <w:caps w:val="false"/>
          <w:smallCaps w:val="false"/>
          <w:sz w:val="22"/>
        </w:rPr>
        <w:t xml:space="preserve">outstanding bank borrowings under Miramax’s </w:t>
      </w:r>
      <w:r>
        <w:rPr>
          <w:rFonts w:ascii="Times New Roman;serif" w:hAnsi="Times New Roman;serif"/>
          <w:b w:val="false"/>
          <w:i w:val="false"/>
          <w:caps w:val="false"/>
          <w:smallCaps w:val="false"/>
          <w:strike w:val="false"/>
          <w:dstrike w:val="false"/>
          <w:sz w:val="22"/>
          <w:u w:val="none"/>
          <w:effect w:val="none"/>
        </w:rPr>
        <w:t xml:space="preserve">$50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2"/>
          <w:u w:val="none"/>
          <w:effect w:val="none"/>
        </w:rPr>
        <w:t>million</w:t>
      </w:r>
      <w:r>
        <w:rPr>
          <w:caps w:val="false"/>
          <w:smallCaps w:val="false"/>
          <w:sz w:val="24"/>
        </w:rPr>
        <w:t xml:space="preserve"> </w:t>
      </w:r>
      <w:r>
        <w:rPr>
          <w:rFonts w:ascii="Times New Roman;serif" w:hAnsi="Times New Roman;serif"/>
          <w:b w:val="false"/>
          <w:i w:val="false"/>
          <w:caps w:val="false"/>
          <w:smallCaps w:val="false"/>
          <w:sz w:val="22"/>
        </w:rPr>
        <w:t>credit facility that matures in November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Guarantees</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Letters of Credit and Surety Bonds</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At </w:t>
      </w:r>
      <w:r>
        <w:rPr>
          <w:rFonts w:ascii="Times New Roman;serif" w:hAnsi="Times New Roman;serif"/>
          <w:b w:val="false"/>
          <w:i w:val="false"/>
          <w:caps w:val="false"/>
          <w:smallCaps w:val="false"/>
          <w:strike w:val="false"/>
          <w:dstrike w:val="false"/>
          <w:sz w:val="22"/>
          <w:u w:val="none"/>
          <w:effect w:val="none"/>
        </w:rPr>
        <w:t>June 30, 2026</w:t>
      </w:r>
      <w:r>
        <w:rPr>
          <w:rFonts w:ascii="Times New Roman;serif" w:hAnsi="Times New Roman;serif"/>
          <w:b w:val="false"/>
          <w:i w:val="false"/>
          <w:caps w:val="false"/>
          <w:smallCaps w:val="false"/>
          <w:sz w:val="22"/>
        </w:rPr>
        <w:t xml:space="preserve">, we had outstanding letters of credit and surety bonds of </w:t>
      </w:r>
      <w:r>
        <w:rPr>
          <w:rFonts w:ascii="Times New Roman;serif" w:hAnsi="Times New Roman;serif"/>
          <w:b w:val="false"/>
          <w:i w:val="false"/>
          <w:caps w:val="false"/>
          <w:smallCaps w:val="false"/>
          <w:strike w:val="false"/>
          <w:dstrike w:val="false"/>
          <w:sz w:val="22"/>
          <w:u w:val="none"/>
          <w:effect w:val="none"/>
        </w:rPr>
        <w:t>$1.24 billion</w:t>
      </w:r>
      <w:r>
        <w:rPr>
          <w:caps w:val="false"/>
          <w:smallCaps w:val="false"/>
          <w:sz w:val="24"/>
        </w:rPr>
        <w:t xml:space="preserve"> </w:t>
      </w:r>
      <w:r>
        <w:rPr>
          <w:rFonts w:ascii="Times New Roman;serif" w:hAnsi="Times New Roman;serif"/>
          <w:b w:val="false"/>
          <w:i w:val="false"/>
          <w:caps w:val="false"/>
          <w:smallCaps w:val="false"/>
          <w:sz w:val="22"/>
        </w:rPr>
        <w:t xml:space="preserve">that were not recorded on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the Consolidated Balance Sheet, including </w:t>
      </w:r>
      <w:r>
        <w:rPr>
          <w:rFonts w:ascii="Times New Roman;serif" w:hAnsi="Times New Roman;serif"/>
          <w:b w:val="false"/>
          <w:i w:val="false"/>
          <w:caps w:val="false"/>
          <w:smallCaps w:val="false"/>
          <w:strike w:val="false"/>
          <w:dstrike w:val="false"/>
          <w:sz w:val="22"/>
          <w:u w:val="none"/>
          <w:effect w:val="none"/>
        </w:rPr>
        <w:t>$998 million</w:t>
      </w:r>
      <w:r>
        <w:rPr>
          <w:caps w:val="false"/>
          <w:smallCaps w:val="false"/>
          <w:sz w:val="24"/>
        </w:rPr>
        <w:t xml:space="preserve"> </w:t>
      </w:r>
      <w:r>
        <w:rPr>
          <w:rFonts w:ascii="Times New Roman;serif" w:hAnsi="Times New Roman;serif"/>
          <w:b w:val="false"/>
          <w:i w:val="false"/>
          <w:caps w:val="false"/>
          <w:smallCaps w:val="false"/>
          <w:sz w:val="22"/>
        </w:rPr>
        <w:t xml:space="preserve">issued under a </w:t>
      </w:r>
      <w:r>
        <w:rPr>
          <w:rFonts w:ascii="Times New Roman;serif" w:hAnsi="Times New Roman;serif"/>
          <w:b w:val="false"/>
          <w:i w:val="false"/>
          <w:caps w:val="false"/>
          <w:smallCaps w:val="false"/>
          <w:strike w:val="false"/>
          <w:dstrike w:val="false"/>
          <w:sz w:val="22"/>
          <w:u w:val="none"/>
          <w:effect w:val="none"/>
        </w:rPr>
        <w:t>$1.9 billion</w:t>
      </w:r>
      <w:r>
        <w:rPr>
          <w:caps w:val="false"/>
          <w:smallCaps w:val="false"/>
          <w:sz w:val="24"/>
        </w:rPr>
        <w:t xml:space="preserve"> </w:t>
      </w:r>
      <w:r>
        <w:rPr>
          <w:rFonts w:ascii="Times New Roman;serif" w:hAnsi="Times New Roman;serif"/>
          <w:b w:val="false"/>
          <w:i w:val="false"/>
          <w:caps w:val="false"/>
          <w:smallCaps w:val="false"/>
          <w:sz w:val="22"/>
        </w:rPr>
        <w:t xml:space="preserve">standby letter of credit facility.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accordance with the contractual requirements of one of our commitments, the letter of credit outstanding under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this facility increases and decreases consistent with the related contractual commitment. Letters of credit and surety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bonds are primarily used as security against non-performance in the normal course of business under contractual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requirements of certain of our commitments. The standby letter of credit facility, which matures in </w:t>
      </w:r>
      <w:r>
        <w:rPr>
          <w:rFonts w:ascii="Times New Roman;serif" w:hAnsi="Times New Roman;serif"/>
          <w:b w:val="false"/>
          <w:i w:val="false"/>
          <w:caps w:val="false"/>
          <w:smallCaps w:val="false"/>
          <w:strike w:val="false"/>
          <w:dstrike w:val="false"/>
          <w:sz w:val="22"/>
          <w:u w:val="none"/>
          <w:effect w:val="none"/>
        </w:rPr>
        <w:t>May 2027</w:t>
      </w:r>
      <w:r>
        <w:rPr>
          <w:rFonts w:ascii="Times New Roman;serif" w:hAnsi="Times New Roman;serif"/>
          <w:b w:val="false"/>
          <w:i w:val="false"/>
          <w:caps w:val="false"/>
          <w:smallCaps w:val="false"/>
          <w:sz w:val="22"/>
        </w:rPr>
        <w:t xml:space="preserve">, is </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subject to provisions similar to the Credit Facility, including the same principal financial covenant (see Note </w:t>
      </w:r>
      <w:r>
        <w:rPr>
          <w:rFonts w:ascii="Times New Roman;serif" w:hAnsi="Times New Roman;serif"/>
          <w:b w:val="false"/>
          <w:i w:val="false"/>
          <w:caps w:val="false"/>
          <w:smallCaps w:val="false"/>
          <w:strike w:val="false"/>
          <w:dstrike w:val="false"/>
          <w:sz w:val="22"/>
          <w:u w:val="none"/>
          <w:effect w:val="none"/>
        </w:rPr>
        <w:t>7</w:t>
      </w:r>
      <w:r>
        <w:rPr>
          <w:caps w:val="false"/>
          <w:smallCaps w:val="false"/>
          <w:sz w:val="24"/>
        </w:rPr>
        <w:t xml:space="preserve"> </w:t>
      </w:r>
      <w:r>
        <w:rPr>
          <w:rFonts w:ascii="Times New Roman;serif" w:hAnsi="Times New Roman;serif"/>
          <w:b w:val="false"/>
          <w:i w:val="false"/>
          <w:caps w:val="false"/>
          <w:smallCaps w:val="false"/>
          <w:sz w:val="22"/>
        </w:rPr>
        <w:t xml:space="preserve">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consolidated financial statements), and will be secured by the same collateral as the Credit Facility at closing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WBD merger.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Other</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the course of our business, we both provide and receive indemnities that are intended to allocate certain risks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associated with business transactions. Similarly, we may remain contingently liable for various obligations of 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business that has been divested in the event that a third party does not live up to its obligations under an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indemnification obligation. We record a liability for our indemnification obligations and other contingent liabilities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when probable and reasonably estimable.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Accounting Pronouncements Not Yet Adopted</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See Note </w:t>
      </w:r>
      <w:r>
        <w:rPr>
          <w:rFonts w:ascii="Times New Roman;serif" w:hAnsi="Times New Roman;serif"/>
          <w:b w:val="false"/>
          <w:i w:val="false"/>
          <w:caps w:val="false"/>
          <w:smallCaps w:val="false"/>
          <w:strike w:val="false"/>
          <w:dstrike w:val="false"/>
          <w:sz w:val="22"/>
          <w:u w:val="none"/>
          <w:effect w:val="none"/>
        </w:rPr>
        <w:t>1</w:t>
      </w:r>
      <w:r>
        <w:rPr>
          <w:caps w:val="false"/>
          <w:smallCaps w:val="false"/>
          <w:sz w:val="24"/>
        </w:rPr>
        <w:t xml:space="preserve"> </w:t>
      </w:r>
      <w:r>
        <w:rPr>
          <w:rFonts w:ascii="Times New Roman;serif" w:hAnsi="Times New Roman;serif"/>
          <w:b w:val="false"/>
          <w:i w:val="false"/>
          <w:caps w:val="false"/>
          <w:smallCaps w:val="false"/>
          <w:sz w:val="22"/>
        </w:rPr>
        <w:t>to the consolidated financial statements.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Legal Matters</w:t>
      </w:r>
    </w:p>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See </w:t>
      </w:r>
      <w:r>
        <w:rPr>
          <w:rFonts w:ascii="Times New Roman;serif" w:hAnsi="Times New Roman;serif"/>
          <w:b w:val="false"/>
          <w:i/>
          <w:sz w:val="22"/>
        </w:rPr>
        <w:t>Legal Matters</w:t>
      </w:r>
      <w:r>
        <w:rPr>
          <w:caps w:val="false"/>
          <w:smallCaps w:val="false"/>
          <w:sz w:val="24"/>
        </w:rPr>
        <w:t xml:space="preserve"> </w:t>
      </w:r>
      <w:r>
        <w:rPr>
          <w:rFonts w:ascii="Times New Roman;serif" w:hAnsi="Times New Roman;serif"/>
          <w:b w:val="false"/>
          <w:i w:val="false"/>
          <w:caps w:val="false"/>
          <w:smallCaps w:val="false"/>
          <w:sz w:val="22"/>
        </w:rPr>
        <w:t xml:space="preserve">section in Note </w:t>
      </w:r>
      <w:r>
        <w:rPr>
          <w:rFonts w:ascii="Times New Roman;serif" w:hAnsi="Times New Roman;serif"/>
          <w:b w:val="false"/>
          <w:i w:val="false"/>
          <w:caps w:val="false"/>
          <w:smallCaps w:val="false"/>
          <w:strike w:val="false"/>
          <w:dstrike w:val="false"/>
          <w:sz w:val="22"/>
          <w:u w:val="none"/>
          <w:effect w:val="none"/>
        </w:rPr>
        <w:t>14</w:t>
      </w:r>
      <w:r>
        <w:rPr>
          <w:caps w:val="false"/>
          <w:smallCaps w:val="false"/>
          <w:sz w:val="24"/>
        </w:rPr>
        <w:t xml:space="preserve"> </w:t>
      </w:r>
      <w:r>
        <w:rPr>
          <w:rFonts w:ascii="Times New Roman;serif" w:hAnsi="Times New Roman;serif"/>
          <w:b w:val="false"/>
          <w:i w:val="false"/>
          <w:caps w:val="false"/>
          <w:smallCaps w:val="false"/>
          <w:sz w:val="22"/>
        </w:rPr>
        <w:t>to the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 xml:space="preserve">Cautionary Note Concerning Forward-Looking Statements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This Quarterly Report on Form 10-Q contains both historical and forward-looking statements, including statements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related to our future financial results and performance, potential achievements and transactions (including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connection with our pending merger with Warner Bros. Discovery, Inc.) and their expected benefits, and industry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trends and developments. All statements that are not statements of historical fact are, or may be deemed to be,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forward-looking statements within the meaning of the Private Securities Litigation Reform Act of 1995. Similarly,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statements that describe our objectives, plans or goals are or may be forward-looking statements. These forward-</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looking statements reflect our current expectations concerning future results and events; can generally be identified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by the use of statements that include phrases such as “believe,” “expect,” “anticipate,” “intend,” “plan,” “foresee,” </w:t>
      </w:r>
    </w:p>
    <w:p>
      <w:pPr>
        <w:pStyle w:val="TextBody"/>
        <w:bidi w:val="0"/>
        <w:spacing w:lineRule="atLeast" w:line="22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2"/>
        </w:rPr>
        <w:t xml:space="preserve">likely,” “will,” “may,” “could,” “estimate” or other similar words or phrases; and involve known and unknown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risks, uncertainties and other factors that are difficult to predict and which may cause our actual results,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performance or achievements to be different from any future results, performance or achievements expressed 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implied by these statements. These risks, uncertainties and other factors include, among others: risks related to our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streaming business; the adverse impact on our advertising revenues as a result of changes in consumer behavior,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advertising market conditions and deficiencies in audience measurement; risks related to operating in highly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competitive and dynamic industries; the unpredictable nature of consumer behavior, as well as evolving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technologies and distribution models; risks related to our decisions to invest in new businesses, products, services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and technologies, and the evolution of our business strategy; the potential for loss of carriage or other reduction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or the impact of negotiations for the distribution of our content; damage to our reputation or brands; losses due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asset impairment charges for goodwill, content and long-lived assets, including finite-lived intangible assets;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liabilities related to discontinued operations and former businesses; increasing scrutiny of, and evolving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expectations for, sustainability initiatives; evolving business continuity, cybersecurity, privacy and data protection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and similar risks; challenges in protecting and maintaining our intellectual property rights; domestic and global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political, economic and regulatory factors affecting our businesses generally; the inability to hire or retain key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employees or secure creative talent; disruptions to our operations as a result of labor disputes; risks and costs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associated with the integration of, and our ability to integrate, the businesses of Paramount Global and Skydance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Media, LLC successfully and to achieve anticipated synergies; litigation relating to the Skydance Transactions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potentially resulting in substantial costs; volatility in the price of our Class B common stock; the effect our dual-</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class capital structure and the concentrated ownership may have on the price of our Class B common stock 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business; risks related to a private sale of a controlling interest in our Company, including that our stockholders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may not realize any change of control premium on shares of our Class B common stock and that we may become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subject to the control of a presently unknown third party; risks associated with our status as a “controlled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company” under Nasdaq rules, including our exemption from certain corporate governance requirements; risks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associated with the lack of voting rights of our Class B common stock; risks that anti-takeover provisions in our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amended and restated certificate of incorporation (“Charter”) and amended and restated bylaws, and under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Delaware law could deter, delay, or prevent a change of control; risks that exclusive forum provisions in our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Charter could limit a stockholder’s choice of forum for certain claims and discourage lawsuits against our directors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and officers; risks that corporate opportunity provisions in our Charter could permit certain persons to pursue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competitive opportunities that might otherwise be available to us; risks associated with our holding company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structure, including our dependence on distributions from our subsidiaries to meet our tax obligations and other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cash requirements; disruptions the WBD Merger may cause to our and WBD’s business and commercial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relationships; the negative impact that a failure to consummate the WBD Merger could have on our business,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financial condition, results of operations and stock price; the risk that the WBD Merger may be prevented 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delayed or the anticipated benefits reduced if we do not obtain certain regulatory approvals; the risk that the WBD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Merger Agreement may be terminated in accordance with its terms, including if any conditions to the closing of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WBD Merger are not satisfied; the risk that litigation relating to the WBD Merger could prevent or further delay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closing of the WBD Merger or result in the payment of damages after closing; challenges realizing synergies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and other anticipated benefits expected from the WBD Merger, including integrating WBD’s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Management’s Discussion and Analysis of</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 and Financial Condition (Continued)</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(Tabular dollars in millions, except per share amounts)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successfully; risks to our business, financial condition or results of operations as a result of the incurrence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substantial costs and indebtedness in connection with the WBD Merger; risks of reduced ownership and economic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interest by our existing stockholders as a result of the WBD Merger; and other factors described in our news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releases and filings with the Securities and Exchange Commission, including but not limited to our most recent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Annual Report on Form 10-K and our reports on Form 10-Q and Form 8-K. There may be additional risks,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uncertainties and factors that we do not currently view as material or that are not necessarily known. The forward-</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looking statements included in this Quarterly Report on Form 10-Q are made only as of the date hereof, and we do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not undertake any obligation to publicly update any forward-looking statements to reflect subsequent events 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circumstances.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47" w:type="dxa"/>
        <w:jc w:val="left"/>
        <w:tblInd w:w="0" w:type="dxa"/>
        <w:tblLayout w:type="fixed"/>
        <w:tblCellMar>
          <w:top w:w="28" w:type="dxa"/>
          <w:left w:w="28" w:type="dxa"/>
          <w:bottom w:w="28" w:type="dxa"/>
          <w:right w:w="28" w:type="dxa"/>
        </w:tblCellMar>
      </w:tblPr>
      <w:tblGrid>
        <w:gridCol w:w="811"/>
        <w:gridCol w:w="6136"/>
      </w:tblGrid>
      <w:tr>
        <w:trPr/>
        <w:tc>
          <w:tcPr>
            <w:tcW w:w="811"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Item 3.</w:t>
            </w:r>
          </w:p>
        </w:tc>
        <w:tc>
          <w:tcPr>
            <w:tcW w:w="6136" w:type="dxa"/>
            <w:tcBorders/>
            <w:vAlign w:val="center"/>
          </w:tcPr>
          <w:p>
            <w:pPr>
              <w:pStyle w:val="TableContents"/>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Quantitative and Qualitative Disclosures About Market Risk.</w:t>
            </w:r>
          </w:p>
        </w:tc>
      </w:tr>
    </w:tbl>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See Note </w:t>
      </w:r>
      <w:r>
        <w:rPr>
          <w:rFonts w:ascii="Times New Roman;serif" w:hAnsi="Times New Roman;serif"/>
          <w:b w:val="false"/>
          <w:i w:val="false"/>
          <w:caps w:val="false"/>
          <w:smallCaps w:val="false"/>
          <w:strike w:val="false"/>
          <w:dstrike w:val="false"/>
          <w:sz w:val="22"/>
          <w:u w:val="none"/>
          <w:effect w:val="none"/>
        </w:rPr>
        <w:t>8</w:t>
      </w:r>
      <w:r>
        <w:rPr>
          <w:caps w:val="false"/>
          <w:smallCaps w:val="false"/>
          <w:sz w:val="24"/>
        </w:rPr>
        <w:t xml:space="preserve"> </w:t>
      </w:r>
      <w:r>
        <w:rPr>
          <w:rFonts w:ascii="Times New Roman;serif" w:hAnsi="Times New Roman;serif"/>
          <w:b w:val="false"/>
          <w:i w:val="false"/>
          <w:caps w:val="false"/>
          <w:smallCaps w:val="false"/>
          <w:sz w:val="22"/>
        </w:rPr>
        <w:t>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67" w:type="dxa"/>
        <w:jc w:val="left"/>
        <w:tblInd w:w="0" w:type="dxa"/>
        <w:tblLayout w:type="fixed"/>
        <w:tblCellMar>
          <w:top w:w="28" w:type="dxa"/>
          <w:left w:w="28" w:type="dxa"/>
          <w:bottom w:w="28" w:type="dxa"/>
          <w:right w:w="28" w:type="dxa"/>
        </w:tblCellMar>
      </w:tblPr>
      <w:tblGrid>
        <w:gridCol w:w="811"/>
        <w:gridCol w:w="2656"/>
      </w:tblGrid>
      <w:tr>
        <w:trPr/>
        <w:tc>
          <w:tcPr>
            <w:tcW w:w="81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Item 4.</w:t>
            </w:r>
          </w:p>
        </w:tc>
        <w:tc>
          <w:tcPr>
            <w:tcW w:w="2656" w:type="dxa"/>
            <w:tcBorders/>
            <w:vAlign w:val="center"/>
          </w:tcPr>
          <w:p>
            <w:pPr>
              <w:pStyle w:val="TableContents"/>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Controls and Procedures.</w:t>
            </w:r>
          </w:p>
        </w:tc>
      </w:tr>
    </w:tbl>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principal executive officer and principal financial officer have concluded that, as of the end of the period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covered by this report, our disclosure controls and procedures (as defined in Rules 13a-15(e) or 15d-15(e) of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Securities Exchange Act of 1934, as amended) were effective, based on the evaluation of these controls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procedures required by Rule 13a-15(b) or 15d-15(b) of the Securities Exchange Act of 1934, as amended.</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No change in our internal control over financial reporting occurred during our last fiscal quarter that has materially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affected, or is reasonably likely to materially affect, our internal control over financial reporting.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22" w:type="dxa"/>
        <w:jc w:val="left"/>
        <w:tblInd w:w="0" w:type="dxa"/>
        <w:tblLayout w:type="fixed"/>
        <w:tblCellMar>
          <w:top w:w="28" w:type="dxa"/>
          <w:left w:w="28" w:type="dxa"/>
          <w:bottom w:w="28" w:type="dxa"/>
          <w:right w:w="28" w:type="dxa"/>
        </w:tblCellMar>
      </w:tblPr>
      <w:tblGrid>
        <w:gridCol w:w="811"/>
        <w:gridCol w:w="2011"/>
      </w:tblGrid>
      <w:tr>
        <w:trPr/>
        <w:tc>
          <w:tcPr>
            <w:tcW w:w="81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Item 1.</w:t>
            </w:r>
          </w:p>
        </w:tc>
        <w:tc>
          <w:tcPr>
            <w:tcW w:w="2011" w:type="dxa"/>
            <w:tcBorders/>
            <w:vAlign w:val="center"/>
          </w:tcPr>
          <w:p>
            <w:pPr>
              <w:pStyle w:val="TableContents"/>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Legal Proceedings.</w:t>
            </w:r>
          </w:p>
        </w:tc>
      </w:tr>
    </w:tbl>
    <w:p>
      <w:pPr>
        <w:pStyle w:val="TextBody"/>
        <w:bidi w:val="0"/>
        <w:spacing w:lineRule="atLeast" w:line="220" w:before="0" w:after="0"/>
        <w:jc w:val="left"/>
        <w:rPr>
          <w:sz w:val="24"/>
        </w:rPr>
      </w:pPr>
      <w:r>
        <w:rPr>
          <w:rFonts w:ascii="Times New Roman;serif" w:hAnsi="Times New Roman;serif"/>
          <w:b w:val="false"/>
          <w:i w:val="false"/>
          <w:caps w:val="false"/>
          <w:smallCaps w:val="false"/>
          <w:sz w:val="22"/>
        </w:rPr>
        <w:t xml:space="preserve">The information set forth in Note </w:t>
      </w:r>
      <w:r>
        <w:rPr>
          <w:rFonts w:ascii="Times New Roman;serif" w:hAnsi="Times New Roman;serif"/>
          <w:b w:val="false"/>
          <w:i w:val="false"/>
          <w:caps w:val="false"/>
          <w:smallCaps w:val="false"/>
          <w:strike w:val="false"/>
          <w:dstrike w:val="false"/>
          <w:sz w:val="22"/>
          <w:u w:val="none"/>
          <w:effect w:val="none"/>
        </w:rPr>
        <w:t>14</w:t>
      </w:r>
      <w:r>
        <w:rPr>
          <w:caps w:val="false"/>
          <w:smallCaps w:val="false"/>
          <w:sz w:val="24"/>
        </w:rPr>
        <w:t xml:space="preserve"> </w:t>
      </w:r>
      <w:r>
        <w:rPr>
          <w:rFonts w:ascii="Times New Roman;serif" w:hAnsi="Times New Roman;serif"/>
          <w:b w:val="false"/>
          <w:i w:val="false"/>
          <w:caps w:val="false"/>
          <w:smallCaps w:val="false"/>
          <w:sz w:val="22"/>
        </w:rPr>
        <w:t xml:space="preserve">to the consolidated financial statements appearing in Item 1 of Part I of this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Quarterly Report on Form 10-Q under the caption “Legal Matters”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32" w:type="dxa"/>
        <w:jc w:val="left"/>
        <w:tblInd w:w="0" w:type="dxa"/>
        <w:tblLayout w:type="fixed"/>
        <w:tblCellMar>
          <w:top w:w="28" w:type="dxa"/>
          <w:left w:w="28" w:type="dxa"/>
          <w:bottom w:w="28" w:type="dxa"/>
          <w:right w:w="28" w:type="dxa"/>
        </w:tblCellMar>
      </w:tblPr>
      <w:tblGrid>
        <w:gridCol w:w="976"/>
        <w:gridCol w:w="1456"/>
      </w:tblGrid>
      <w:tr>
        <w:trPr/>
        <w:tc>
          <w:tcPr>
            <w:tcW w:w="97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Item 1A.</w:t>
            </w:r>
          </w:p>
        </w:tc>
        <w:tc>
          <w:tcPr>
            <w:tcW w:w="1456"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Risk Factors.</w:t>
            </w:r>
          </w:p>
        </w:tc>
      </w:tr>
    </w:tbl>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addition to the risk factors included in our Annual Report on Form 10-K for the year ended December 31, 2025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(filed with the Securities and Exchange Commission on February 25, 2026), the following risks relating to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WBD Merger could adversely affect our business, financial condition or results of operations before and after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completion of the WBD Merger.</w:t>
      </w: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Risks Relating to the WBD Merger</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The proposed WBD Merger may cause disruption in our and WBD’s business and commercial relationships.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proposed WBD Merger could cause disruptions to our business or commercial relationships, or those of WBD,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which could have an adverse impact on our and WBD’s business, financial condition or results of operations.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Parties with which we or WBD have business relationships may experience uncertainty as to the future of such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relationships and may delay or defer certain business decisions, seek alternative relationships with third parties 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seek to alter their present business relationships with us. Parties with whom we or WBD otherwise may have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sought to establish business relationships may seek alternative relationships with third parties. We have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experienced, and may continue to experience, negative publicity relating to the WBD Merger, which could have an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adverse effect on our or WBD’s ongoing operations including, but not limited to, retaining and attracting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employees and creative talent, maintaining our relationships with existing customers and obtaining potential new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customers. We compete with other content creators for creative talent, including producers, directors, actors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writers and if we fail to retain or attract new key employees or creative talent, our business, financial condition 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results of operations could be adversely affected.</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pursuit of the WBD Merger and the preparation for the integration of WBD may place a significant burden 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management and internal resources. The diversion of management’s attention away from day-to-day business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concerns and any difficulties encountered in the transition and integration process could adversely affect our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business, financial condition or results of operations.</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Failure to consummate the WBD Merger could negatively impact our business, financial condition, results of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operations and stock price.</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WBD Merger cannot be consummated until conditions to Closing (as defined in the WBD Merger Agreement)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are satisfied or, if permissible under applicable law, waived. The WBD Merger is subject to numerous Closing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conditions, including the receipt of required regulatory approvals and the absence of any orders enjoining the </w:t>
      </w:r>
    </w:p>
    <w:p>
      <w:pPr>
        <w:pStyle w:val="TextBody"/>
        <w:bidi w:val="0"/>
        <w:spacing w:lineRule="atLeast" w:line="220" w:before="0" w:after="0"/>
        <w:jc w:val="left"/>
        <w:rPr/>
      </w:pPr>
      <w:r>
        <w:rPr>
          <w:rFonts w:ascii="Times New Roman;serif" w:hAnsi="Times New Roman;serif"/>
          <w:b w:val="false"/>
          <w:i w:val="false"/>
          <w:caps w:val="false"/>
          <w:smallCaps w:val="false"/>
          <w:sz w:val="22"/>
        </w:rPr>
        <w:t>consummation of the WBD Merger. See “—</w:t>
      </w:r>
      <w:r>
        <w:rPr>
          <w:rFonts w:ascii="Times New Roman;serif" w:hAnsi="Times New Roman;serif"/>
          <w:b w:val="false"/>
          <w:i/>
          <w:sz w:val="22"/>
        </w:rPr>
        <w:t xml:space="preserve">The WBD Merger is subject to a number of Closing conditions and, if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 xml:space="preserve">these conditions are not satisfied, the WBD Merger Agreement may be terminated in accordance with its terms and </w:t>
      </w:r>
    </w:p>
    <w:p>
      <w:pPr>
        <w:pStyle w:val="TextBody"/>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 xml:space="preserve">the WBD Merger may not be consummated. In addition, the parties have the right to terminate the WBD Merger </w:t>
      </w:r>
    </w:p>
    <w:p>
      <w:pPr>
        <w:pStyle w:val="TextBody"/>
        <w:bidi w:val="0"/>
        <w:spacing w:lineRule="atLeast" w:line="220" w:before="0" w:after="0"/>
        <w:jc w:val="left"/>
        <w:rPr/>
      </w:pPr>
      <w:r>
        <w:rPr>
          <w:rFonts w:ascii="Times New Roman;serif" w:hAnsi="Times New Roman;serif"/>
          <w:b w:val="false"/>
          <w:i/>
          <w:sz w:val="22"/>
        </w:rPr>
        <w:t>Agreement under certain circumstances, in which case the WBD Merger would not be consummated</w:t>
      </w:r>
      <w:r>
        <w:rPr>
          <w:rFonts w:ascii="Times New Roman;serif" w:hAnsi="Times New Roman;serif"/>
          <w:b w:val="false"/>
          <w:i w:val="false"/>
          <w:caps w:val="false"/>
          <w:smallCaps w:val="false"/>
          <w:sz w:val="22"/>
        </w:rPr>
        <w:t xml:space="preserv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There can be no assurance that the conditions to completion of the WBD Merger, including the receipt of required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regulatory approvals, will be satisfied or waived on a timely basis or at all. Further, there can be no assurance that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governmental authorities will not impose conditions, terms, obligations or restrictions and that such conditions,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terms, obligations or restrictions will not have the effect of delaying or preventing consummation of the WBD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Merger. For example, in July 2026, twelve states (California, Arizona, Colorado, Connecticut, Massachusetts,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Minnesota, Nevada, New Jersey, New Mexico, New York, Oregon and Washington) filed an antitrust action in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U.S. District Court for the Northern District of California against Paramount and WBD relating to the WBD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Merger, seeking to block the WBD Merger, among other relief. On July 24, 2026, we entered into a stipulation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agreeing that the WBD Merger will not close, and we will not take any steps to integrate the operations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Paramount with those of WBD, until the earlier of five days following the court’s ruling or June 1, 2027.</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If in connection with any of the above or otherwise, WBD or Paramount is required to divest assets or businesses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or to agree to other conditions, obligations or restrictions on the conduct of its business, there can be no assurance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that we or WBD will be able to negotiate such divestitures or other measures expeditiously or on favorable terms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or that the governmental authorities will approve the terms of such divestitures or other measures. In addition, we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can provide no assurance that these conditions, terms, obligations or restrictions will not result in the abandonment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of the WBD Merger. If the conditions to completion of the WBD Merger are not satisfied or waived, we may be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unable to complete the WBD Merger in the time frame or manner currently anticipated or at all.</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If the WBD Merger is not completed by September 30, 2026, we have agreed in the WBD Merger Agreement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pay as merger consideration to WBD stockholders an additional amount in cash equal to $0.00277778 multiplied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by the number of calendar days elapsed after September 30, 2026, to and including the closing date (which, for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avoidance of doubt, will not exceed $0.25 per 90 calendar day period). The anticipated closing of the WBD Merger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has been delayed as a result of the lawsuit described above, with the parties agreeing to postpone closing until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earlier of five days following the court’s ruling or June 1, 2027.</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Additionally, if the WBD Merger is not completed, our ongoing business may be adversely affected and we will be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subject to several risks or consequences, including:</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2"/>
        </w:rPr>
        <w:t xml:space="preserve">if the WBD Merger Agreement is terminated under certain circumstances, including where required regulatory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approvals have not been obtained or because a court order prevents the WBD Merger from closing on antitrust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grounds, we may be required to pay WBD a $7.0 billion Regulatory Termination Fee (as defined in the WBD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Merger Agreement), the payment of which would likely require us to issue additional equity pursuant to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Subscription Agreements, with corresponding dilution to our existing stockholders;</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2"/>
        </w:rPr>
        <w:t xml:space="preserve">we will be required to pay certain costs relating to the WBD Merger, whether or not the WBD Merger is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consummated, such as significant fees and expenses relating to financial advisory, legal, accounting,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consulting or other advisory fees or expenses, employee-benefit or related expenses, regulatory filings or filing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and printing fees, none of which we would be able to recover;</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2"/>
        </w:rPr>
        <w:t xml:space="preserve">matters relating to the WBD Merger may require substantial commitments of time and resources by our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management or the expenditure of significant funds in the form of fees and expenses, which could otherwise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have been devoted to day-to-day operations or other opportunities that may have been beneficial to us;</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2"/>
        </w:rPr>
        <w:t xml:space="preserve">the commitments we have obtained to finance the WBD Merger, including a senior secured bridge term loan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facility, may require us to pay certain fees and expenses in connection with such commitments, and such fees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and expenses could be substantial;</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2"/>
        </w:rPr>
        <w:t xml:space="preserve">the ratings agencies could downgrade, or take other negative actions with respect to, our credit ratings 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ratings outlook, which could adversely affect our ability to obtain cost-effective financing;</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2"/>
        </w:rPr>
        <w:t xml:space="preserve">the price of our Class B Common Stock could decline significantly, including to the extent the current market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price reflects an assumption that the WBD Merger will be consummated;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2"/>
        </w:rPr>
        <w:t xml:space="preserve">we would not realize the benefits expected from the WBD Merger, which could place us at a disadvantage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competing with technology companies and others for content, creative talent and distribution;</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2"/>
        </w:rPr>
        <w:t xml:space="preserve">we would continue to operate on a standalone basis, without the cost savings, synergies and other benefits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expected from the WBD Merger, and as a result we may face greater challenges in executing our strategic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financial plans, and be required to implement additional cost-reduction measures, including further reductions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content and other spending, in order to achieve those plans; and</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2"/>
        </w:rPr>
        <w:t xml:space="preserve">declines in our linear television revenues are expected to persist, and the growth of our streaming business on 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standalone basis may be insufficient to offset them. See the risk factors included in our Annual Report on Form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 referred to above under “Risks Relating to Our Business and Industry.”</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addition, if the WBD Merger is not consummated, we may experience negative reactions from the financial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markets or from our employees, commercial partners, clients or customers. We could also be subject to litigation,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including litigation related to failure to consummate the WBD Merger or to enforce our obligations under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WBD Merger Agreement. If the WBD Merger is not consummated, the risks described above may materially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adversely affect our business, financial condition, results of operations or stock price. For a description of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circumstances under which the Regulatory Termination Fee is payable, see the WBD Merger Agreement.</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Paramount and WBD must obtain certain regulatory approvals in order to consummate the WBD Merger; if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such approvals are not obtained or are obtained with conditions or if the WBD Merger is enjoined in connection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with legal or regulatory proceedings, the WBD Merger may be prevented or delayed or the anticipated benefits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of the WBD Merger could be reduced.</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Closing is conditioned upon, among other things, the clearance or approval by various regulatory authorities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United States and other jurisdictions and the absence of any orders enjoining the consummation of the WBD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Merger. As a condition to granting the necessary approvals or clearances, regulatory authorities may impose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conditions, terms, obligations or restrictions or require divestitures or place restrictions on our business after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consummation of the WBD Merger. If any such divestitures negatively impact our credit profile and credit ratings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as compared to the combined business if we did not have to undertake such divestitures, we may not be able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obtain financing on as favorable terms as we otherwise anticipated, or at all. Any such requirements or restrictions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sought by regulatory authorities could negatively affect our business, financial condition or results of operations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following consummation of the WBD Merger. Any such requirements or restrictions may prevent or delay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consummation of the WBD Merger or may reduce the anticipated benefits of the WBD Merger, which could also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have a material adverse effect on our business, financial condition or results of operations.</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The WBD Merger is subject to a number of Closing conditions and, if these conditions are not satisfied, the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WBD Merger Agreement may be terminated in accordance with its terms and the WBD Merger may not be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consummated. In addition, the parties have the right to terminate the WBD Merger Agreement under certain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circumstances, in which case the WBD Merger would not be consummated.</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WBD Merger is subject to a number of Closing conditions and, if these conditions are not satisfied or waived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(to the extent permitted by law), the WBD Merger may not be consummated. These conditions include: (i)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expiration of certain mandatory waiting periods or receipt of certain other clearances or affirmative approvals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certain governmental bodies, agencies or authorities and (ii) the absence of any law or order, issued by a court 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governmental entity of competent jurisdiction, restraining, enjoining, prohibiting or preventing the consummation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of the WBD Merger. Each of WBD’s and Paramount’s obligations to consummate the WBD Merger is also subject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to certain other conditions, including, among others, the compliance with pre-closing covenants by and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accuracy of the representations and warranties of WBD (on the part of Paramount), on the one hand,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Paramount and Merger Sub (as defined in the WBD Merger Agreement) (on the part of WBD), on the other hand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each case, subject to certain qualifications). Paramount’s obligation to consummate the WBD Merger is also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subject to (x) the absence of certain changes that have had, or would reasonably be expected to have, a material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adverse effect with respect to the Streaming and Studios segments of WBD and (y) WBD not having completed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separation of its Streaming and Studios business from its Global Linear Networks business nor having declared 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made any dividend to WBD’s stockholders to effectuate such separation. These Closing conditions may not be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fulfilled and, accordingly, the WBD Merger may not be consummated.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Additionally, the WBD Merger Agreement may be terminated by either Paramount or WBD (i) by mutual written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consent, (ii) if any governmental entity of competent jurisdiction issues, enacts, enforces or enters any order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permanently enjoining or prohibiting the consummation of the WBD Merger, and such order becomes final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non-appealable, or (iii) subject to certain limitations, if the Effective Time (as defined in the WBD Merger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Agreement) has not occurred on or before 11:59 p.m., Eastern time, on March 4, 2027 (the “End Date”), subject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one automatic extension to June 4, 2027 if on such date all of the closing conditions, except those related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regulatory approvals and governmental orders, have been satisfied or waived. In addition, (x) the WBD Merger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Agreement may be terminated by Paramount due to certain breaches by WBD of its representations, warranties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covenants contained in the WBD Merger Agreement, subject to certain cure rights and (y) the WBD Merger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Agreement may be terminated by WBD due to certain breaches by Paramount of its representations, warranties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covenants contained in the WBD Merger Agreement, subject to certain cure rights.</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Litigation relating to the WBD Merger could prevent or further delay the Closing and/or result in the payment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of damages following the Closing.</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connection with the WBD Merger, we and WBD are subject to litigation and related proceedings, including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proceedings seeking to block or enjoin the WBD Merger or seeking monetary damages, and we may become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subject to additional litigation, demand letters, claims, enforcement actions or other proceedings relating to the </w:t>
      </w:r>
    </w:p>
    <w:p>
      <w:pPr>
        <w:pStyle w:val="TextBody"/>
        <w:bidi w:val="0"/>
        <w:spacing w:lineRule="atLeast" w:line="240" w:before="0" w:after="0"/>
        <w:jc w:val="left"/>
        <w:rPr/>
      </w:pPr>
      <w:r>
        <w:rPr>
          <w:rFonts w:ascii="Times New Roman;serif" w:hAnsi="Times New Roman;serif"/>
          <w:b w:val="false"/>
          <w:i w:val="false"/>
          <w:caps w:val="false"/>
          <w:smallCaps w:val="false"/>
          <w:sz w:val="22"/>
        </w:rPr>
        <w:t xml:space="preserve">WBD Merger. See Note </w:t>
      </w:r>
      <w:r>
        <w:rPr>
          <w:rFonts w:ascii="Times New Roman;serif" w:hAnsi="Times New Roman;serif"/>
          <w:b w:val="false"/>
          <w:i w:val="false"/>
          <w:caps w:val="false"/>
          <w:smallCaps w:val="false"/>
          <w:sz w:val="24"/>
        </w:rPr>
        <w:t>14</w:t>
      </w:r>
      <w:r>
        <w:rPr>
          <w:caps w:val="false"/>
          <w:smallCaps w:val="false"/>
        </w:rPr>
        <w:t xml:space="preserve"> </w:t>
      </w:r>
      <w:r>
        <w:rPr>
          <w:rFonts w:ascii="Times New Roman;serif" w:hAnsi="Times New Roman;serif"/>
          <w:b w:val="false"/>
          <w:i w:val="false"/>
          <w:caps w:val="false"/>
          <w:smallCaps w:val="false"/>
          <w:sz w:val="22"/>
        </w:rPr>
        <w:t xml:space="preserve">to the consolidated financial statements appearing in Item 1 of Part I of this Quarterly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Report on Form 10-Q under the caption “Legal Matters—Litigation Relating to the WBD Merger,” and Part II,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Item 1, “Legal Proceedings,” for additional information regarding certain pending WBD Merger litigation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related proceedings.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outcome of litigation and other proceedings is uncertain, and these matters, and any additional litigation,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demand letters, claims, enforcement actions or other proceedings relating to the WBD Merger, could prevent 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delay the Closing, result in substantial costs to WBD and Paramount, result in the payment of damages following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Closing, or otherwise adversely affect our business, financial condition or results of operations.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addition, governmental authorities have initiated, and could initiate additional, actions challenging the WBD </w:t>
      </w:r>
    </w:p>
    <w:p>
      <w:pPr>
        <w:pStyle w:val="TextBody"/>
        <w:bidi w:val="0"/>
        <w:spacing w:lineRule="atLeast" w:line="240" w:before="0" w:after="0"/>
        <w:jc w:val="left"/>
        <w:rPr/>
      </w:pPr>
      <w:r>
        <w:rPr>
          <w:rFonts w:ascii="Times New Roman;serif" w:hAnsi="Times New Roman;serif"/>
          <w:b w:val="false"/>
          <w:i w:val="false"/>
          <w:caps w:val="false"/>
          <w:smallCaps w:val="false"/>
          <w:sz w:val="22"/>
        </w:rPr>
        <w:t>Merger, which could further delay or prevent the Closing, result in burdensome conditions,</w:t>
      </w:r>
      <w:r>
        <w:rPr>
          <w:caps w:val="false"/>
          <w:smallCaps w:val="false"/>
        </w:rPr>
        <w:t xml:space="preserve"> </w:t>
      </w:r>
      <w:r>
        <w:rPr>
          <w:rFonts w:ascii="Times New Roman;serif" w:hAnsi="Times New Roman;serif"/>
          <w:b w:val="false"/>
          <w:i w:val="false"/>
          <w:caps w:val="false"/>
          <w:smallCaps w:val="false"/>
          <w:sz w:val="22"/>
        </w:rPr>
        <w:t xml:space="preserve">terms, obligations 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restrictions, or otherwise adversely affect the post-close entity. The anticipated closing of the WBD Merger has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been delayed as a result of the lawsuit described above, with the parties agreeing to postpone closing until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earlier of five days following the court’s ruling or June 1, 2027.</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Although we expect the WBD Merger will result in synergies and other benefits, those synergies and benefits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may not be realized or may not be realized within the expected time frame. WBD’s business may not be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integrated successfully, or such integration may be more difficult, time-consuming or costly than expected.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Operating costs, customer loss and business disruption, including difficulties in maintaining relationships with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employees, customers, suppliers or vendors, may be greater than expected following the WBD Merger. Revenues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following the WBD Merger may be lower than expected.</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ability to realize the anticipated benefits of the WBD Merger will depend, to a large extent, on our ability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integrate WBD’s business in a manner that facilitates growth opportunities or achieves the potential synergies, cost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savings or revenue growth opportunities identified by Paramount without adversely affecting current revenues 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investments in future growth. If we were required to divest certain businesses or assets, it may reduce our ability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fully recognize such synergies. Even if we are able to integrate WBD successfully, the anticipated benefits of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WBD Merger, including the expected synergies, may not be realized fully or at all or may take longer to realize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than expected.</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acquisition of another public company and integration of its business with our business is complex, costly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time-consuming and may divert significant management attention or resources towards integration planning at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expense of Paramount’s and WBD’s ordinary course business practices and operations. Paramount and WBD have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been operated as standalone businesses, and they will continue to be operated as such until the consummation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WBD Merger. Upon consummation of the WBD Merger, our management may face significant challenges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integrating the technologies, organizations, systems, procedures, policies and operations, as well as addressing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different business cultures at Paramount and WBD, managing the increased scale and scope of the combined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businesses, identifying and eliminating duplicative programs, and retaining key personnel. The post-closing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integration process could take longer than anticipated and could result in the loss of key employees, the disruption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of each company’s ongoing businesses, tax costs or inefficiencies, or inconsistencies in standards, controls,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information technology systems, procedures and policies, any of which could adversely affect our ability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maintain relationships with customers, employees or other third parties. The overall combination of Paramount’s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and WBD’s businesses may also result in material unanticipated expenses, liabilities, competitive disadvantages,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and loss of customer, creative talent and other business relationships. Failure to efficiently and effectively integrate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two businesses and to realize the anticipated benefits of the WBD Merger could adversely affect our business,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financial condition or results of operations. We have entered into a stipulation agreeing that the WBD Merger will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not close, and we will not take any steps to integrate the operations of Paramount with those of WBD, until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earlier of five days following the court’s ruling or June 1, 2027.</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difficulties of combining the operations of Paramount and WBD include, among others:</w:t>
      </w:r>
    </w:p>
    <w:p>
      <w:pPr>
        <w:pStyle w:val="TextBody"/>
        <w:bidi w:val="0"/>
        <w:spacing w:lineRule="atLeast" w:line="220" w:before="0" w:after="0"/>
        <w:jc w:val="left"/>
        <w:rPr/>
      </w:pPr>
      <w:r>
        <w:rPr>
          <w:caps w:val="false"/>
          <w:smallCaps w:val="false"/>
        </w:rPr>
        <w:t>•</w:t>
      </w:r>
      <w:r>
        <w:rPr>
          <w:rFonts w:ascii="Times New Roman;serif" w:hAnsi="Times New Roman;serif"/>
          <w:b w:val="false"/>
          <w:i w:val="false"/>
          <w:caps w:val="false"/>
          <w:smallCaps w:val="false"/>
          <w:sz w:val="22"/>
        </w:rPr>
        <w:t>the diversion of management attention to integration matters;</w:t>
      </w:r>
    </w:p>
    <w:p>
      <w:pPr>
        <w:pStyle w:val="TextBody"/>
        <w:bidi w:val="0"/>
        <w:spacing w:lineRule="atLeast" w:line="220" w:before="0" w:after="0"/>
        <w:jc w:val="left"/>
        <w:rPr/>
      </w:pPr>
      <w:r>
        <w:rPr>
          <w:caps w:val="false"/>
          <w:smallCaps w:val="false"/>
        </w:rPr>
        <w:t>•</w:t>
      </w:r>
      <w:r>
        <w:rPr>
          <w:rFonts w:ascii="Times New Roman;serif" w:hAnsi="Times New Roman;serif"/>
          <w:b w:val="false"/>
          <w:i w:val="false"/>
          <w:caps w:val="false"/>
          <w:smallCaps w:val="false"/>
          <w:sz w:val="22"/>
        </w:rPr>
        <w:t xml:space="preserve">difficulties in integrating operations and systems, including administrative, human resources and information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technology infrastructure, financial reporting and internal control systems and intellectual property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communications systems;</w:t>
      </w:r>
    </w:p>
    <w:p>
      <w:pPr>
        <w:pStyle w:val="TextBody"/>
        <w:bidi w:val="0"/>
        <w:spacing w:lineRule="atLeast" w:line="220" w:before="0" w:after="0"/>
        <w:jc w:val="left"/>
        <w:rPr/>
      </w:pPr>
      <w:r>
        <w:rPr>
          <w:caps w:val="false"/>
          <w:smallCaps w:val="false"/>
        </w:rPr>
        <w:t>•</w:t>
      </w:r>
      <w:r>
        <w:rPr>
          <w:rFonts w:ascii="Times New Roman;serif" w:hAnsi="Times New Roman;serif"/>
          <w:b w:val="false"/>
          <w:i w:val="false"/>
          <w:caps w:val="false"/>
          <w:smallCaps w:val="false"/>
          <w:sz w:val="22"/>
        </w:rPr>
        <w:t xml:space="preserve">challenges in conforming standards, controls, procedures and accounting and other policies, business cultures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and compensation structures between the two companies;</w:t>
      </w:r>
    </w:p>
    <w:p>
      <w:pPr>
        <w:pStyle w:val="TextBody"/>
        <w:bidi w:val="0"/>
        <w:spacing w:lineRule="atLeast" w:line="220" w:before="0" w:after="0"/>
        <w:jc w:val="left"/>
        <w:rPr/>
      </w:pPr>
      <w:r>
        <w:rPr>
          <w:caps w:val="false"/>
          <w:smallCaps w:val="false"/>
        </w:rPr>
        <w:t>•</w:t>
      </w:r>
      <w:r>
        <w:rPr>
          <w:rFonts w:ascii="Times New Roman;serif" w:hAnsi="Times New Roman;serif"/>
          <w:b w:val="false"/>
          <w:i w:val="false"/>
          <w:caps w:val="false"/>
          <w:smallCaps w:val="false"/>
          <w:sz w:val="22"/>
        </w:rPr>
        <w:t>difficulties in integrating employees and attracting and retaining key personnel, including talent;</w:t>
      </w:r>
    </w:p>
    <w:p>
      <w:pPr>
        <w:pStyle w:val="TextBody"/>
        <w:bidi w:val="0"/>
        <w:spacing w:lineRule="atLeast" w:line="220" w:before="0" w:after="0"/>
        <w:jc w:val="left"/>
        <w:rPr/>
      </w:pPr>
      <w:r>
        <w:rPr>
          <w:caps w:val="false"/>
          <w:smallCaps w:val="false"/>
        </w:rPr>
        <w:t>•</w:t>
      </w:r>
      <w:r>
        <w:rPr>
          <w:rFonts w:ascii="Times New Roman;serif" w:hAnsi="Times New Roman;serif"/>
          <w:b w:val="false"/>
          <w:i w:val="false"/>
          <w:caps w:val="false"/>
          <w:smallCaps w:val="false"/>
          <w:sz w:val="22"/>
        </w:rPr>
        <w:t xml:space="preserve">challenges in retaining existing, and obtaining new customers, viewers, subscribers, suppliers, distributors,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licensors, lessors, employees, business associates, advertisers, creative talent and others;</w:t>
      </w:r>
    </w:p>
    <w:p>
      <w:pPr>
        <w:pStyle w:val="TextBody"/>
        <w:bidi w:val="0"/>
        <w:spacing w:lineRule="atLeast" w:line="220" w:before="0" w:after="0"/>
        <w:jc w:val="left"/>
        <w:rPr/>
      </w:pPr>
      <w:r>
        <w:rPr>
          <w:caps w:val="false"/>
          <w:smallCaps w:val="false"/>
        </w:rPr>
        <w:t>•</w:t>
      </w:r>
      <w:r>
        <w:rPr>
          <w:rFonts w:ascii="Times New Roman;serif" w:hAnsi="Times New Roman;serif"/>
          <w:b w:val="false"/>
          <w:i w:val="false"/>
          <w:caps w:val="false"/>
          <w:smallCaps w:val="false"/>
          <w:sz w:val="22"/>
        </w:rPr>
        <w:t xml:space="preserve">difficulties in achieving anticipated cost savings, synergies, accretion targets, business opportunities, financing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plans and growth prospects from the combination;</w:t>
      </w:r>
    </w:p>
    <w:p>
      <w:pPr>
        <w:pStyle w:val="TextBody"/>
        <w:bidi w:val="0"/>
        <w:spacing w:lineRule="atLeast" w:line="220" w:before="0" w:after="0"/>
        <w:jc w:val="left"/>
        <w:rPr/>
      </w:pPr>
      <w:r>
        <w:rPr>
          <w:caps w:val="false"/>
          <w:smallCaps w:val="false"/>
        </w:rPr>
        <w:t>•</w:t>
      </w:r>
      <w:r>
        <w:rPr>
          <w:rFonts w:ascii="Times New Roman;serif" w:hAnsi="Times New Roman;serif"/>
          <w:b w:val="false"/>
          <w:i w:val="false"/>
          <w:caps w:val="false"/>
          <w:smallCaps w:val="false"/>
          <w:sz w:val="22"/>
        </w:rPr>
        <w:t xml:space="preserve">difficulties in managing the expanded operations of a significantly larger and more complex combined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company;</w:t>
      </w:r>
    </w:p>
    <w:p>
      <w:pPr>
        <w:pStyle w:val="TextBody"/>
        <w:bidi w:val="0"/>
        <w:spacing w:lineRule="atLeast" w:line="220" w:before="0" w:after="0"/>
        <w:jc w:val="left"/>
        <w:rPr/>
      </w:pPr>
      <w:r>
        <w:rPr>
          <w:caps w:val="false"/>
          <w:smallCaps w:val="false"/>
        </w:rPr>
        <w:t>•</w:t>
      </w:r>
      <w:r>
        <w:rPr>
          <w:rFonts w:ascii="Times New Roman;serif" w:hAnsi="Times New Roman;serif"/>
          <w:b w:val="false"/>
          <w:i w:val="false"/>
          <w:caps w:val="false"/>
          <w:smallCaps w:val="false"/>
          <w:sz w:val="22"/>
        </w:rPr>
        <w:t xml:space="preserve">the costs of servicing the increased indebtedness and interest expense of the combined company resulting from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WBD Merger and the related financing transactions; </w:t>
      </w:r>
    </w:p>
    <w:p>
      <w:pPr>
        <w:pStyle w:val="TextBody"/>
        <w:bidi w:val="0"/>
        <w:spacing w:lineRule="atLeast" w:line="220" w:before="0" w:after="0"/>
        <w:jc w:val="left"/>
        <w:rPr/>
      </w:pPr>
      <w:r>
        <w:rPr>
          <w:caps w:val="false"/>
          <w:smallCaps w:val="false"/>
        </w:rPr>
        <w:t>•</w:t>
      </w:r>
      <w:r>
        <w:rPr>
          <w:rFonts w:ascii="Times New Roman;serif" w:hAnsi="Times New Roman;serif"/>
          <w:b w:val="false"/>
          <w:i w:val="false"/>
          <w:caps w:val="false"/>
          <w:smallCaps w:val="false"/>
          <w:sz w:val="22"/>
        </w:rPr>
        <w:t>challenges in continuing to develop valuable and widely-accepted content and technologies;</w:t>
      </w:r>
    </w:p>
    <w:p>
      <w:pPr>
        <w:pStyle w:val="TextBody"/>
        <w:bidi w:val="0"/>
        <w:spacing w:lineRule="atLeast" w:line="220" w:before="0" w:after="0"/>
        <w:jc w:val="left"/>
        <w:rPr/>
      </w:pPr>
      <w:r>
        <w:rPr>
          <w:caps w:val="false"/>
          <w:smallCaps w:val="false"/>
        </w:rPr>
        <w:t>•</w:t>
      </w:r>
      <w:r>
        <w:rPr>
          <w:rFonts w:ascii="Times New Roman;serif" w:hAnsi="Times New Roman;serif"/>
          <w:b w:val="false"/>
          <w:i w:val="false"/>
          <w:caps w:val="false"/>
          <w:smallCaps w:val="false"/>
          <w:sz w:val="22"/>
        </w:rPr>
        <w:t>contingent liabilities that are larger than expected; and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w:t>
      </w:r>
    </w:p>
    <w:p>
      <w:pPr>
        <w:pStyle w:val="TextBody"/>
        <w:bidi w:val="0"/>
        <w:spacing w:lineRule="atLeast" w:line="220" w:before="0" w:after="0"/>
        <w:jc w:val="left"/>
        <w:rPr/>
      </w:pPr>
      <w:r>
        <w:rPr>
          <w:caps w:val="false"/>
          <w:smallCaps w:val="false"/>
        </w:rPr>
        <w:t>•</w:t>
      </w:r>
      <w:r>
        <w:rPr>
          <w:rFonts w:ascii="Times New Roman;serif" w:hAnsi="Times New Roman;serif"/>
          <w:b w:val="false"/>
          <w:i w:val="false"/>
          <w:caps w:val="false"/>
          <w:smallCaps w:val="false"/>
          <w:sz w:val="22"/>
        </w:rPr>
        <w:t xml:space="preserve">potential unknown liabilities, adverse consequences and unforeseen increased expenses associated with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WBD Merger.</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Many of these factors are outside of the control of Paramount and WBD, and any one of them could result in lower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revenues, higher costs and diversion of management time and energy, which could materially and adversely impact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business, financial condition or results of operations. In addition, even if the operations of WBD’s business are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integrated successfully with Paramount, the full benefits of the WBD Merger may not be realized, including,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among others, the synergies, cost savings or sales or growth opportunities that are expected. These benefits may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not be achieved within the anticipated time frame or at all. Further, additional unanticipated costs may be incurred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the integration of WBD’s business and the financing of the transactions. All of these factors could cause dilution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to the earnings per share of Paramount, decrease or delay the projected accretive effect of the WBD Merger,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negatively impact the price of our Class B Common Stock following the WBD Merger. As a result, no assurances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can be provided that acquisition of WBD will result in the realization of the full benefits expected from the WBD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Merger within the anticipated time frames or at all.</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We have incurred, and will continue to incur, substantial direct and indirect costs as a result of the WBD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Merger.</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have incurred, and will continue to incur, substantial expenses in connection with and as a result of completing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WBD Merger, including financial advisory, legal, accounting, consulting and other advisory fees and expenses,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employee-benefit and related expenses, regulatory filings, financing fees and filing and printing fees. In addition,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over a period of time following the Closing, we expect to incur substantial expenses in connection with integrating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and coordinating WBD’s business, operations, policies and procedures. A portion of the transaction costs related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WBD Merger will be incurred regardless of whether the WBD Merger is completed. While we have assumed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that a certain level of transaction expenses will be incurred, factors beyond our control could affect the total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amount or the timing of these expenses. Many of the expenses that will be incurred are, by their nature, difficult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estimate accurately. These expenses may exceed the costs historically borne by us. These costs could adversely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affect our business, financial condition or results of operations. We expect that these expenses will increase,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longer it takes to complete the WBD Merger.</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We are incurring substantial indebtedness in connection with the WBD Merger, and the degree to which we will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be leveraged following the completion of the WBD Merger may materially and adversely affect our business,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financial condition and results of operations.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are incurring substantial indebtedness in connection with the WBD Merger. As of June 30, 2026, as adjusted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for the WBD Merger, including assuming (i) an estimated $17.7 billion of outstanding senior notes of WBD as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March 31, 2026, are assumed in connection with the WBD Merger, (ii) borrowing the full amount of the $49.0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billion 364-day senior secured bridge term loan facility (or any other permanent financing incurred to reduce or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replace such facility), including to refinance the WBD Term Loans, (iii) the two term A loans each for $2.5 billion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to be funded at Closing, with maturities of three and five years, respectively, (iv) that our existing revolving credit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facility is paid down at Closing and (v) that the new $5.0 billion five-year senior secured revolving credit facility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remains undrawn, we would have had approximately $86.3 billion of total debt (excluding debt issuance costs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capital lease obligations).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ability to make payments on and to refinance our indebtedness, including the debt incurred pursuant to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WBD Merger, as well as any future debt that we may incur, will depend on our ability to generate cash in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future from operations or financings. Our ability to generate cash is subject to general economic, financial,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competitive, legislative, regulatory and other factors that are beyond our control. We may not generate sufficient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cash flow from our operations or that future borrowings will be available to us in an amount sufficient to service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debt and meet our business needs, such as funding working capital or the expansion of our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If our cash flows and capital resources are insufficient to fund debt service obligations or we are not able to repay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or refinance our debt as it becomes due, we may be forced to take certain actions, including reducing spending 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content and programming, reducing future financing for working capital, capital expenditures and general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corporate purposes, reducing or delaying investments, reducing, suspending or eliminating our dividend, disposing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of material assets or operations, seeking additional debt or equity capital, restructuring or refinancing our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indebtedness or dedicating an unsustainable level of our cash flow from operations to the payment of principal and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interest on our indebtedness. The lenders or bondholders that hold our debt could also accelerate amounts due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event that we default, which could potentially trigger a default or acceleration of the maturity of our other debt.</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level and quality of the combined company’s earnings, operations, business and management, among other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things, will impact the determination of the combined company’s credit ratings. A decrease in the ratings assigned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to the combined company or any series of its debt by the ratings agencies may negatively impact the combined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company’s access to the debt capital markets and increase the combined company’s cost of borrowing. There can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be no assurance that the combined company will be able to obtain financing on acceptable terms or at all, or be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able to generate sufficient cash flow to reduce leverage in the time frame expected or at all. In addition, there can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be no assurance that the combined company will be able to maintain the current creditworthiness or prospective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credit ratings of Paramount or WBD, particularly given recent negative ratings actions or credit watches taken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light of the WBD Merger, and any further actual or anticipated changes or downgrades in such credit ratings may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have a negative impact on the liquidity, capital position or access to capital markets of the combined company.</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addition, our leverage could put us at a competitive disadvantage compared to our competitors that are less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leveraged. These competitors could have greater financial flexibility to pursue strategic acquisitions and secure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additional financing for their operations. Our leverage could also impede our ability to withstand downturns in our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industry or the economy in general.</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Despite our expected level of indebtedness, we may still incur substantially more indebtedness. This could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exacerbate the risks associated with our substantial indebtedness.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may incur substantial additional indebtedness in the future. The terms of the agreements governing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indebtedness we will incur in connection with the WBD Merger may limit, but not prohibit, us from incurring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additional indebtedness. If new indebtedness is added to our current debt levels, the related risks that we now face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could increase. Any additional indebtedness could have the effect of, among other things, reducing our flexibility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to respond to changing business and economic conditions. In addition, the amount of cash required to pay interest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on any additional indebtedness levels will increase the demand on our cash resources and reduce funds available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for capital expenditures, share repurchases and dividends, and other activities and may create competitive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disadvantages for us relative to other companies with lower debt levels.</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Our existing stockholders will have a reduced ownership and economic interest in Paramount after the WBD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 xml:space="preserve">Merger. The PIPE Transaction and the issuance of the Warrants may cause dilution to the earnings per share </w:t>
      </w:r>
    </w:p>
    <w:p>
      <w:pPr>
        <w:pStyle w:val="TextBody"/>
        <w:bidi w:val="0"/>
        <w:spacing w:lineRule="atLeast" w:line="220" w:before="0" w:after="0"/>
        <w:jc w:val="left"/>
        <w:rPr>
          <w:rFonts w:ascii="Times New Roman;serif" w:hAnsi="Times New Roman;serif"/>
          <w:b/>
          <w:i/>
          <w:sz w:val="22"/>
        </w:rPr>
      </w:pPr>
      <w:r>
        <w:rPr>
          <w:rFonts w:ascii="Times New Roman;serif" w:hAnsi="Times New Roman;serif"/>
          <w:b/>
          <w:i/>
          <w:sz w:val="22"/>
        </w:rPr>
        <w:t>of Paramount, which may negatively affect the market price of our Class B Common Stock.</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Following Closing, it is anticipated that the Equity Syndication Parties (excluding affiliates of the Ellison Parties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and RedBird) will receive approximately 40% to 43% of the outstanding shares of our Class B Common Stock as a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result of the PIPE Transaction (as defined in the WBD Merger Agreement). The shares of Class B Common Stock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issued in the PIPE Transaction will represent, in the aggregate, 73% to 78% of the shares of our Class B Common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Stock outstanding after giving effect to the PIPE Transaction and assuming no Ticking Consideration is payable.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Consequently, our existing stockholders will have a reduced ownership and economic interest following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consummation of the WBD Merger and the PIPE Transaction. Additionally, the Subscription Agreement with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Ellison Parties would result in the issuance of additional shares of Class B Common Stock in the amount required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to finance any such Ticking Consideration. Assuming payment of the maximum Ticking Consideration that would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be payable through the extended End Date of June 4, 2027 pursuant to the WBD Merger Agreement, the shares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Class B Common Stock issued in the PIPE Transaction will represent, in the aggregate, 74% to 79%, of the shares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of our Class B Common Stock outstanding after giving effect to the PIPE Transaction.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 change in the concentration of the ownership of our Class B Common Stock as a result of the WBD Merger may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affect the public float and trading volume in our Class B Common Stock. Our Class B Common Stock may be less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liquid as a result of a reduced public float than the shares of companies with broader public ownership, which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could have the effect of increasing volatility and adversely affecting the trading price of our Class B Common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Stock.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issuance of shares of our Class B Common Stock as part of the PIPE Transaction and the shares of Class B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Common Stock issuable upon the exercise of the Warrants could have the effect of depressing the market price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Class B Common Stock. Furthermore, if we raise additional equity capital following the Closing, including in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order to achieve our deleveraging goals with respect to the substantial indebtedness we will incur in connection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with the WBD Merger, any such equity financings would result in additional dilution to holders of our common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stock. In addition, we could encounter other transaction-related costs or effects, such as the failure to realize all of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benefits anticipated in the WBD Merger, which could cause dilution to earnings per share or decrease or delay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expected accretive effect of the WBD Merger and cause a decrease in the market price of our Class B Common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Stock. We may also be required to pay the $7.0 billion Regulatory Termination Fee pursuant to the terms of the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WBD Merger Agreement, which is expected to be financed through the issuance of additional shares of Class B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Common Stock pursuant to the terms of the Subscription Agreements. If this occurs, it would result in dilution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our existing stockholders even if the WBD Merger is not consummated.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857" w:type="dxa"/>
        <w:jc w:val="left"/>
        <w:tblInd w:w="0" w:type="dxa"/>
        <w:tblLayout w:type="fixed"/>
        <w:tblCellMar>
          <w:top w:w="28" w:type="dxa"/>
          <w:left w:w="28" w:type="dxa"/>
          <w:bottom w:w="28" w:type="dxa"/>
          <w:right w:w="28" w:type="dxa"/>
        </w:tblCellMar>
      </w:tblPr>
      <w:tblGrid>
        <w:gridCol w:w="811"/>
        <w:gridCol w:w="6046"/>
      </w:tblGrid>
      <w:tr>
        <w:trPr/>
        <w:tc>
          <w:tcPr>
            <w:tcW w:w="811" w:type="dxa"/>
            <w:tcBorders/>
            <w:vAlign w:val="center"/>
          </w:tcPr>
          <w:p>
            <w:pPr>
              <w:pStyle w:val="TableContents"/>
              <w:bidi w:val="0"/>
              <w:spacing w:before="0" w:after="283"/>
              <w:jc w:val="left"/>
              <w:rPr>
                <w:sz w:val="4"/>
                <w:szCs w:val="4"/>
              </w:rPr>
            </w:pPr>
            <w:r>
              <w:rPr>
                <w:sz w:val="4"/>
                <w:szCs w:val="4"/>
              </w:rPr>
            </w:r>
          </w:p>
        </w:tc>
        <w:tc>
          <w:tcPr>
            <w:tcW w:w="6046"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Item 2.</w:t>
            </w:r>
          </w:p>
        </w:tc>
        <w:tc>
          <w:tcPr>
            <w:tcW w:w="6046" w:type="dxa"/>
            <w:tcBorders/>
            <w:vAlign w:val="center"/>
          </w:tcPr>
          <w:p>
            <w:pPr>
              <w:pStyle w:val="TableContents"/>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Unregistered Sales of Equity Securities and Use of Proceeds.</w:t>
            </w:r>
          </w:p>
        </w:tc>
      </w:tr>
    </w:tbl>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Company Purchases of Equity Securities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None.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17" w:type="dxa"/>
        <w:jc w:val="left"/>
        <w:tblInd w:w="0" w:type="dxa"/>
        <w:tblLayout w:type="fixed"/>
        <w:tblCellMar>
          <w:top w:w="28" w:type="dxa"/>
          <w:left w:w="28" w:type="dxa"/>
          <w:bottom w:w="28" w:type="dxa"/>
          <w:right w:w="28" w:type="dxa"/>
        </w:tblCellMar>
      </w:tblPr>
      <w:tblGrid>
        <w:gridCol w:w="811"/>
        <w:gridCol w:w="1006"/>
      </w:tblGrid>
      <w:tr>
        <w:trPr/>
        <w:tc>
          <w:tcPr>
            <w:tcW w:w="81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Item 6.</w:t>
            </w:r>
          </w:p>
        </w:tc>
        <w:tc>
          <w:tcPr>
            <w:tcW w:w="1006" w:type="dxa"/>
            <w:tcBorders/>
            <w:vAlign w:val="center"/>
          </w:tcPr>
          <w:p>
            <w:pPr>
              <w:pStyle w:val="TableContents"/>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Exhibits.</w:t>
            </w:r>
          </w:p>
        </w:tc>
      </w:tr>
    </w:tbl>
    <w:tbl>
      <w:tblPr>
        <w:tblW w:w="10205" w:type="dxa"/>
        <w:jc w:val="left"/>
        <w:tblInd w:w="0" w:type="dxa"/>
        <w:tblLayout w:type="fixed"/>
        <w:tblCellMar>
          <w:top w:w="28" w:type="dxa"/>
          <w:left w:w="28" w:type="dxa"/>
          <w:bottom w:w="28" w:type="dxa"/>
          <w:right w:w="28" w:type="dxa"/>
        </w:tblCellMar>
      </w:tblPr>
      <w:tblGrid>
        <w:gridCol w:w="755"/>
        <w:gridCol w:w="447"/>
        <w:gridCol w:w="9003"/>
      </w:tblGrid>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003" w:type="dxa"/>
            <w:tcBorders/>
            <w:vAlign w:val="center"/>
          </w:tcPr>
          <w:p>
            <w:pPr>
              <w:pStyle w:val="TableContents"/>
              <w:bidi w:val="0"/>
              <w:spacing w:before="0" w:after="283"/>
              <w:jc w:val="left"/>
              <w:rPr>
                <w:sz w:val="4"/>
                <w:szCs w:val="4"/>
              </w:rPr>
            </w:pPr>
            <w:r>
              <w:rPr>
                <w:sz w:val="4"/>
                <w:szCs w:val="4"/>
              </w:rPr>
            </w:r>
          </w:p>
        </w:tc>
      </w:tr>
      <w:tr>
        <w:trPr/>
        <w:tc>
          <w:tcPr>
            <w:tcW w:w="1202" w:type="dxa"/>
            <w:gridSpan w:val="2"/>
            <w:tcBorders>
              <w:bottom w:val="single" w:sz="8" w:space="0" w:color="000000"/>
            </w:tcBorders>
            <w:tcMar>
              <w:top w:w="0" w:type="dxa"/>
              <w:left w:w="0" w:type="dxa"/>
              <w:right w:w="0" w:type="dxa"/>
            </w:tcMar>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Exhibit No.</w:t>
            </w:r>
          </w:p>
        </w:tc>
        <w:tc>
          <w:tcPr>
            <w:tcW w:w="9003" w:type="dxa"/>
            <w:tcBorders>
              <w:bottom w:val="single" w:sz="8" w:space="0" w:color="000000"/>
            </w:tcBorders>
            <w:tcMar>
              <w:top w:w="0" w:type="dxa"/>
              <w:left w:w="0" w:type="dxa"/>
              <w:right w:w="0" w:type="dxa"/>
            </w:tcMar>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Description of Document</w:t>
            </w:r>
          </w:p>
        </w:tc>
      </w:tr>
      <w:tr>
        <w:trPr/>
        <w:tc>
          <w:tcPr>
            <w:tcW w:w="755" w:type="dxa"/>
            <w:tcBorders>
              <w:top w:val="single" w:sz="8" w:space="0" w:color="000000"/>
            </w:tcBorders>
            <w:tcMar>
              <w:left w:w="0" w:type="dxa"/>
              <w:bottom w:w="0" w:type="dxa"/>
              <w:right w:w="0" w:type="dxa"/>
            </w:tcMar>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(3)</w:t>
            </w:r>
          </w:p>
        </w:tc>
        <w:tc>
          <w:tcPr>
            <w:tcW w:w="44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tcBorders>
              <w:top w:val="single" w:sz="8" w:space="0" w:color="000000"/>
            </w:tcBorders>
            <w:tcMar>
              <w:left w:w="0" w:type="dxa"/>
              <w:bottom w:w="0" w:type="dxa"/>
              <w:right w:w="0" w:type="dxa"/>
            </w:tcMar>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Articles of Incorporation and Bylaws</w:t>
            </w:r>
          </w:p>
        </w:tc>
      </w:tr>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(a)</w:t>
            </w:r>
          </w:p>
        </w:tc>
        <w:tc>
          <w:tcPr>
            <w:tcW w:w="9003"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Certificate of Amendment to the Amended and Restated Certificate of Incorporation of Paramount </w:t>
            </w:r>
          </w:p>
          <w:p>
            <w:pPr>
              <w:pStyle w:val="TableContents"/>
              <w:bidi w:val="0"/>
              <w:spacing w:lineRule="atLeast" w:line="220" w:before="0" w:after="0"/>
              <w:jc w:val="left"/>
              <w:rPr/>
            </w:pPr>
            <w:r>
              <w:rPr>
                <w:rFonts w:ascii="Times New Roman;serif" w:hAnsi="Times New Roman;serif"/>
                <w:b w:val="false"/>
                <w:i w:val="false"/>
                <w:caps w:val="false"/>
                <w:smallCaps w:val="false"/>
                <w:sz w:val="22"/>
              </w:rPr>
              <w:t xml:space="preserve">Skydance Corporation (incorporated by reference to </w:t>
            </w:r>
            <w:hyperlink r:id="rId2">
              <w:r>
                <w:rPr>
                  <w:rStyle w:val="InternetLink"/>
                  <w:rFonts w:ascii="Times New Roman;serif" w:hAnsi="Times New Roman;serif"/>
                  <w:b w:val="false"/>
                  <w:i w:val="false"/>
                  <w:caps w:val="false"/>
                  <w:smallCaps w:val="false"/>
                  <w:color w:val="0000FF"/>
                  <w:sz w:val="22"/>
                  <w:u w:val="single"/>
                </w:rPr>
                <w:t>Exhibit 3.1</w:t>
              </w:r>
            </w:hyperlink>
            <w:r>
              <w:rPr>
                <w:caps w:val="false"/>
                <w:smallCaps w:val="false"/>
              </w:rPr>
              <w:t xml:space="preserve"> </w:t>
            </w:r>
            <w:r>
              <w:rPr>
                <w:rFonts w:ascii="Times New Roman;serif" w:hAnsi="Times New Roman;serif"/>
                <w:b w:val="false"/>
                <w:i w:val="false"/>
                <w:caps w:val="false"/>
                <w:smallCaps w:val="false"/>
                <w:sz w:val="22"/>
              </w:rPr>
              <w:t xml:space="preserve">to the Current Report on Form 8-K </w:t>
            </w:r>
          </w:p>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of Paramount Skydance Corporation filed April 7, 2026) (File No. 001-42791).</w:t>
            </w:r>
          </w:p>
        </w:tc>
      </w:tr>
      <w:tr>
        <w:trPr/>
        <w:tc>
          <w:tcPr>
            <w:tcW w:w="755"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(10)</w:t>
            </w:r>
          </w:p>
        </w:tc>
        <w:tc>
          <w:tcPr>
            <w:tcW w:w="447" w:type="dxa"/>
            <w:tcBorders/>
            <w:vAlign w:val="center"/>
          </w:tcPr>
          <w:p>
            <w:pPr>
              <w:pStyle w:val="TableContents"/>
              <w:bidi w:val="0"/>
              <w:spacing w:before="0" w:after="283"/>
              <w:jc w:val="left"/>
              <w:rPr>
                <w:sz w:val="4"/>
                <w:szCs w:val="4"/>
              </w:rPr>
            </w:pPr>
            <w:r>
              <w:rPr>
                <w:sz w:val="4"/>
                <w:szCs w:val="4"/>
              </w:rPr>
            </w:r>
          </w:p>
        </w:tc>
        <w:tc>
          <w:tcPr>
            <w:tcW w:w="9003"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Material Contracts</w:t>
            </w:r>
          </w:p>
        </w:tc>
      </w:tr>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(a)</w:t>
            </w:r>
          </w:p>
        </w:tc>
        <w:tc>
          <w:tcPr>
            <w:tcW w:w="9003"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Pro Rata Credit Agreement, dated as of April 7, 2026, by and among the parties listed therein </w:t>
            </w:r>
          </w:p>
          <w:p>
            <w:pPr>
              <w:pStyle w:val="TableContents"/>
              <w:bidi w:val="0"/>
              <w:spacing w:lineRule="atLeast" w:line="220" w:before="0" w:after="0"/>
              <w:jc w:val="left"/>
              <w:rPr/>
            </w:pPr>
            <w:r>
              <w:rPr>
                <w:rFonts w:ascii="Times New Roman;serif" w:hAnsi="Times New Roman;serif"/>
                <w:b w:val="false"/>
                <w:i w:val="false"/>
                <w:caps w:val="false"/>
                <w:smallCaps w:val="false"/>
                <w:sz w:val="22"/>
              </w:rPr>
              <w:t xml:space="preserve">(incorporated by reference to </w:t>
            </w:r>
            <w:hyperlink r:id="rId3">
              <w:r>
                <w:rPr>
                  <w:rStyle w:val="InternetLink"/>
                  <w:rFonts w:ascii="Times New Roman;serif" w:hAnsi="Times New Roman;serif"/>
                  <w:b w:val="false"/>
                  <w:i w:val="false"/>
                  <w:caps w:val="false"/>
                  <w:smallCaps w:val="false"/>
                  <w:color w:val="0000FF"/>
                  <w:sz w:val="22"/>
                  <w:u w:val="single"/>
                </w:rPr>
                <w:t>Exhibit 10.1</w:t>
              </w:r>
            </w:hyperlink>
            <w:r>
              <w:rPr>
                <w:caps w:val="false"/>
                <w:smallCaps w:val="false"/>
              </w:rPr>
              <w:t xml:space="preserve"> </w:t>
            </w:r>
            <w:r>
              <w:rPr>
                <w:rFonts w:ascii="Times New Roman;serif" w:hAnsi="Times New Roman;serif"/>
                <w:b w:val="false"/>
                <w:i w:val="false"/>
                <w:caps w:val="false"/>
                <w:smallCaps w:val="false"/>
                <w:sz w:val="22"/>
              </w:rPr>
              <w:t xml:space="preserve">to the Current Report on Form 8-K of Paramount </w:t>
            </w:r>
          </w:p>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Skydance Corporation filed April 9, 2026) (File No. 001-42791).</w:t>
            </w:r>
          </w:p>
        </w:tc>
      </w:tr>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(b)</w:t>
            </w:r>
          </w:p>
        </w:tc>
        <w:tc>
          <w:tcPr>
            <w:tcW w:w="9003"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Amendment No. 7 to the Revolving Credit Agreement, dated as of April 7, 2026, by and among the </w:t>
            </w:r>
          </w:p>
          <w:p>
            <w:pPr>
              <w:pStyle w:val="TableContents"/>
              <w:bidi w:val="0"/>
              <w:spacing w:lineRule="atLeast" w:line="220" w:before="0" w:after="0"/>
              <w:jc w:val="left"/>
              <w:rPr/>
            </w:pPr>
            <w:r>
              <w:rPr>
                <w:rFonts w:ascii="Times New Roman;serif" w:hAnsi="Times New Roman;serif"/>
                <w:b w:val="false"/>
                <w:i w:val="false"/>
                <w:caps w:val="false"/>
                <w:smallCaps w:val="false"/>
                <w:sz w:val="22"/>
              </w:rPr>
              <w:t xml:space="preserve">parties listed therein (incorporated by reference to </w:t>
            </w:r>
            <w:hyperlink r:id="rId4">
              <w:r>
                <w:rPr>
                  <w:rStyle w:val="InternetLink"/>
                  <w:rFonts w:ascii="Times New Roman;serif" w:hAnsi="Times New Roman;serif"/>
                  <w:b w:val="false"/>
                  <w:i w:val="false"/>
                  <w:caps w:val="false"/>
                  <w:smallCaps w:val="false"/>
                  <w:color w:val="0000FF"/>
                  <w:sz w:val="22"/>
                  <w:u w:val="single"/>
                </w:rPr>
                <w:t>Exhibit 10.2</w:t>
              </w:r>
            </w:hyperlink>
            <w:r>
              <w:rPr>
                <w:caps w:val="false"/>
                <w:smallCaps w:val="false"/>
              </w:rPr>
              <w:t xml:space="preserve"> </w:t>
            </w:r>
            <w:r>
              <w:rPr>
                <w:rFonts w:ascii="Times New Roman;serif" w:hAnsi="Times New Roman;serif"/>
                <w:b w:val="false"/>
                <w:i w:val="false"/>
                <w:caps w:val="false"/>
                <w:smallCaps w:val="false"/>
                <w:sz w:val="22"/>
              </w:rPr>
              <w:t xml:space="preserve">to the Current Report on Form 8-K </w:t>
            </w:r>
          </w:p>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of Paramount Skydance Corporation filed April 9, 2026) (File No. 001-42791).</w:t>
            </w:r>
          </w:p>
        </w:tc>
      </w:tr>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(c)</w:t>
            </w:r>
          </w:p>
        </w:tc>
        <w:tc>
          <w:tcPr>
            <w:tcW w:w="9003"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Separation Agreement, dated as of April 8, 2026, by and among Paramount Skydance Corporation, </w:t>
            </w:r>
          </w:p>
          <w:p>
            <w:pPr>
              <w:pStyle w:val="TableContents"/>
              <w:bidi w:val="0"/>
              <w:spacing w:lineRule="atLeast" w:line="220" w:before="0" w:after="0"/>
              <w:jc w:val="left"/>
              <w:rPr/>
            </w:pPr>
            <w:r>
              <w:rPr>
                <w:rFonts w:ascii="Times New Roman;serif" w:hAnsi="Times New Roman;serif"/>
                <w:b w:val="false"/>
                <w:i w:val="false"/>
                <w:caps w:val="false"/>
                <w:smallCaps w:val="false"/>
                <w:sz w:val="22"/>
              </w:rPr>
              <w:t xml:space="preserve">Paramount Global and Jeffrey Shell (incorporated by reference to </w:t>
            </w:r>
            <w:hyperlink r:id="rId5">
              <w:r>
                <w:rPr>
                  <w:rStyle w:val="InternetLink"/>
                  <w:rFonts w:ascii="Times New Roman;serif" w:hAnsi="Times New Roman;serif"/>
                  <w:b w:val="false"/>
                  <w:i w:val="false"/>
                  <w:caps w:val="false"/>
                  <w:smallCaps w:val="false"/>
                  <w:color w:val="0000FF"/>
                  <w:sz w:val="22"/>
                  <w:u w:val="single"/>
                </w:rPr>
                <w:t>Exhibit 10.3</w:t>
              </w:r>
            </w:hyperlink>
            <w:r>
              <w:rPr>
                <w:caps w:val="false"/>
                <w:smallCaps w:val="false"/>
              </w:rPr>
              <w:t xml:space="preserve"> </w:t>
            </w:r>
            <w:r>
              <w:rPr>
                <w:rFonts w:ascii="Times New Roman;serif" w:hAnsi="Times New Roman;serif"/>
                <w:b w:val="false"/>
                <w:i w:val="false"/>
                <w:caps w:val="false"/>
                <w:smallCaps w:val="false"/>
                <w:sz w:val="22"/>
              </w:rPr>
              <w:t xml:space="preserve">to the Current Report </w:t>
            </w:r>
          </w:p>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on Form 8-K of Paramount Skydance Corporation filed April 9, 2026) (File No. 001-42791).</w:t>
            </w:r>
          </w:p>
        </w:tc>
      </w:tr>
      <w:tr>
        <w:trPr/>
        <w:tc>
          <w:tcPr>
            <w:tcW w:w="755"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(31)</w:t>
            </w:r>
          </w:p>
        </w:tc>
        <w:tc>
          <w:tcPr>
            <w:tcW w:w="447" w:type="dxa"/>
            <w:tcBorders/>
            <w:vAlign w:val="center"/>
          </w:tcPr>
          <w:p>
            <w:pPr>
              <w:pStyle w:val="TableContents"/>
              <w:bidi w:val="0"/>
              <w:spacing w:before="0" w:after="283"/>
              <w:jc w:val="left"/>
              <w:rPr>
                <w:sz w:val="4"/>
                <w:szCs w:val="4"/>
              </w:rPr>
            </w:pPr>
            <w:r>
              <w:rPr>
                <w:sz w:val="4"/>
                <w:szCs w:val="4"/>
              </w:rPr>
            </w:r>
          </w:p>
        </w:tc>
        <w:tc>
          <w:tcPr>
            <w:tcW w:w="9003"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Rule 13a-14(a)/15d-14(a) Certifications</w:t>
            </w:r>
          </w:p>
        </w:tc>
      </w:tr>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(a)</w:t>
            </w:r>
          </w:p>
        </w:tc>
        <w:tc>
          <w:tcPr>
            <w:tcW w:w="9003"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Certification of the principal executive officer of Paramount Skydance Corporation pursuant to Rule </w:t>
            </w:r>
          </w:p>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13a-14(a), or 15d-14(a), as adopted pursuant to Section 302 of the Sarbanes Oxley Act of 2002 </w:t>
            </w:r>
          </w:p>
          <w:p>
            <w:pPr>
              <w:pStyle w:val="TableContents"/>
              <w:bidi w:val="0"/>
              <w:spacing w:lineRule="atLeast" w:line="220" w:before="0" w:after="0"/>
              <w:jc w:val="left"/>
              <w:rPr/>
            </w:pPr>
            <w:r>
              <w:rPr>
                <w:rFonts w:ascii="Times New Roman;serif" w:hAnsi="Times New Roman;serif"/>
                <w:b w:val="false"/>
                <w:i w:val="false"/>
                <w:caps w:val="false"/>
                <w:smallCaps w:val="false"/>
                <w:sz w:val="22"/>
              </w:rPr>
              <w:t>(</w:t>
            </w:r>
            <w:hyperlink w:anchor="psky_ex31ax063026.htm">
              <w:r>
                <w:rPr>
                  <w:rStyle w:val="InternetLink"/>
                  <w:rFonts w:ascii="Times New Roman;serif" w:hAnsi="Times New Roman;serif"/>
                  <w:b w:val="false"/>
                  <w:i w:val="false"/>
                  <w:caps w:val="false"/>
                  <w:smallCaps w:val="false"/>
                  <w:color w:val="0000FF"/>
                  <w:sz w:val="22"/>
                  <w:u w:val="single"/>
                </w:rPr>
                <w:t>filed herewith</w:t>
              </w:r>
            </w:hyperlink>
            <w:r>
              <w:rPr>
                <w:rFonts w:ascii="Times New Roman;serif" w:hAnsi="Times New Roman;serif"/>
                <w:b w:val="false"/>
                <w:i w:val="false"/>
                <w:caps w:val="false"/>
                <w:smallCaps w:val="false"/>
                <w:sz w:val="22"/>
              </w:rPr>
              <w:t>).</w:t>
            </w:r>
          </w:p>
        </w:tc>
      </w:tr>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(b)</w:t>
            </w:r>
          </w:p>
        </w:tc>
        <w:tc>
          <w:tcPr>
            <w:tcW w:w="9003"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Certification of the principal financial officer of Paramount Skydance Corporation pursuant to Rule </w:t>
            </w:r>
          </w:p>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13a-14(a), or 15d-14(a), as adopted pursuant to Section 302 of the Sarbanes Oxley Act of 2002 </w:t>
            </w:r>
          </w:p>
          <w:p>
            <w:pPr>
              <w:pStyle w:val="TableContents"/>
              <w:bidi w:val="0"/>
              <w:spacing w:lineRule="atLeast" w:line="220" w:before="0" w:after="0"/>
              <w:jc w:val="left"/>
              <w:rPr/>
            </w:pPr>
            <w:r>
              <w:rPr>
                <w:rFonts w:ascii="Times New Roman;serif" w:hAnsi="Times New Roman;serif"/>
                <w:b w:val="false"/>
                <w:i w:val="false"/>
                <w:caps w:val="false"/>
                <w:smallCaps w:val="false"/>
                <w:sz w:val="22"/>
              </w:rPr>
              <w:t>(</w:t>
            </w:r>
            <w:hyperlink w:anchor="psky_ex31bx063026.htm">
              <w:r>
                <w:rPr>
                  <w:rStyle w:val="InternetLink"/>
                  <w:rFonts w:ascii="Times New Roman;serif" w:hAnsi="Times New Roman;serif"/>
                  <w:b w:val="false"/>
                  <w:i w:val="false"/>
                  <w:caps w:val="false"/>
                  <w:smallCaps w:val="false"/>
                  <w:color w:val="0000FF"/>
                  <w:sz w:val="22"/>
                  <w:u w:val="single"/>
                </w:rPr>
                <w:t>filed herewith</w:t>
              </w:r>
            </w:hyperlink>
            <w:r>
              <w:rPr>
                <w:rFonts w:ascii="Times New Roman;serif" w:hAnsi="Times New Roman;serif"/>
                <w:b w:val="false"/>
                <w:i w:val="false"/>
                <w:caps w:val="false"/>
                <w:smallCaps w:val="false"/>
                <w:sz w:val="22"/>
              </w:rPr>
              <w:t>).</w:t>
            </w:r>
          </w:p>
        </w:tc>
      </w:tr>
      <w:tr>
        <w:trPr/>
        <w:tc>
          <w:tcPr>
            <w:tcW w:w="755"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(32)</w:t>
            </w:r>
          </w:p>
        </w:tc>
        <w:tc>
          <w:tcPr>
            <w:tcW w:w="447" w:type="dxa"/>
            <w:tcBorders/>
            <w:vAlign w:val="center"/>
          </w:tcPr>
          <w:p>
            <w:pPr>
              <w:pStyle w:val="TableContents"/>
              <w:bidi w:val="0"/>
              <w:spacing w:before="0" w:after="283"/>
              <w:jc w:val="left"/>
              <w:rPr>
                <w:sz w:val="4"/>
                <w:szCs w:val="4"/>
              </w:rPr>
            </w:pPr>
            <w:r>
              <w:rPr>
                <w:sz w:val="4"/>
                <w:szCs w:val="4"/>
              </w:rPr>
            </w:r>
          </w:p>
        </w:tc>
        <w:tc>
          <w:tcPr>
            <w:tcW w:w="9003"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Section 1350 Certifications</w:t>
            </w:r>
          </w:p>
        </w:tc>
      </w:tr>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(a)</w:t>
            </w:r>
          </w:p>
        </w:tc>
        <w:tc>
          <w:tcPr>
            <w:tcW w:w="9003"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Certification of the principal executive officer of Paramount Skydance Corporation furnished </w:t>
            </w:r>
          </w:p>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pursuant to 18 U.S.C. Section 1350, as adopted pursuant to Section 906 of the Sarbanes Oxley Act </w:t>
            </w:r>
          </w:p>
          <w:p>
            <w:pPr>
              <w:pStyle w:val="TableContents"/>
              <w:bidi w:val="0"/>
              <w:spacing w:lineRule="atLeast" w:line="220" w:before="0" w:after="0"/>
              <w:jc w:val="left"/>
              <w:rPr/>
            </w:pPr>
            <w:r>
              <w:rPr>
                <w:rFonts w:ascii="Times New Roman;serif" w:hAnsi="Times New Roman;serif"/>
                <w:b w:val="false"/>
                <w:i w:val="false"/>
                <w:caps w:val="false"/>
                <w:smallCaps w:val="false"/>
                <w:sz w:val="22"/>
              </w:rPr>
              <w:t>of 2002 (</w:t>
            </w:r>
            <w:hyperlink w:anchor="psky_ex32ax063026.htm">
              <w:r>
                <w:rPr>
                  <w:rStyle w:val="InternetLink"/>
                  <w:rFonts w:ascii="Times New Roman;serif" w:hAnsi="Times New Roman;serif"/>
                  <w:b w:val="false"/>
                  <w:i w:val="false"/>
                  <w:caps w:val="false"/>
                  <w:smallCaps w:val="false"/>
                  <w:color w:val="0000FF"/>
                  <w:sz w:val="22"/>
                  <w:u w:val="single"/>
                </w:rPr>
                <w:t>furnished herewith</w:t>
              </w:r>
            </w:hyperlink>
            <w:r>
              <w:rPr>
                <w:rFonts w:ascii="Times New Roman;serif" w:hAnsi="Times New Roman;serif"/>
                <w:b w:val="false"/>
                <w:i w:val="false"/>
                <w:caps w:val="false"/>
                <w:smallCaps w:val="false"/>
                <w:sz w:val="22"/>
              </w:rPr>
              <w:t>).</w:t>
            </w:r>
          </w:p>
        </w:tc>
      </w:tr>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(b)</w:t>
            </w:r>
          </w:p>
        </w:tc>
        <w:tc>
          <w:tcPr>
            <w:tcW w:w="9003"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Certification of the principal financial officer of Paramount Skydance Corporation furnished </w:t>
            </w:r>
          </w:p>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pursuant to 18 U.S.C. Section 1350, as adopted pursuant to Section 906 of the Sarbanes Oxley Act </w:t>
            </w:r>
          </w:p>
          <w:p>
            <w:pPr>
              <w:pStyle w:val="TableContents"/>
              <w:bidi w:val="0"/>
              <w:spacing w:lineRule="atLeast" w:line="220" w:before="0" w:after="0"/>
              <w:jc w:val="left"/>
              <w:rPr/>
            </w:pPr>
            <w:r>
              <w:rPr>
                <w:rFonts w:ascii="Times New Roman;serif" w:hAnsi="Times New Roman;serif"/>
                <w:b w:val="false"/>
                <w:i w:val="false"/>
                <w:caps w:val="false"/>
                <w:smallCaps w:val="false"/>
                <w:sz w:val="22"/>
              </w:rPr>
              <w:t>of 2002 (</w:t>
            </w:r>
            <w:hyperlink w:anchor="psky_ex32bx063026.htm">
              <w:r>
                <w:rPr>
                  <w:rStyle w:val="InternetLink"/>
                  <w:rFonts w:ascii="Times New Roman;serif" w:hAnsi="Times New Roman;serif"/>
                  <w:b w:val="false"/>
                  <w:i w:val="false"/>
                  <w:caps w:val="false"/>
                  <w:smallCaps w:val="false"/>
                  <w:color w:val="0000FF"/>
                  <w:sz w:val="22"/>
                  <w:u w:val="single"/>
                </w:rPr>
                <w:t>furnished herewith</w:t>
              </w:r>
            </w:hyperlink>
            <w:r>
              <w:rPr>
                <w:rFonts w:ascii="Times New Roman;serif" w:hAnsi="Times New Roman;serif"/>
                <w:b w:val="false"/>
                <w:i w:val="false"/>
                <w:caps w:val="false"/>
                <w:smallCaps w:val="false"/>
                <w:sz w:val="22"/>
              </w:rPr>
              <w:t>).</w:t>
            </w:r>
          </w:p>
        </w:tc>
      </w:tr>
      <w:tr>
        <w:trPr/>
        <w:tc>
          <w:tcPr>
            <w:tcW w:w="755"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(101)</w:t>
            </w:r>
          </w:p>
        </w:tc>
        <w:tc>
          <w:tcPr>
            <w:tcW w:w="447" w:type="dxa"/>
            <w:tcBorders/>
            <w:vAlign w:val="center"/>
          </w:tcPr>
          <w:p>
            <w:pPr>
              <w:pStyle w:val="TableContents"/>
              <w:bidi w:val="0"/>
              <w:spacing w:before="0" w:after="283"/>
              <w:jc w:val="left"/>
              <w:rPr>
                <w:sz w:val="4"/>
                <w:szCs w:val="4"/>
              </w:rPr>
            </w:pPr>
            <w:r>
              <w:rPr>
                <w:sz w:val="4"/>
                <w:szCs w:val="4"/>
              </w:rPr>
            </w:r>
          </w:p>
        </w:tc>
        <w:tc>
          <w:tcPr>
            <w:tcW w:w="9003"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Interactive Data File</w:t>
            </w:r>
          </w:p>
        </w:tc>
      </w:tr>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003"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 xml:space="preserve">101. INS XBRL Instance Document - the instance document does not appear in the Interactive Data </w:t>
            </w:r>
          </w:p>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File because its XBRL tags are embedded within the Inline XBRL document.</w:t>
            </w:r>
          </w:p>
        </w:tc>
      </w:tr>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003"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101. SCH Inline XBRL Taxonomy Extension Schema.</w:t>
            </w:r>
          </w:p>
        </w:tc>
      </w:tr>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003"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101. CAL Inline XBRL Taxonomy Extension Calculation Linkbase.</w:t>
            </w:r>
          </w:p>
        </w:tc>
      </w:tr>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003"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101. DEF Inline XBRL Taxonomy Extension Definition Linkbase.</w:t>
            </w:r>
          </w:p>
        </w:tc>
      </w:tr>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003"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101. LAB Inline XBRL Taxonomy Extension Label Linkbase.</w:t>
            </w:r>
          </w:p>
        </w:tc>
      </w:tr>
      <w:tr>
        <w:trPr/>
        <w:tc>
          <w:tcPr>
            <w:tcW w:w="7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003"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101. PRE Inline XBRL Taxonomy Extension Presentation Linkbase.</w:t>
            </w:r>
          </w:p>
        </w:tc>
      </w:tr>
      <w:tr>
        <w:trPr/>
        <w:tc>
          <w:tcPr>
            <w:tcW w:w="755" w:type="dxa"/>
            <w:tcBorders/>
            <w:vAlign w:val="center"/>
          </w:tcPr>
          <w:p>
            <w:pPr>
              <w:pStyle w:val="TableContents"/>
              <w:bidi w:val="0"/>
              <w:spacing w:lineRule="atLeast" w:line="220"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(104)</w:t>
            </w:r>
          </w:p>
        </w:tc>
        <w:tc>
          <w:tcPr>
            <w:tcW w:w="447" w:type="dxa"/>
            <w:tcBorders/>
            <w:vAlign w:val="center"/>
          </w:tcPr>
          <w:p>
            <w:pPr>
              <w:pStyle w:val="TableContents"/>
              <w:bidi w:val="0"/>
              <w:spacing w:before="0" w:after="283"/>
              <w:jc w:val="left"/>
              <w:rPr>
                <w:sz w:val="4"/>
                <w:szCs w:val="4"/>
              </w:rPr>
            </w:pPr>
            <w:r>
              <w:rPr>
                <w:sz w:val="4"/>
                <w:szCs w:val="4"/>
              </w:rPr>
            </w:r>
          </w:p>
        </w:tc>
        <w:tc>
          <w:tcPr>
            <w:tcW w:w="9003" w:type="dxa"/>
            <w:tcBorders/>
            <w:vAlign w:val="center"/>
          </w:tcPr>
          <w:p>
            <w:pPr>
              <w:pStyle w:val="TableContents"/>
              <w:bidi w:val="0"/>
              <w:spacing w:lineRule="atLeast" w:line="220" w:before="0" w:after="0"/>
              <w:jc w:val="left"/>
              <w:rPr/>
            </w:pPr>
            <w:r>
              <w:rPr>
                <w:rFonts w:ascii="Times New Roman;serif" w:hAnsi="Times New Roman;serif"/>
                <w:b/>
                <w:i w:val="false"/>
                <w:caps w:val="false"/>
                <w:smallCaps w:val="false"/>
                <w:sz w:val="22"/>
              </w:rPr>
              <w:t xml:space="preserve">Cover Page Interactive Data File </w:t>
            </w:r>
            <w:r>
              <w:rPr>
                <w:rFonts w:ascii="Times New Roman;serif" w:hAnsi="Times New Roman;serif"/>
                <w:b w:val="false"/>
                <w:i w:val="false"/>
                <w:caps w:val="false"/>
                <w:smallCaps w:val="false"/>
                <w:sz w:val="22"/>
              </w:rPr>
              <w:t>(formatted as Inline XBRL and contained in Exhibit 101).</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SIGNATURES</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Pursuant to the requirements of the Securities Exchange Act of 1934, the registrant has duly caused this report to </w:t>
      </w:r>
    </w:p>
    <w:p>
      <w:pPr>
        <w:pStyle w:val="TextBody"/>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be signed on its behalf by the undersigned thereunto duly authorized.</w:t>
      </w:r>
    </w:p>
    <w:tbl>
      <w:tblPr>
        <w:tblW w:w="6917" w:type="dxa"/>
        <w:jc w:val="left"/>
        <w:tblInd w:w="0" w:type="dxa"/>
        <w:tblLayout w:type="fixed"/>
        <w:tblCellMar>
          <w:top w:w="28" w:type="dxa"/>
          <w:left w:w="28" w:type="dxa"/>
          <w:bottom w:w="28" w:type="dxa"/>
          <w:right w:w="28" w:type="dxa"/>
        </w:tblCellMar>
      </w:tblPr>
      <w:tblGrid>
        <w:gridCol w:w="2131"/>
        <w:gridCol w:w="4786"/>
      </w:tblGrid>
      <w:tr>
        <w:trPr/>
        <w:tc>
          <w:tcPr>
            <w:tcW w:w="2131" w:type="dxa"/>
            <w:tcBorders/>
            <w:vAlign w:val="center"/>
          </w:tcPr>
          <w:p>
            <w:pPr>
              <w:pStyle w:val="TableContents"/>
              <w:bidi w:val="0"/>
              <w:spacing w:before="0" w:after="283"/>
              <w:jc w:val="left"/>
              <w:rPr>
                <w:sz w:val="4"/>
                <w:szCs w:val="4"/>
              </w:rPr>
            </w:pPr>
            <w:r>
              <w:rPr>
                <w:sz w:val="4"/>
                <w:szCs w:val="4"/>
              </w:rPr>
            </w:r>
          </w:p>
        </w:tc>
        <w:tc>
          <w:tcPr>
            <w:tcW w:w="4786"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283"/>
              <w:jc w:val="left"/>
              <w:rPr>
                <w:sz w:val="4"/>
                <w:szCs w:val="4"/>
              </w:rPr>
            </w:pPr>
            <w:r>
              <w:rPr>
                <w:sz w:val="4"/>
                <w:szCs w:val="4"/>
              </w:rPr>
            </w:r>
          </w:p>
        </w:tc>
        <w:tc>
          <w:tcPr>
            <w:tcW w:w="4786" w:type="dxa"/>
            <w:tcBorders/>
            <w:vAlign w:val="center"/>
          </w:tcPr>
          <w:p>
            <w:pPr>
              <w:pStyle w:val="TableContents"/>
              <w:bidi w:val="0"/>
              <w:spacing w:lineRule="atLeast" w:line="220" w:before="0" w:after="0"/>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PARAMOUNT SKYDANCE CORPORATION</w:t>
            </w:r>
          </w:p>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(Registrant)</w:t>
            </w:r>
          </w:p>
        </w:tc>
      </w:tr>
      <w:tr>
        <w:trPr/>
        <w:tc>
          <w:tcPr>
            <w:tcW w:w="2131" w:type="dxa"/>
            <w:tcBorders/>
            <w:vAlign w:val="center"/>
          </w:tcPr>
          <w:p>
            <w:pPr>
              <w:pStyle w:val="TableContents"/>
              <w:bidi w:val="0"/>
              <w:spacing w:before="0" w:after="283"/>
              <w:jc w:val="left"/>
              <w:rPr>
                <w:sz w:val="4"/>
                <w:szCs w:val="4"/>
              </w:rPr>
            </w:pPr>
            <w:r>
              <w:rPr>
                <w:sz w:val="4"/>
                <w:szCs w:val="4"/>
              </w:rPr>
            </w:r>
          </w:p>
        </w:tc>
        <w:tc>
          <w:tcPr>
            <w:tcW w:w="4786"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Date: August 4, 2026</w:t>
            </w:r>
          </w:p>
        </w:tc>
        <w:tc>
          <w:tcPr>
            <w:tcW w:w="4786" w:type="dxa"/>
            <w:tcBorders>
              <w:bottom w:val="single" w:sz="8" w:space="0" w:color="000000"/>
            </w:tcBorders>
            <w:tcMar>
              <w:top w:w="0" w:type="dxa"/>
              <w:left w:w="0" w:type="dxa"/>
              <w:right w:w="0" w:type="dxa"/>
            </w:tcMar>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/s/ Dennis Cinelli</w:t>
            </w:r>
          </w:p>
        </w:tc>
      </w:tr>
      <w:tr>
        <w:trPr/>
        <w:tc>
          <w:tcPr>
            <w:tcW w:w="2131" w:type="dxa"/>
            <w:tcBorders/>
            <w:vAlign w:val="center"/>
          </w:tcPr>
          <w:p>
            <w:pPr>
              <w:pStyle w:val="TableContents"/>
              <w:bidi w:val="0"/>
              <w:spacing w:before="0" w:after="283"/>
              <w:jc w:val="left"/>
              <w:rPr>
                <w:sz w:val="4"/>
                <w:szCs w:val="4"/>
              </w:rPr>
            </w:pPr>
            <w:r>
              <w:rPr>
                <w:sz w:val="4"/>
                <w:szCs w:val="4"/>
              </w:rPr>
            </w:r>
          </w:p>
        </w:tc>
        <w:tc>
          <w:tcPr>
            <w:tcW w:w="4786" w:type="dxa"/>
            <w:tcBorders>
              <w:top w:val="single" w:sz="8" w:space="0" w:color="000000"/>
            </w:tcBorders>
            <w:tcMar>
              <w:left w:w="0" w:type="dxa"/>
              <w:bottom w:w="0" w:type="dxa"/>
              <w:right w:w="0" w:type="dxa"/>
            </w:tcMar>
            <w:vAlign w:val="center"/>
          </w:tcPr>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Dennis Cinelli</w:t>
            </w:r>
          </w:p>
          <w:p>
            <w:pPr>
              <w:pStyle w:val="TableContents"/>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Chief Financial Officer</w:t>
            </w:r>
          </w:p>
        </w:tc>
      </w:tr>
      <w:tr>
        <w:trPr/>
        <w:tc>
          <w:tcPr>
            <w:tcW w:w="2131" w:type="dxa"/>
            <w:tcBorders/>
            <w:vAlign w:val="center"/>
          </w:tcPr>
          <w:p>
            <w:pPr>
              <w:pStyle w:val="TableContents"/>
              <w:bidi w:val="0"/>
              <w:spacing w:before="0" w:after="283"/>
              <w:jc w:val="left"/>
              <w:rPr>
                <w:sz w:val="4"/>
                <w:szCs w:val="4"/>
              </w:rPr>
            </w:pPr>
            <w:r>
              <w:rPr>
                <w:sz w:val="4"/>
                <w:szCs w:val="4"/>
              </w:rPr>
            </w:r>
          </w:p>
        </w:tc>
        <w:tc>
          <w:tcPr>
            <w:tcW w:w="4786"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Date: August 4, 2026</w:t>
            </w:r>
          </w:p>
        </w:tc>
        <w:tc>
          <w:tcPr>
            <w:tcW w:w="4786" w:type="dxa"/>
            <w:tcBorders>
              <w:bottom w:val="single" w:sz="8" w:space="0" w:color="000000"/>
            </w:tcBorders>
            <w:tcMar>
              <w:top w:w="0" w:type="dxa"/>
              <w:left w:w="0" w:type="dxa"/>
              <w:right w:w="0" w:type="dxa"/>
            </w:tcMar>
            <w:vAlign w:val="center"/>
          </w:tcPr>
          <w:p>
            <w:pPr>
              <w:pStyle w:val="TableContents"/>
              <w:bidi w:val="0"/>
              <w:spacing w:lineRule="atLeast" w:line="220"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/s/ Katherine Gill-Charest</w:t>
            </w:r>
          </w:p>
        </w:tc>
      </w:tr>
      <w:tr>
        <w:trPr/>
        <w:tc>
          <w:tcPr>
            <w:tcW w:w="2131" w:type="dxa"/>
            <w:tcBorders/>
            <w:vAlign w:val="center"/>
          </w:tcPr>
          <w:p>
            <w:pPr>
              <w:pStyle w:val="TableContents"/>
              <w:bidi w:val="0"/>
              <w:spacing w:before="0" w:after="283"/>
              <w:jc w:val="left"/>
              <w:rPr>
                <w:sz w:val="4"/>
                <w:szCs w:val="4"/>
              </w:rPr>
            </w:pPr>
            <w:r>
              <w:rPr>
                <w:sz w:val="4"/>
                <w:szCs w:val="4"/>
              </w:rPr>
            </w:r>
          </w:p>
        </w:tc>
        <w:tc>
          <w:tcPr>
            <w:tcW w:w="4786" w:type="dxa"/>
            <w:tcBorders>
              <w:top w:val="single" w:sz="8" w:space="0" w:color="000000"/>
            </w:tcBorders>
            <w:tcMar>
              <w:left w:w="0" w:type="dxa"/>
              <w:bottom w:w="0" w:type="dxa"/>
              <w:right w:w="0" w:type="dxa"/>
            </w:tcMar>
            <w:vAlign w:val="center"/>
          </w:tcPr>
          <w:p>
            <w:pPr>
              <w:pStyle w:val="TableContents"/>
              <w:bidi w:val="0"/>
              <w:spacing w:lineRule="atLeast" w:line="220" w:before="0" w:after="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Katherine Gill-Charest</w:t>
            </w:r>
          </w:p>
          <w:p>
            <w:pPr>
              <w:pStyle w:val="TableContents"/>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Executive Vice President, Controller and</w:t>
            </w:r>
          </w:p>
          <w:p>
            <w:pPr>
              <w:pStyle w:val="TableContents"/>
              <w:bidi w:val="0"/>
              <w:spacing w:lineRule="atLeast" w:line="220" w:before="0" w:after="0"/>
              <w:jc w:val="left"/>
              <w:rPr>
                <w:rFonts w:ascii="Times New Roman;serif" w:hAnsi="Times New Roman;serif"/>
                <w:b w:val="false"/>
                <w:i/>
                <w:sz w:val="22"/>
              </w:rPr>
            </w:pPr>
            <w:r>
              <w:rPr>
                <w:rFonts w:ascii="Times New Roman;serif" w:hAnsi="Times New Roman;serif"/>
                <w:b w:val="false"/>
                <w:i/>
                <w:sz w:val="22"/>
              </w:rPr>
              <w:t>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31(a)</w:t>
      </w:r>
    </w:p>
    <w:p>
      <w:pPr>
        <w:pStyle w:val="TextBody"/>
        <w:bidi w:val="0"/>
        <w:spacing w:lineRule="auto" w:line="288" w:before="0" w:after="300"/>
        <w:jc w:val="center"/>
        <w:rPr>
          <w:rFonts w:ascii="Times New Roman;serif" w:hAnsi="Times New Roman;serif"/>
          <w:b/>
          <w:color w:val="000000"/>
          <w:sz w:val="24"/>
        </w:rPr>
      </w:pPr>
      <w:r>
        <w:rPr>
          <w:rFonts w:ascii="Times New Roman;serif" w:hAnsi="Times New Roman;serif"/>
          <w:b/>
          <w:color w:val="000000"/>
          <w:sz w:val="24"/>
        </w:rPr>
        <w:t>CERTIFICATION</w:t>
      </w:r>
    </w:p>
    <w:p>
      <w:pPr>
        <w:pStyle w:val="TextBody"/>
        <w:bidi w:val="0"/>
        <w:spacing w:lineRule="auto" w:line="288" w:before="0" w:after="400"/>
        <w:jc w:val="left"/>
        <w:rPr>
          <w:rFonts w:ascii="Times New Roman;serif" w:hAnsi="Times New Roman;serif"/>
          <w:b w:val="false"/>
          <w:color w:val="000000"/>
          <w:sz w:val="22"/>
        </w:rPr>
      </w:pPr>
      <w:r>
        <w:rPr>
          <w:rFonts w:ascii="Times New Roman;serif" w:hAnsi="Times New Roman;serif"/>
          <w:b w:val="false"/>
          <w:color w:val="000000"/>
          <w:sz w:val="22"/>
        </w:rPr>
        <w:t>I, David Ellison, certify that:</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Paramount Skydance Corporation;</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lineRule="auto" w:line="288" w:before="400" w:after="300"/>
        <w:jc w:val="left"/>
        <w:rPr>
          <w:rFonts w:ascii="Times New Roman;serif" w:hAnsi="Times New Roman;serif"/>
          <w:b w:val="false"/>
          <w:color w:val="000000"/>
          <w:sz w:val="22"/>
        </w:rPr>
      </w:pPr>
      <w:r>
        <w:rPr>
          <w:rFonts w:ascii="Times New Roman;serif" w:hAnsi="Times New Roman;serif"/>
          <w:b w:val="false"/>
          <w:color w:val="000000"/>
          <w:sz w:val="22"/>
        </w:rPr>
        <w:t>Date: August 4, 2026</w:t>
      </w:r>
    </w:p>
    <w:tbl>
      <w:tblPr>
        <w:tblW w:w="4091" w:type="dxa"/>
        <w:jc w:val="left"/>
        <w:tblInd w:w="0" w:type="dxa"/>
        <w:tblLayout w:type="fixed"/>
        <w:tblCellMar>
          <w:top w:w="28" w:type="dxa"/>
          <w:left w:w="28" w:type="dxa"/>
          <w:bottom w:w="28" w:type="dxa"/>
          <w:right w:w="28" w:type="dxa"/>
        </w:tblCellMar>
      </w:tblPr>
      <w:tblGrid>
        <w:gridCol w:w="124"/>
        <w:gridCol w:w="109"/>
        <w:gridCol w:w="109"/>
        <w:gridCol w:w="1097"/>
        <w:gridCol w:w="1097"/>
        <w:gridCol w:w="15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Ellison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Ellison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31(b)</w:t>
      </w:r>
    </w:p>
    <w:p>
      <w:pPr>
        <w:pStyle w:val="TextBody"/>
        <w:bidi w:val="0"/>
        <w:spacing w:lineRule="auto" w:line="288" w:before="0" w:after="300"/>
        <w:jc w:val="center"/>
        <w:rPr>
          <w:rFonts w:ascii="Times New Roman;serif" w:hAnsi="Times New Roman;serif"/>
          <w:b/>
          <w:color w:val="000000"/>
          <w:sz w:val="24"/>
        </w:rPr>
      </w:pPr>
      <w:r>
        <w:rPr>
          <w:rFonts w:ascii="Times New Roman;serif" w:hAnsi="Times New Roman;serif"/>
          <w:b/>
          <w:color w:val="000000"/>
          <w:sz w:val="24"/>
        </w:rPr>
        <w:t>CERTIFICATION</w:t>
      </w:r>
    </w:p>
    <w:p>
      <w:pPr>
        <w:pStyle w:val="TextBody"/>
        <w:bidi w:val="0"/>
        <w:spacing w:lineRule="auto" w:line="288" w:before="0" w:after="400"/>
        <w:jc w:val="left"/>
        <w:rPr>
          <w:rFonts w:ascii="Times New Roman;serif" w:hAnsi="Times New Roman;serif"/>
          <w:b w:val="false"/>
          <w:color w:val="000000"/>
          <w:sz w:val="22"/>
        </w:rPr>
      </w:pPr>
      <w:r>
        <w:rPr>
          <w:rFonts w:ascii="Times New Roman;serif" w:hAnsi="Times New Roman;serif"/>
          <w:b w:val="false"/>
          <w:color w:val="000000"/>
          <w:sz w:val="22"/>
        </w:rPr>
        <w:t>I, Dennis Cinelli, certify that:</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Paramount Skydance Corporation;</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lineRule="auto" w:line="288" w:before="400" w:after="300"/>
        <w:jc w:val="left"/>
        <w:rPr>
          <w:rFonts w:ascii="Times New Roman;serif" w:hAnsi="Times New Roman;serif"/>
          <w:b w:val="false"/>
          <w:color w:val="000000"/>
          <w:sz w:val="22"/>
        </w:rPr>
      </w:pPr>
      <w:r>
        <w:rPr>
          <w:rFonts w:ascii="Times New Roman;serif" w:hAnsi="Times New Roman;serif"/>
          <w:b w:val="false"/>
          <w:color w:val="000000"/>
          <w:sz w:val="22"/>
        </w:rPr>
        <w:t>Date: August 4, 2026</w:t>
      </w:r>
    </w:p>
    <w:tbl>
      <w:tblPr>
        <w:tblW w:w="2636" w:type="dxa"/>
        <w:jc w:val="left"/>
        <w:tblInd w:w="0" w:type="dxa"/>
        <w:tblLayout w:type="fixed"/>
        <w:tblCellMar>
          <w:top w:w="28" w:type="dxa"/>
          <w:left w:w="28" w:type="dxa"/>
          <w:bottom w:w="28" w:type="dxa"/>
          <w:right w:w="28" w:type="dxa"/>
        </w:tblCellMar>
      </w:tblPr>
      <w:tblGrid>
        <w:gridCol w:w="124"/>
        <w:gridCol w:w="109"/>
        <w:gridCol w:w="109"/>
        <w:gridCol w:w="671"/>
        <w:gridCol w:w="671"/>
        <w:gridCol w:w="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Dennis Cinelli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Dennis Cinelli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 Pursuant to 18 U.S.C.  Section 1350,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adopted pursuant to</w:t>
      </w:r>
    </w:p>
    <w:p>
      <w:pPr>
        <w:pStyle w:val="TextBody"/>
        <w:bidi w:val="0"/>
        <w:spacing w:lineRule="auto" w:line="288" w:before="0" w:after="60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lineRule="auto" w:line="288" w:before="0" w:after="48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of Paramount Skydance Corporation (the “Company”) on Form 10-Q for the period ended June 30, 2026 as filed with the Securities and Exchange Commission (the “Report”), I, David Ellison, Chairman and Chief Executive Officer of the Company, certify that to my knowledge: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1.    the Report fully complies with the requirements of section 13(a) or 15(d) of the Securities Exchange Act of 1934; and</w:t>
      </w:r>
    </w:p>
    <w:p>
      <w:pPr>
        <w:pStyle w:val="TextBody"/>
        <w:bidi w:val="0"/>
        <w:spacing w:lineRule="auto" w:line="288" w:before="0" w:after="800"/>
        <w:jc w:val="left"/>
        <w:rPr>
          <w:rFonts w:ascii="Times New Roman;serif" w:hAnsi="Times New Roman;serif"/>
          <w:b w:val="false"/>
          <w:color w:val="000000"/>
          <w:sz w:val="22"/>
        </w:rPr>
      </w:pPr>
      <w:r>
        <w:rPr>
          <w:rFonts w:ascii="Times New Roman;serif" w:hAnsi="Times New Roman;serif"/>
          <w:b w:val="false"/>
          <w:color w:val="000000"/>
          <w:sz w:val="22"/>
        </w:rPr>
        <w:t>2.    the information contained in the Report fairly presents, in all material respects, the financial condition and results of operations of the Company.</w:t>
      </w:r>
    </w:p>
    <w:tbl>
      <w:tblPr>
        <w:tblW w:w="2036" w:type="dxa"/>
        <w:jc w:val="left"/>
        <w:tblInd w:w="0" w:type="dxa"/>
        <w:tblLayout w:type="fixed"/>
        <w:tblCellMar>
          <w:top w:w="28" w:type="dxa"/>
          <w:left w:w="28" w:type="dxa"/>
          <w:bottom w:w="28" w:type="dxa"/>
          <w:right w:w="28" w:type="dxa"/>
        </w:tblCellMar>
      </w:tblPr>
      <w:tblGrid>
        <w:gridCol w:w="602"/>
        <w:gridCol w:w="530"/>
        <w:gridCol w:w="532"/>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Ellison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Ellison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500" w:after="300"/>
              <w:jc w:val="left"/>
              <w:rPr>
                <w:rFonts w:ascii="Times New Roman;serif" w:hAnsi="Times New Roman;serif"/>
                <w:b w:val="false"/>
                <w:color w:val="000000"/>
                <w:sz w:val="22"/>
              </w:rPr>
            </w:pPr>
            <w:r>
              <w:rPr>
                <w:rFonts w:ascii="Times New Roman;serif" w:hAnsi="Times New Roman;serif"/>
                <w:b w:val="false"/>
                <w:color w:val="000000"/>
                <w:sz w:val="22"/>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32(b)</w:t>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 Pursuant to 18 U.S.C.  Section 1350,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adopted pursuant to</w:t>
      </w:r>
    </w:p>
    <w:p>
      <w:pPr>
        <w:pStyle w:val="TextBody"/>
        <w:bidi w:val="0"/>
        <w:spacing w:lineRule="auto" w:line="288" w:before="0" w:after="60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lineRule="auto" w:line="288" w:before="0" w:after="48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of Paramount Skydance Corporation (the “Company”) on Form 10-Q for the period ended June 30, 2026 as filed with the Securities and Exchange Commission (the ”Report”), I, Dennis Cinelli, Chief Financial Officer of the Company, certify that to my knowledge: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1.    the Report fully complies with the requirements of section 13(a) or 15(d) of the Securities Exchange Act of 1934; and</w:t>
      </w:r>
    </w:p>
    <w:p>
      <w:pPr>
        <w:pStyle w:val="TextBody"/>
        <w:bidi w:val="0"/>
        <w:spacing w:lineRule="auto" w:line="288" w:before="0" w:after="800"/>
        <w:jc w:val="left"/>
        <w:rPr>
          <w:rFonts w:ascii="Times New Roman;serif" w:hAnsi="Times New Roman;serif"/>
          <w:b w:val="false"/>
          <w:color w:val="000000"/>
          <w:sz w:val="22"/>
        </w:rPr>
      </w:pPr>
      <w:r>
        <w:rPr>
          <w:rFonts w:ascii="Times New Roman;serif" w:hAnsi="Times New Roman;serif"/>
          <w:b w:val="false"/>
          <w:color w:val="000000"/>
          <w:sz w:val="22"/>
        </w:rPr>
        <w:t>2.    the information contained in the Report fairly presents, in all material respects, the financial condition and results of operations of the Company.</w:t>
      </w:r>
    </w:p>
    <w:tbl>
      <w:tblPr>
        <w:tblW w:w="2096" w:type="dxa"/>
        <w:jc w:val="left"/>
        <w:tblInd w:w="0" w:type="dxa"/>
        <w:tblLayout w:type="fixed"/>
        <w:tblCellMar>
          <w:top w:w="28" w:type="dxa"/>
          <w:left w:w="28" w:type="dxa"/>
          <w:bottom w:w="28" w:type="dxa"/>
          <w:right w:w="28" w:type="dxa"/>
        </w:tblCellMar>
      </w:tblPr>
      <w:tblGrid>
        <w:gridCol w:w="623"/>
        <w:gridCol w:w="548"/>
        <w:gridCol w:w="553"/>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Dennis Cinelli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Dennis Cinelli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500" w:after="300"/>
              <w:jc w:val="left"/>
              <w:rPr>
                <w:rFonts w:ascii="Times New Roman;serif" w:hAnsi="Times New Roman;serif"/>
                <w:b w:val="false"/>
                <w:color w:val="000000"/>
                <w:sz w:val="22"/>
              </w:rPr>
            </w:pPr>
            <w:r>
              <w:rPr>
                <w:rFonts w:ascii="Times New Roman;serif" w:hAnsi="Times New Roman;serif"/>
                <w:b w:val="false"/>
                <w:color w:val="000000"/>
                <w:sz w:val="22"/>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41610/000110465926040178/tm2611206d1_ex3-1.htm" TargetMode="External"/><Relationship Id="rId3" Type="http://schemas.openxmlformats.org/officeDocument/2006/relationships/hyperlink" Target="https://www.sec.gov/Archives/edgar/data/2041610/000110465926041263/tm2610616d2_ex10-1.htm" TargetMode="External"/><Relationship Id="rId4" Type="http://schemas.openxmlformats.org/officeDocument/2006/relationships/hyperlink" Target="https://www.sec.gov/Archives/edgar/data/2041610/000110465926041263/tm2610616d2_ex10-2.htm" TargetMode="External"/><Relationship Id="rId5" Type="http://schemas.openxmlformats.org/officeDocument/2006/relationships/hyperlink" Target="https://www.sec.gov/Archives/edgar/data/2041610/000110465926041263/tm2610616d2_ex10-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43190</Words>
  <Characters>242873</Characters>
  <CharactersWithSpaces>281829</CharactersWithSpaces>
  <Paragraphs>7150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