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Paramount Global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92556H107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DAVID GOLDMAN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GAMCO INVESTORS, INC., ONE CORPORATE CENTER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RYE, NY, 10580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914-921-5000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92556H107</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GAMCO INVESTORS, INC. ET AL</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HC</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92556H107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GABELLI FUNDS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1,830,319.00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1,830,319.00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1,830,319.00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92556H107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GAMCO Asset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2,381,116.00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2,525,397.00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2,525,397.00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 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92556H107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GABELLI &amp; Co INVESTMENT ADVISERS,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78,208.00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78,208.00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78,208.00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IA</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92556H107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GABELLI FOUNDATION,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95,300.00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95,300.00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95,300.00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92556H107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MJG ASSOCIATES,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CONNECTICUT</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86,500.00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86,500.00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86,500.00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92556H107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GGCP,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tbl>
      <w:tblPr>
        <w:tblLayout w:type="fixed"/>
        <w:tblInd w:w="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WC</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WYOMING</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-1155700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80,000.00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80,000.00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0.2 %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CO, HC</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92556H107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Associated Capital Group,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88,450.00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88,450.00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88,450.00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92556H107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GABELLI MARIO J</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8" w:name="page9"/>
    <w:bookmarkEnd w:id="8"/>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Paramount Global</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1515 BROADWAY, 1515 BROADWAY, NEW YORK, NEW YORK , 10036.</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right="100"/>
        <w:spacing w:after="0" w:line="249" w:lineRule="auto"/>
        <w:rPr>
          <w:sz w:val="20"/>
          <w:szCs w:val="20"/>
          <w:color w:val="auto"/>
        </w:rPr>
      </w:pPr>
      <w:r>
        <w:rPr>
          <w:rFonts w:ascii="Times New Roman" w:cs="Times New Roman" w:eastAsia="Times New Roman" w:hAnsi="Times New Roman"/>
          <w:sz w:val="21"/>
          <w:szCs w:val="21"/>
          <w:color w:val="auto"/>
        </w:rPr>
        <w:t>This statement is being filed by one or more of the following persons: GGCP, Inc. (GGCP), GGCP Holdings LLC (GGCP Holdings), GAMCO Investors, Inc. (GBL), Associated Capital Group, Inc. (AC), Gabelli Funds, LLC (Gabelli Funds), GAMCO Asset Management Inc. (GAMCO), Teton Advisors, LLC (Teton Advisors), Keeley-Teton</w:t>
      </w:r>
    </w:p>
    <w:p>
      <w:pPr>
        <w:spacing w:after="0" w:line="1" w:lineRule="exact"/>
        <w:rPr>
          <w:sz w:val="20"/>
          <w:szCs w:val="20"/>
          <w:color w:val="auto"/>
        </w:rPr>
      </w:pPr>
    </w:p>
    <w:p>
      <w:pPr>
        <w:ind w:left="940" w:right="120" w:hanging="932"/>
        <w:spacing w:after="0" w:line="234"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Advisors, LLC (Keeley-Teton), Gabelli &amp; Company Investment Advisers, Inc. (GCIA), Morgan Group Holding Co., (MGH), G.research, LLC (G.research), MJG Associates, Inc. (MJG Associates), Gabelli Securities International (Bermuda) Limited (GSIL), Gabelli Foundation, Inc. (Foundation), Mario Gabelli, LICT and CIBL. Those of the foregoing persons signing this Schedule 13D are hereinafter referred to as the Reporting Persons.</w:t>
      </w:r>
    </w:p>
    <w:p>
      <w:pPr>
        <w:spacing w:after="0" w:line="15" w:lineRule="exact"/>
        <w:rPr>
          <w:rFonts w:ascii="Times New Roman" w:cs="Times New Roman" w:eastAsia="Times New Roman" w:hAnsi="Times New Roman"/>
          <w:sz w:val="22"/>
          <w:szCs w:val="22"/>
          <w:color w:val="auto"/>
        </w:rPr>
      </w:pPr>
    </w:p>
    <w:p>
      <w:pPr>
        <w:ind w:left="940" w:right="8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GAMCO is a New York corporation and GBL and MGH are Delaware corporations, each having its principal business office at One Corporate Center, Rye, New York 10580. GGCP is a Wyoming corporation and AC and GCIA are Delaware corporations each having its principal business office 191 Mason Street, Greenwich, CT 06830. GGCP Holdings is a Delaware limited liability corporation having its principal business office at 191 Mason Street, Greenwich, CT 06830. G.research is a Delaware limited liability company having its principal officers at One Corporate Center, Rye, New York 10580. Gabelli Funds is a New York limited liability company having its principal</w:t>
      </w:r>
    </w:p>
    <w:p>
      <w:pPr>
        <w:spacing w:after="0" w:line="2" w:lineRule="exact"/>
        <w:rPr>
          <w:rFonts w:ascii="Times New Roman" w:cs="Times New Roman" w:eastAsia="Times New Roman" w:hAnsi="Times New Roman"/>
          <w:sz w:val="22"/>
          <w:szCs w:val="22"/>
          <w:color w:val="auto"/>
        </w:rPr>
      </w:pPr>
    </w:p>
    <w:p>
      <w:pPr>
        <w:ind w:left="940" w:right="40" w:hanging="932"/>
        <w:spacing w:after="0" w:line="207" w:lineRule="auto"/>
        <w:tabs>
          <w:tab w:leader="none" w:pos="94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business office at One Corporate Center, Rye, New York 10580. Teton Advisors is a Delaware limited liability company having its principal place of business at 189 Mason Street, Greenwich, CT 06830. Keeley-Teton Advisors is a Delaware limited liability company having its principal place of business at 141 W. Jackson Blvd., Chicago, IL 60604. MJG Associates is a Connecticut corporation having its principal business office at 191 Mason Street, Greenwich, CT 06830. The Foundation is a Nevada corporation having its principal offices at 165 West Liberty Street, Reno, Nevada 89501. LICT is a Delaware corporation having its principal place of business as 401 Theodore Fremd Avenue, Rye, New York 10580. CIBL, Inc. is a Delaware corporation having its principal place of business as 165 West Liberty Street, Suite 220, Reno, NV 89501.</w:t>
      </w:r>
    </w:p>
    <w:p>
      <w:pPr>
        <w:spacing w:after="0" w:line="20" w:lineRule="exact"/>
        <w:rPr>
          <w:rFonts w:ascii="Times New Roman" w:cs="Times New Roman" w:eastAsia="Times New Roman" w:hAnsi="Times New Roman"/>
          <w:sz w:val="43"/>
          <w:szCs w:val="43"/>
          <w:color w:val="auto"/>
          <w:vertAlign w:val="subscript"/>
        </w:rPr>
      </w:pPr>
    </w:p>
    <w:p>
      <w:pPr>
        <w:ind w:left="940" w:hanging="932"/>
        <w:spacing w:after="0" w:line="242" w:lineRule="auto"/>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GGCP makes investments for its own account and is the manager and a member of GGCP Holdings which is the controlling shareholder of GBL and AC. GBL, a public company whose stock is quoted on the OTCQX platform, is the parent company for a variety of companies engaged in the securities business, including certain of those named below. AC, a public company listed on the New York Stock Exchange, is the parent company for a variety of companies engaged in the securities business, including certain of those listed below. GAMCO, a wholly-owned subsidiary of GBL, is an investment adviser registered under the Investment Advisers Act of 1940, as amended (Advisers Act). GAMCO is an investment manager providing discretionary managed account services for employee benefit plans, private investors, endowments, foundations and others. GCIA, a wholly owned subsidiary of AC, is an investment adviser registered under the Advisers Act and serves as a general partner or investment manager to limited partnerships and offshore investment companies and other accounts. As a part of its business, GCIA may purchase or sell securities for its own account. GCIA or its relying advisers, act as a general partner or investment manager of a number of funds or partnerships, including Gabelli Associates Fund, L.P., Gabelli Associates Fund II, L.P., Gabelli Associates Limited, Gabelli Associates Limited II E, Gabelli Intermediate Credit Fund L.P., GAMA Select Plus Master Fund, Ltd., GAMCO Medical Opportunities L.P., and Gabelli Multimedia Partners, L.P. G.research is a wholly owned subsidiary of MGH. G.research, is a broker-dealer registered under the Securities Exchange Act of 1934, as amended (1934 Act), which may as a part of its business purchase and sell securities for its own account. Gabelli Funds, a wholly owned subsidiary of GBL, is a limited liability company. Gabelli Funds is an investment adviser registered under the Advisers Act which provides advisory services for The Gabelli Equity Trust Inc., The Gabelli Asset Fund, The Gabelli Growth Fund, The Gabelli Convertible and Income Securities Fund Inc., The Gabelli Value 25 Fund Inc., The Gabelli Small Cap Growth Fund, The Gabelli Equity Income Fund, The Gabelli ABC Fund, The Gabelli Global Content &amp; Connectivity Fund, The Gabelli Gold Fund, Inc., The Gabelli Multimedia Trust Inc., The Gabelli Global Rising Income &amp; Dividend Fund, The Gabelli Capital Asset Fund, The Gabelli International Growth Fund, Inc., The Gabelli Global Growth Fund, The Gabelli Utility Trust, The Gabelli Utilities Fund, The Gabelli Dividend Growth Fund, The Gabelli Focused Growth and Income Fund, The Comstock Capital Value Fund, The Gabelli Dividend and Income Trust, The Gabelli Global Utility &amp; Income Trust, The GAMCO Global Gold, Natural Resources, &amp; Income Trust, The GAMCO Natural Resources, Gold &amp; Income Trust, The GDL Fund, Gabelli Enterprise Mergers &amp; Acquisitions Fund, The Gabelli ESG Fund, Inc., The Gabelli International Small Cap Fund, The Gabelli Healthcare &amp; Wellness Rx Trust, The Gabelli Global Small and Mid Cap Value Trust, Gabelli Merger Plus+ Trust Plc, The Gabelli Global Financial Services Fund, The Gabelli Global Mini Mites Fund, The Gabelli Media Mogul Fund, The Gabelli Pet Parents Fund, The Gabelli U.S. Treasury Money Market Fund, Bancroft Fund Ltd. and Ellsworth Growth &amp; Income Fund Ltd., Gabelli Growth Innovators ETF, Gabelli Love Our Planet &amp; People ETF, Gabelli Automation ETF, Gabelli Commercial Aerospace &amp; Defense ETF, Gabelli Financial Services Opportunities ETF (collectively, the Funds), which are registered investment companies. Gabelli Funds is also the investment adviser to The GAMCO International SICAV (sub-funds GAMCO Merger Arbitrage and GAMCO All</w:t>
      </w:r>
    </w:p>
    <w:p>
      <w:pPr>
        <w:sectPr>
          <w:pgSz w:w="11900" w:h="16838" w:orient="portrait"/>
          <w:cols w:equalWidth="0" w:num="1">
            <w:col w:w="11160"/>
          </w:cols>
          <w:pgMar w:left="360" w:top="193" w:right="379" w:bottom="0" w:gutter="0" w:footer="0" w:header="0"/>
        </w:sectPr>
      </w:pPr>
    </w:p>
    <w:bookmarkStart w:id="9" w:name="page10"/>
    <w:bookmarkEnd w:id="9"/>
    <w:p>
      <w:pPr>
        <w:ind w:left="940" w:right="20"/>
        <w:spacing w:after="0" w:line="243" w:lineRule="auto"/>
        <w:rPr>
          <w:sz w:val="20"/>
          <w:szCs w:val="20"/>
          <w:color w:val="auto"/>
        </w:rPr>
      </w:pPr>
      <w:r>
        <w:rPr>
          <w:rFonts w:ascii="Times New Roman" w:cs="Times New Roman" w:eastAsia="Times New Roman" w:hAnsi="Times New Roman"/>
          <w:sz w:val="21"/>
          <w:szCs w:val="21"/>
          <w:color w:val="auto"/>
        </w:rPr>
        <w:t>Cap Value), a UCITS III vehicle. Teton Advisors, an investment adviser registered under the Advisers Act, provides discretionary advisory services to The TETON Westwood Mighty Mitessm Fund, The TETON Convertible Securities Fund, The Teton Westwood Balanced Fund, and The TETON Westwood Equity Fund. The TETON Westwood Mighty Mites Fund and the Teton Convertible Securities Fund are subadvised by Gabelli Funds, and their holdings are included in this filing. Keeley-Teton, an investment adviser registered under the Advisers Act, provides discretionary advisory services to The Teton Westwood Smallcap Equity Fund, The Keeley Small Cap Dividend Value Fund, The Keeley Small-Mid Cap Value Fund, and The Keeley Mid Cap Dividend Value Fund, as well as to institutional and individual clients. MJG Associates provides advisory services to private investment partnerships and offshore funds. Mario Gabelli is the sole shareholder, director and employee of MJG Associates. MJG Associates is the Investment Manager of Gabelli International Limited and Gabelli Fund, LDC. Mario J. Gabelli is the general partner of Gabelli Performance Partnership, LP. The Foundation is a private foundation. Mario Gabelli is the Chairman, a Trustee and the Investment Manager of the Foundation. Elisa M. Wilson is the President of the Foundation. LICT is a holding company with operating subsidiaries engaged primarily in the rural telephone industry. LICT actively pursues new business ventures and acquisitions. LICT makes investments in marketable securities to preserve capital and maintain liquidity for financing their business activities and acquisitions and are not engaged in the business of investing, or trading in securities. Mario J. Gabelli is the Chief Executive Officer, a director, and substantial shareholder of LICT. CIBL is a holding company with interest in telecommunications operations, primarily in the rural telephone industry. CIBL actively pursues new business ventures and acquisitions. CIBL makes investments in marketable securities to preserve capital and maintain liquidity for financing their business activities and acquisitions and are not engaged in the business of investing, or trading in securities. Mario J. Gabelli is a director, and substantial shareholder of CIBL. Mario Gabelli is the controlling stockholder, co-Chief Executive Officer and a director of GGCP and Chairman and Chief Executive Officer of GBL. He is the Executive Chairman of AC. Mario Gabelli is also a member of GGCP Holdings. Mario Gabelli is the controlling shareholder of MGH and indirectly of Teton Advisors and Keeley-Teton Advisors.</w:t>
      </w:r>
    </w:p>
    <w:p>
      <w:pPr>
        <w:spacing w:after="0" w:line="263" w:lineRule="exact"/>
        <w:rPr>
          <w:sz w:val="20"/>
          <w:szCs w:val="20"/>
          <w:color w:val="auto"/>
        </w:rPr>
      </w:pPr>
    </w:p>
    <w:p>
      <w:pPr>
        <w:ind w:left="940" w:hanging="932"/>
        <w:spacing w:after="0"/>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United States.</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20"/>
        <w:spacing w:after="0" w:line="234" w:lineRule="auto"/>
        <w:rPr>
          <w:sz w:val="20"/>
          <w:szCs w:val="20"/>
          <w:color w:val="auto"/>
        </w:rPr>
      </w:pPr>
      <w:r>
        <w:rPr>
          <w:rFonts w:ascii="Times New Roman" w:cs="Times New Roman" w:eastAsia="Times New Roman" w:hAnsi="Times New Roman"/>
          <w:sz w:val="22"/>
          <w:szCs w:val="22"/>
          <w:color w:val="auto"/>
        </w:rPr>
        <w:t>The Reporting Persons used an aggregate of approximately $1,302,437 to purchase the additional Securities reported as beneficially owned in Item 5 since the most recent filing on Schedule 13D. GAMCO used approximately $330,434 of funds that were provided through the accounts of certain of their investment advisory clients (and, in the case of some of such accounts at GAMCO, may be through borrowings from client margin accounts) in order to purchase the additional Securities for such clients. GCIA used approximately $889,868 of client funds to purchase the additional Securities reported by it. Foundation used approximately $28,925 of working capital to purchase the additional Securities reported by it. AC used approximately $46,430 of working capital to purchase the additional Securities reported by it. MJG Associates used approximately $6,780 of client funds to purchase the additional Securities reported by it.</w:t>
      </w:r>
    </w:p>
    <w:p>
      <w:pPr>
        <w:spacing w:after="0" w:line="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80"/>
        <w:spacing w:after="0" w:line="238" w:lineRule="auto"/>
        <w:rPr>
          <w:sz w:val="20"/>
          <w:szCs w:val="20"/>
          <w:color w:val="auto"/>
        </w:rPr>
      </w:pPr>
      <w:r>
        <w:rPr>
          <w:rFonts w:ascii="Times New Roman" w:cs="Times New Roman" w:eastAsia="Times New Roman" w:hAnsi="Times New Roman"/>
          <w:sz w:val="22"/>
          <w:szCs w:val="22"/>
          <w:color w:val="auto"/>
        </w:rPr>
        <w:t>On April 23, 2025, GAMCO Investors, Inc. ("GAMI") filed a press release on Operation Fishbowl, noting that that the DE Chancery Court found that the Gabelli Value 25 Fund "has stated and proved a credible basis to suspect wrongdoing" by Paramount in its books and records action. Operation Fishbowl is being pursued by GAMI to ensure transparency in disclosing what National Amusements ("NAI"), controlled by Ms. Shari Redstone, will receive for her voting shares of the Issuer. The press release is attached as Exhibit A.</w:t>
      </w:r>
    </w:p>
    <w:p>
      <w:pPr>
        <w:spacing w:after="0" w:line="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180"/>
        <w:spacing w:after="0" w:line="253" w:lineRule="auto"/>
        <w:rPr>
          <w:sz w:val="20"/>
          <w:szCs w:val="20"/>
          <w:color w:val="auto"/>
        </w:rPr>
      </w:pPr>
      <w:r>
        <w:rPr>
          <w:rFonts w:ascii="Times New Roman" w:cs="Times New Roman" w:eastAsia="Times New Roman" w:hAnsi="Times New Roman"/>
          <w:sz w:val="21"/>
          <w:szCs w:val="21"/>
          <w:color w:val="auto"/>
        </w:rPr>
        <w:t>The aggregate number of Securities to which this Schedule 13D relates is 4,824,174 shares, representing 11.85% of the 40,702,683 shares outstanding as reported in the Issuer's most recently filed Form 10-K for the fiscal year ended</w:t>
      </w:r>
    </w:p>
    <w:p>
      <w:pPr>
        <w:spacing w:after="0" w:line="1" w:lineRule="exact"/>
        <w:rPr>
          <w:sz w:val="20"/>
          <w:szCs w:val="20"/>
          <w:color w:val="auto"/>
        </w:rPr>
      </w:pPr>
    </w:p>
    <w:p>
      <w:pPr>
        <w:ind w:left="940" w:right="140" w:hanging="932"/>
        <w:spacing w:after="0" w:line="189" w:lineRule="auto"/>
        <w:tabs>
          <w:tab w:leader="none" w:pos="94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December 31, 2024. The Reporting Persons beneficially own those Securities as follows: GAMCO 2,525,397 shares 6.20%, Gabelli Funds 1,830,319 shares 4.50%, AC 88,450 shares 0.22%, GCIA 78,208 shares 0.19%, Foundation 95,300 shares 0.23, GGCP 80,000 shares 0.20%, MJG Associates 86,500 shares 0.21% and Mario Gabelli 40,000 shares 0.10%.</w:t>
      </w:r>
    </w:p>
    <w:p>
      <w:pPr>
        <w:spacing w:after="0" w:line="14" w:lineRule="exact"/>
        <w:rPr>
          <w:rFonts w:ascii="Times New Roman" w:cs="Times New Roman" w:eastAsia="Times New Roman" w:hAnsi="Times New Roman"/>
          <w:sz w:val="43"/>
          <w:szCs w:val="43"/>
          <w:color w:val="auto"/>
          <w:vertAlign w:val="subscript"/>
        </w:rPr>
      </w:pPr>
    </w:p>
    <w:p>
      <w:pPr>
        <w:ind w:left="940" w:right="40"/>
        <w:spacing w:after="0" w:line="247"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 that (i) GAMCO does not have authority to vote 144,281 of the reported shares, (ii) Gabelli Funds has sole dispositive and voting power with respect to the shares of the Issuer</w:t>
      </w:r>
    </w:p>
    <w:p>
      <w:pPr>
        <w:spacing w:after="0" w:line="1" w:lineRule="exact"/>
        <w:rPr>
          <w:rFonts w:ascii="Times New Roman" w:cs="Times New Roman" w:eastAsia="Times New Roman" w:hAnsi="Times New Roman"/>
          <w:sz w:val="43"/>
          <w:szCs w:val="43"/>
          <w:color w:val="auto"/>
          <w:vertAlign w:val="subscript"/>
        </w:rPr>
      </w:pPr>
    </w:p>
    <w:p>
      <w:pPr>
        <w:ind w:left="940" w:right="160" w:hanging="932"/>
        <w:spacing w:after="0" w:line="201" w:lineRule="auto"/>
        <w:tabs>
          <w:tab w:leader="none" w:pos="94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held by the Funds so long as the aggregate voting interest of all joint filers does not exceed 25% of their total voting interest in the Issuer and, in that event, the Proxy Voting Committee of each Fund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and (iv) the power of Mario Gabelli, AC, GBL, and GGCP is indirect with respect to Securities beneficially owned directly by other Reporting Persons.</w:t>
      </w:r>
    </w:p>
    <w:p>
      <w:pPr>
        <w:spacing w:after="0" w:line="14" w:lineRule="exact"/>
        <w:rPr>
          <w:rFonts w:ascii="Times New Roman" w:cs="Times New Roman" w:eastAsia="Times New Roman" w:hAnsi="Times New Roman"/>
          <w:sz w:val="43"/>
          <w:szCs w:val="43"/>
          <w:color w:val="auto"/>
          <w:vertAlign w:val="subscript"/>
        </w:rPr>
      </w:pPr>
    </w:p>
    <w:p>
      <w:pPr>
        <w:ind w:left="940" w:hanging="932"/>
        <w:spacing w:after="0" w:line="251" w:lineRule="auto"/>
        <w:tabs>
          <w:tab w:leader="none" w:pos="9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Information with respect to all transactions in the Securities which were effected during the past sixty days or since the most recent filing on Schedule 13D, whichever is less, by each of the Reporting Persons and Covered Persons is set forth below: DATE SHARES PURCHASED PRICE /SOLD ASSOCIATED CAPITAL GROUP, INC. 4/21/2025 100 22.1996 4/17/2025 200 22.1593 4/16/2025 100 22.2344 4/11/2025 50 22.0863 4/9/2025 150 21.8032 4/8/2025 50 22.2493 4/7/2025 50 22.2408 4/4/2025 300 22.4147 4/1/2025 50 22.5000 3/25/2025 50 22.4660 2/26/2025 100</w:t>
      </w:r>
    </w:p>
    <w:p>
      <w:pPr>
        <w:sectPr>
          <w:pgSz w:w="11900" w:h="16838" w:orient="portrait"/>
          <w:cols w:equalWidth="0" w:num="1">
            <w:col w:w="11140"/>
          </w:cols>
          <w:pgMar w:left="360" w:top="111" w:right="399" w:bottom="0" w:gutter="0" w:footer="0" w:header="0"/>
        </w:sectPr>
      </w:pPr>
    </w:p>
    <w:bookmarkStart w:id="10" w:name="page11"/>
    <w:bookmarkEnd w:id="10"/>
    <w:p>
      <w:pPr>
        <w:ind w:left="932"/>
        <w:spacing w:after="0" w:line="242" w:lineRule="auto"/>
        <w:rPr>
          <w:sz w:val="20"/>
          <w:szCs w:val="20"/>
          <w:color w:val="auto"/>
        </w:rPr>
      </w:pPr>
      <w:r>
        <w:rPr>
          <w:rFonts w:ascii="Times New Roman" w:cs="Times New Roman" w:eastAsia="Times New Roman" w:hAnsi="Times New Roman"/>
          <w:sz w:val="21"/>
          <w:szCs w:val="21"/>
          <w:color w:val="auto"/>
        </w:rPr>
        <w:t>22.3265 GABELLI &amp; COMPANY INVESTMENT ADVISERS, INC. GABELLI ASSOCIATES FUND II 4/22/2025 50 22.2500 4/21/2025 100 22.1996 4/17/2025 350 22.1593 4/16/2025 250 22.2344 4/11/2025 50 22.0863 4/9/2025 250 21.8032 4/8/2025 50 22.2493 4/7/2025 100 22.2408 4/4/2025 450 22.4147 4/3/2025 50 22.4856 4/1/2025 50 22.5000 2/26/2025 200 22.3265 GABELLI ASSOCIATES FUND 4/22/2025 50 22.2500 4/21/2025 300 22.1996 4/17/2025 1,050 22.1593 4/16/2025 700 22.2344 4/11/2025 150 22.0863 4/9/2025 800 21.8032 4/8/2025 100 22.2493 4/7/2025 350 22.2408 4/4/2025 1,300 22.4147 4/3/2025 150 22.4856 4/1/2025 200 22.5000 3/26/2025 50 22.5000 3/25/2025 150 22.4660 3/12/2025 100 22.5000 2/26/2025 450 22.3265 GABELLI ASSOCIATES LIMITED II E 4/21/2025 200 22.1996 4/17/2025 650 22.1593 4/16/2025 450 22.2344 4/11/2025 150 22.0863 4/9/2025 500 21.8032 4/8/2025 50 22.2493 4/7/2025 250 22.2408 4/4/2025 800 22.4147 4/3/2025 100 22.4856 4/1/2025 150 22.5000 3/25/2025 100 22.4660 3/12/2025 50 22.5000 3/5/2025 50 22.5000 2/26/2025 250 22.3265 GABELLI ASSOCIATES LIMITED 4/22/2025 100 22.2500 4/21/2025 550 22.1996 4/17/2025 2,000 22.1593 4/16/2025 1,350 22.2344 4/11/2025 300 22.0863 4/9/2025 1,550 21.8032 4/8/2025 150 22.2493 4/7/2025 700 22.2408 4/4/2025 2,500 22.4147 4/3/2025 200 22.4856 4/1/2025 200 22.5000 3/26/2025 50 22.5000 3/25/2025 300 22.4660 3/12/2025 150 22.5000 3/5/2025 100 22.5000 2/26/2025 800 22.3265 GABELLI FUNDS, LLC GABELLI CAPITAL ASSET FUND 4/23/2025 -6,000 22.3953 4/22/2025 -17,125 22.3466 4/21/2025 -1,875 22.3504 4/16/2025 -8,500 22.2629 4/15/2025 -2,700 22.3757 4/11/2025 -2,300 22.1974 COMSTOCK CAPITAL VALUE FUND 4/9/2025 500 21.8032 GABELLI EQUITY INCOME FUND 4/14/2025 -1,000 22.5873 GABELLI MERCHANT PARTNERS PLC 4/22/2025 50</w:t>
      </w:r>
    </w:p>
    <w:p>
      <w:pPr>
        <w:spacing w:after="0" w:line="16" w:lineRule="exact"/>
        <w:rPr>
          <w:sz w:val="20"/>
          <w:szCs w:val="20"/>
          <w:color w:val="auto"/>
        </w:rPr>
      </w:pPr>
    </w:p>
    <w:p>
      <w:pPr>
        <w:ind w:left="932"/>
        <w:spacing w:after="0"/>
        <w:rPr>
          <w:sz w:val="20"/>
          <w:szCs w:val="20"/>
          <w:color w:val="auto"/>
        </w:rPr>
      </w:pPr>
      <w:r>
        <w:rPr>
          <w:rFonts w:ascii="Times New Roman" w:cs="Times New Roman" w:eastAsia="Times New Roman" w:hAnsi="Times New Roman"/>
          <w:sz w:val="21"/>
          <w:szCs w:val="21"/>
          <w:color w:val="auto"/>
        </w:rPr>
        <w:t>22.2500 4/21/2025 150 22.1996 4/17/2025 550 22.1593 4/16/2025 350 22.2344 4/11/2025 50 22.0863 4/9/2025 414</w:t>
      </w:r>
    </w:p>
    <w:p>
      <w:pPr>
        <w:ind w:left="932"/>
        <w:spacing w:after="0" w:line="231" w:lineRule="auto"/>
        <w:rPr>
          <w:sz w:val="20"/>
          <w:szCs w:val="20"/>
          <w:color w:val="auto"/>
        </w:rPr>
      </w:pPr>
      <w:r>
        <w:rPr>
          <w:rFonts w:ascii="Times New Roman" w:cs="Times New Roman" w:eastAsia="Times New Roman" w:hAnsi="Times New Roman"/>
          <w:sz w:val="22"/>
          <w:szCs w:val="22"/>
          <w:color w:val="auto"/>
        </w:rPr>
        <w:t>21.8032 4/8/2025 50 22.2493 4/7/2025 200 22.2408 4/4/2025 700 22.4147 4/3/2025 50 22.4856 4/1/2025 150</w:t>
      </w:r>
    </w:p>
    <w:p>
      <w:pPr>
        <w:spacing w:after="0" w:line="1" w:lineRule="exact"/>
        <w:rPr>
          <w:sz w:val="20"/>
          <w:szCs w:val="20"/>
          <w:color w:val="auto"/>
        </w:rPr>
      </w:pPr>
    </w:p>
    <w:p>
      <w:pPr>
        <w:ind w:left="932" w:right="80"/>
        <w:spacing w:after="0" w:line="241" w:lineRule="auto"/>
        <w:rPr>
          <w:sz w:val="20"/>
          <w:szCs w:val="20"/>
          <w:color w:val="auto"/>
        </w:rPr>
      </w:pPr>
      <w:r>
        <w:rPr>
          <w:rFonts w:ascii="Times New Roman" w:cs="Times New Roman" w:eastAsia="Times New Roman" w:hAnsi="Times New Roman"/>
          <w:sz w:val="21"/>
          <w:szCs w:val="21"/>
          <w:color w:val="auto"/>
        </w:rPr>
        <w:t>22.5000 3/25/2025 50 22.4660 3/12/2025 50 22.5000 3/5/2025 50 22.5000 2/26/2025 200 22.3265 GAMCO MERGER ARBITRAGE UCITS 4/22/2025 89 22.2500 4/21/2025 521 22.1996 4/17/2025 3,973 22.1593 4/16/2025 2,202 22.2344 4/15/2025 11 22.2500 4/11/2025 450 22.0863 4/9/2025 2,400 21.8032 4/8/2025 1,007 22.2493 4/7/2025 1,041 22.2408 4/4/2025 3,808 22.4147 4/3/2025 206 22.4856 4/2/2025 21 22.5000 4/1/2025 779 22.5000 3/26/2025 114 22.5000 3/25/2025 523 22.4660 3/13/2025 100 22.5000 3/12/2025 324 22.5000 3/5/2025 30 22.5000 2/26/2025 923 22.3265 GAMCO ASSET MANAGEMENT INC. 4/23/2025 -200 22.2925 4/23/2025 200 22.4000 4/22/2025 3,000 22.3529 4/21/2025 -200 22.1500 4/17/2025 -500 22.3528 4/16/2025 -1,000 22.1750 4/15/2025 -325 22.3731 4/14/2025 300 22.6900 4/10/2025 -100 22.4618 4/8/2025 500 22.2500 4/7/2025 -800 22.3774 4/4/2025 500</w:t>
      </w:r>
    </w:p>
    <w:p>
      <w:pPr>
        <w:spacing w:after="0" w:line="4" w:lineRule="exact"/>
        <w:rPr>
          <w:sz w:val="20"/>
          <w:szCs w:val="20"/>
          <w:color w:val="auto"/>
        </w:rPr>
      </w:pPr>
    </w:p>
    <w:p>
      <w:pPr>
        <w:ind w:left="932" w:right="40"/>
        <w:spacing w:after="0" w:line="232" w:lineRule="auto"/>
        <w:rPr>
          <w:sz w:val="20"/>
          <w:szCs w:val="20"/>
          <w:color w:val="auto"/>
        </w:rPr>
      </w:pPr>
      <w:r>
        <w:rPr>
          <w:rFonts w:ascii="Times New Roman" w:cs="Times New Roman" w:eastAsia="Times New Roman" w:hAnsi="Times New Roman"/>
          <w:sz w:val="22"/>
          <w:szCs w:val="22"/>
          <w:color w:val="auto"/>
        </w:rPr>
        <w:t>22.4500 4/4/2025 -110 22.5500 3/31/2025 -200 22.6524 3/31/2025 200 22.6800 3/31/2025 -6,939 22.7500 3/27/2025 1,605 22.7203 3/21/2025 3,000 22.8693 3/20/2025 -1,017 22.6496 3/20/2025 400 22.6800 3/19/2025 -500 22.5978 3/19/2025 4,000 22.7128 3/17/2025 1,300 22.5991 3/14/2025 1,800 22.7436 3/13/2025 -700 22.7000 3/12/2025 200 22.5448 3/11/2025 -1,700 22.6425 3/11/2025 1,700 22.7308 3/10/2025 685 22.5000 3/10/2025 500 22.6849 3/6/2025 1,947 22.5979 3/6/2025 -500 22.6047 3/5/2025 100 22.5066 3/5/2025 1,368 22.5995 2/28/2025 -3,591 22.6500 2/26/2025 -2,825 22.4400 2/25/2025 -54 22.6900 2/25/2025 1,433 22.7998 MJG ASSOCIATES, INC. 3/18/2025 300 22.6000</w:t>
      </w:r>
    </w:p>
    <w:p>
      <w:pPr>
        <w:spacing w:after="0" w:line="19" w:lineRule="exact"/>
        <w:rPr>
          <w:sz w:val="20"/>
          <w:szCs w:val="20"/>
          <w:color w:val="auto"/>
        </w:rPr>
      </w:pPr>
    </w:p>
    <w:p>
      <w:pPr>
        <w:ind w:left="932" w:right="160"/>
        <w:spacing w:after="0" w:line="253" w:lineRule="auto"/>
        <w:rPr>
          <w:sz w:val="20"/>
          <w:szCs w:val="20"/>
          <w:color w:val="auto"/>
        </w:rPr>
      </w:pPr>
      <w:r>
        <w:rPr>
          <w:rFonts w:ascii="Times New Roman" w:cs="Times New Roman" w:eastAsia="Times New Roman" w:hAnsi="Times New Roman"/>
          <w:sz w:val="21"/>
          <w:szCs w:val="21"/>
          <w:color w:val="auto"/>
        </w:rPr>
        <w:t>The investment advisory clients of, or partnerships managed by, GAMCO, Gabelli Funds, Teton Advisors and MJG Associates have the sole right to receive and, subject to the notice, withdrawal and/or termination provisions of such</w:t>
      </w:r>
    </w:p>
    <w:p>
      <w:pPr>
        <w:spacing w:after="0" w:line="1" w:lineRule="exact"/>
        <w:rPr>
          <w:sz w:val="20"/>
          <w:szCs w:val="20"/>
          <w:color w:val="auto"/>
        </w:rPr>
      </w:pPr>
    </w:p>
    <w:p>
      <w:pPr>
        <w:ind w:left="932" w:hanging="932"/>
        <w:spacing w:after="0" w:line="189" w:lineRule="auto"/>
        <w:tabs>
          <w:tab w:leader="none" w:pos="932"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advisory contracts and partnership arrangements, the sole power to direct the receipt of dividends from, and the proceeds of sale of, any of the Securities beneficially owned by such Reporting Persons on behalf of such clients or partnerships. Except as noted, no such client or partnership has an interest by virtue of such relationship that relates to more than 5% of the Securities.</w:t>
      </w:r>
    </w:p>
    <w:p>
      <w:pPr>
        <w:spacing w:after="0" w:line="14" w:lineRule="exact"/>
        <w:rPr>
          <w:rFonts w:ascii="Times New Roman" w:cs="Times New Roman" w:eastAsia="Times New Roman" w:hAnsi="Times New Roman"/>
          <w:sz w:val="43"/>
          <w:szCs w:val="43"/>
          <w:color w:val="auto"/>
          <w:vertAlign w:val="subscript"/>
        </w:rPr>
      </w:pPr>
    </w:p>
    <w:p>
      <w:pPr>
        <w:ind w:left="932" w:hanging="932"/>
        <w:spacing w:after="0"/>
        <w:tabs>
          <w:tab w:leader="none" w:pos="93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12"/>
        <w:spacing w:after="0"/>
        <w:rPr>
          <w:sz w:val="20"/>
          <w:szCs w:val="20"/>
          <w:color w:val="auto"/>
        </w:rPr>
      </w:pPr>
      <w:r>
        <w:rPr>
          <w:rFonts w:ascii="Times New Roman" w:cs="Times New Roman" w:eastAsia="Times New Roman" w:hAnsi="Times New Roman"/>
          <w:sz w:val="22"/>
          <w:szCs w:val="22"/>
          <w:color w:val="auto"/>
        </w:rPr>
        <w:t>GAMCO INVESTORS, INC. ET AL</w:t>
      </w:r>
    </w:p>
    <w:p>
      <w:pPr>
        <w:spacing w:after="0" w:line="152" w:lineRule="exact"/>
        <w:rPr>
          <w:sz w:val="20"/>
          <w:szCs w:val="20"/>
          <w:color w:val="auto"/>
        </w:rPr>
      </w:pPr>
    </w:p>
    <w:p>
      <w:pPr>
        <w:ind w:left="3472"/>
        <w:spacing w:after="0"/>
        <w:tabs>
          <w:tab w:leader="none" w:pos="455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PETER D. GOLDSTEIN</w:t>
      </w:r>
    </w:p>
    <w:p>
      <w:pPr>
        <w:spacing w:after="0" w:line="44" w:lineRule="exact"/>
        <w:rPr>
          <w:sz w:val="20"/>
          <w:szCs w:val="20"/>
          <w:color w:val="auto"/>
        </w:rPr>
      </w:pPr>
    </w:p>
    <w:p>
      <w:pPr>
        <w:ind w:left="3472"/>
        <w:spacing w:after="0"/>
        <w:rPr>
          <w:sz w:val="20"/>
          <w:szCs w:val="20"/>
          <w:color w:val="auto"/>
        </w:rPr>
      </w:pPr>
      <w:r>
        <w:rPr>
          <w:rFonts w:ascii="Times New Roman" w:cs="Times New Roman" w:eastAsia="Times New Roman" w:hAnsi="Times New Roman"/>
          <w:sz w:val="22"/>
          <w:szCs w:val="22"/>
          <w:color w:val="auto"/>
        </w:rPr>
        <w:t>Name/Title: GENERAL COUNSEL</w:t>
      </w:r>
    </w:p>
    <w:p>
      <w:pPr>
        <w:spacing w:after="0" w:line="44" w:lineRule="exact"/>
        <w:rPr>
          <w:sz w:val="20"/>
          <w:szCs w:val="20"/>
          <w:color w:val="auto"/>
        </w:rPr>
      </w:pPr>
    </w:p>
    <w:p>
      <w:pPr>
        <w:ind w:left="3472"/>
        <w:spacing w:after="0"/>
        <w:tabs>
          <w:tab w:leader="none" w:pos="455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04/24/2025</w:t>
      </w:r>
    </w:p>
    <w:p>
      <w:pPr>
        <w:spacing w:after="0" w:line="152" w:lineRule="exact"/>
        <w:rPr>
          <w:sz w:val="20"/>
          <w:szCs w:val="20"/>
          <w:color w:val="auto"/>
        </w:rPr>
      </w:pPr>
    </w:p>
    <w:p>
      <w:pPr>
        <w:ind w:left="2332"/>
        <w:spacing w:after="0"/>
        <w:rPr>
          <w:sz w:val="20"/>
          <w:szCs w:val="20"/>
          <w:color w:val="auto"/>
        </w:rPr>
      </w:pPr>
      <w:r>
        <w:rPr>
          <w:rFonts w:ascii="Times New Roman" w:cs="Times New Roman" w:eastAsia="Times New Roman" w:hAnsi="Times New Roman"/>
          <w:sz w:val="22"/>
          <w:szCs w:val="22"/>
          <w:color w:val="auto"/>
        </w:rPr>
        <w:t>GABELLI FUNDS LLC</w:t>
      </w:r>
    </w:p>
    <w:p>
      <w:pPr>
        <w:spacing w:after="0" w:line="152" w:lineRule="exact"/>
        <w:rPr>
          <w:sz w:val="20"/>
          <w:szCs w:val="20"/>
          <w:color w:val="auto"/>
        </w:rPr>
      </w:pPr>
    </w:p>
    <w:p>
      <w:pPr>
        <w:ind w:left="3332"/>
        <w:spacing w:after="0"/>
        <w:tabs>
          <w:tab w:leader="none" w:pos="44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GOLDMAN</w:t>
      </w:r>
    </w:p>
    <w:p>
      <w:pPr>
        <w:spacing w:after="0" w:line="44" w:lineRule="exact"/>
        <w:rPr>
          <w:sz w:val="20"/>
          <w:szCs w:val="20"/>
          <w:color w:val="auto"/>
        </w:rPr>
      </w:pPr>
    </w:p>
    <w:p>
      <w:pPr>
        <w:ind w:left="3332"/>
        <w:spacing w:after="0"/>
        <w:rPr>
          <w:sz w:val="20"/>
          <w:szCs w:val="20"/>
          <w:color w:val="auto"/>
        </w:rPr>
      </w:pPr>
      <w:r>
        <w:rPr>
          <w:rFonts w:ascii="Times New Roman" w:cs="Times New Roman" w:eastAsia="Times New Roman" w:hAnsi="Times New Roman"/>
          <w:sz w:val="22"/>
          <w:szCs w:val="22"/>
          <w:color w:val="auto"/>
        </w:rPr>
        <w:t>Name/Title: GENERAL COUNSEL</w:t>
      </w:r>
    </w:p>
    <w:p>
      <w:pPr>
        <w:spacing w:after="0" w:line="44" w:lineRule="exact"/>
        <w:rPr>
          <w:sz w:val="20"/>
          <w:szCs w:val="20"/>
          <w:color w:val="auto"/>
        </w:rPr>
      </w:pPr>
    </w:p>
    <w:p>
      <w:pPr>
        <w:ind w:left="3332"/>
        <w:spacing w:after="0"/>
        <w:tabs>
          <w:tab w:leader="none" w:pos="44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04/24/2025</w:t>
      </w:r>
    </w:p>
    <w:p>
      <w:pPr>
        <w:spacing w:after="0" w:line="152" w:lineRule="exact"/>
        <w:rPr>
          <w:sz w:val="20"/>
          <w:szCs w:val="20"/>
          <w:color w:val="auto"/>
        </w:rPr>
      </w:pPr>
    </w:p>
    <w:p>
      <w:pPr>
        <w:ind w:left="3092"/>
        <w:spacing w:after="0"/>
        <w:rPr>
          <w:sz w:val="20"/>
          <w:szCs w:val="20"/>
          <w:color w:val="auto"/>
        </w:rPr>
      </w:pPr>
      <w:r>
        <w:rPr>
          <w:rFonts w:ascii="Times New Roman" w:cs="Times New Roman" w:eastAsia="Times New Roman" w:hAnsi="Times New Roman"/>
          <w:sz w:val="22"/>
          <w:szCs w:val="22"/>
          <w:color w:val="auto"/>
        </w:rPr>
        <w:t>GAMCO Asset Management Inc.</w:t>
      </w:r>
    </w:p>
    <w:p>
      <w:pPr>
        <w:spacing w:after="0" w:line="152" w:lineRule="exact"/>
        <w:rPr>
          <w:sz w:val="20"/>
          <w:szCs w:val="20"/>
          <w:color w:val="auto"/>
        </w:rPr>
      </w:pPr>
    </w:p>
    <w:p>
      <w:pPr>
        <w:ind w:left="3692"/>
        <w:spacing w:after="0"/>
        <w:tabs>
          <w:tab w:leader="none" w:pos="475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DOUGLAS R. JAMIESON</w:t>
      </w:r>
    </w:p>
    <w:p>
      <w:pPr>
        <w:spacing w:after="0" w:line="44" w:lineRule="exact"/>
        <w:rPr>
          <w:sz w:val="20"/>
          <w:szCs w:val="20"/>
          <w:color w:val="auto"/>
        </w:rPr>
      </w:pPr>
    </w:p>
    <w:p>
      <w:pPr>
        <w:ind w:left="3692"/>
        <w:spacing w:after="0"/>
        <w:rPr>
          <w:sz w:val="20"/>
          <w:szCs w:val="20"/>
          <w:color w:val="auto"/>
        </w:rPr>
      </w:pPr>
      <w:r>
        <w:rPr>
          <w:rFonts w:ascii="Times New Roman" w:cs="Times New Roman" w:eastAsia="Times New Roman" w:hAnsi="Times New Roman"/>
          <w:sz w:val="22"/>
          <w:szCs w:val="22"/>
          <w:color w:val="auto"/>
        </w:rPr>
        <w:t>Name/Title: PRESIDENT</w:t>
      </w:r>
    </w:p>
    <w:p>
      <w:pPr>
        <w:spacing w:after="0" w:line="44" w:lineRule="exact"/>
        <w:rPr>
          <w:sz w:val="20"/>
          <w:szCs w:val="20"/>
          <w:color w:val="auto"/>
        </w:rPr>
      </w:pPr>
    </w:p>
    <w:p>
      <w:pPr>
        <w:ind w:left="3692"/>
        <w:spacing w:after="0"/>
        <w:tabs>
          <w:tab w:leader="none" w:pos="475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04/24/2025</w:t>
      </w:r>
    </w:p>
    <w:p>
      <w:pPr>
        <w:spacing w:after="0" w:line="152" w:lineRule="exact"/>
        <w:rPr>
          <w:sz w:val="20"/>
          <w:szCs w:val="20"/>
          <w:color w:val="auto"/>
        </w:rPr>
      </w:pPr>
    </w:p>
    <w:p>
      <w:pPr>
        <w:ind w:left="4712"/>
        <w:spacing w:after="0"/>
        <w:rPr>
          <w:sz w:val="20"/>
          <w:szCs w:val="20"/>
          <w:color w:val="auto"/>
        </w:rPr>
      </w:pPr>
      <w:r>
        <w:rPr>
          <w:rFonts w:ascii="Times New Roman" w:cs="Times New Roman" w:eastAsia="Times New Roman" w:hAnsi="Times New Roman"/>
          <w:sz w:val="22"/>
          <w:szCs w:val="22"/>
          <w:color w:val="auto"/>
        </w:rPr>
        <w:t>GABELLI &amp; Co INVESTMENT ADVISERS, INC.</w:t>
      </w:r>
    </w:p>
    <w:p>
      <w:pPr>
        <w:spacing w:after="0" w:line="152" w:lineRule="exact"/>
        <w:rPr>
          <w:sz w:val="20"/>
          <w:szCs w:val="20"/>
          <w:color w:val="auto"/>
        </w:rPr>
      </w:pPr>
    </w:p>
    <w:p>
      <w:pPr>
        <w:ind w:left="3692"/>
        <w:spacing w:after="0"/>
        <w:tabs>
          <w:tab w:leader="none" w:pos="475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DOUGLAS R. JAMIESON</w:t>
      </w:r>
    </w:p>
    <w:p>
      <w:pPr>
        <w:sectPr>
          <w:pgSz w:w="11900" w:h="16838" w:orient="portrait"/>
          <w:cols w:equalWidth="0" w:num="1">
            <w:col w:w="11132"/>
          </w:cols>
          <w:pgMar w:left="368" w:top="112" w:right="399" w:bottom="0" w:gutter="0" w:footer="0" w:header="0"/>
        </w:sectPr>
      </w:pPr>
    </w:p>
    <w:bookmarkStart w:id="11" w:name="page12"/>
    <w:bookmarkEnd w:id="11"/>
    <w:p>
      <w:pPr>
        <w:ind w:left="2620"/>
        <w:spacing w:after="0"/>
        <w:rPr>
          <w:sz w:val="20"/>
          <w:szCs w:val="20"/>
          <w:color w:val="auto"/>
        </w:rPr>
      </w:pPr>
      <w:r>
        <w:rPr>
          <w:rFonts w:ascii="Times New Roman" w:cs="Times New Roman" w:eastAsia="Times New Roman" w:hAnsi="Times New Roman"/>
          <w:sz w:val="22"/>
          <w:szCs w:val="22"/>
          <w:color w:val="auto"/>
        </w:rPr>
        <w:t>Name/Title: PRESIDENT</w:t>
      </w:r>
    </w:p>
    <w:p>
      <w:pPr>
        <w:spacing w:after="0" w:line="45" w:lineRule="exact"/>
        <w:rPr>
          <w:sz w:val="20"/>
          <w:szCs w:val="20"/>
          <w:color w:val="auto"/>
        </w:rPr>
      </w:pPr>
    </w:p>
    <w:p>
      <w:pPr>
        <w:ind w:left="2620"/>
        <w:spacing w:after="0"/>
        <w:tabs>
          <w:tab w:leader="none" w:pos="3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04/24/2025</w:t>
      </w:r>
    </w:p>
    <w:p>
      <w:pPr>
        <w:spacing w:after="0" w:line="15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GABELLI FOUNDATION, INC.</w:t>
      </w:r>
    </w:p>
    <w:p>
      <w:pPr>
        <w:spacing w:after="0" w:line="152" w:lineRule="exact"/>
        <w:rPr>
          <w:sz w:val="20"/>
          <w:szCs w:val="20"/>
          <w:color w:val="auto"/>
        </w:rPr>
      </w:pPr>
    </w:p>
    <w:p>
      <w:pPr>
        <w:ind w:left="2220"/>
        <w:spacing w:after="0"/>
        <w:tabs>
          <w:tab w:leader="none" w:pos="3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GOLDMAN</w:t>
      </w:r>
    </w:p>
    <w:p>
      <w:pPr>
        <w:spacing w:after="0" w:line="4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2220"/>
        <w:spacing w:after="0"/>
        <w:tabs>
          <w:tab w:leader="none" w:pos="3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04/24/2025</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MJG ASSOCIATES, INC.</w:t>
      </w:r>
    </w:p>
    <w:p>
      <w:pPr>
        <w:spacing w:after="0" w:line="152" w:lineRule="exact"/>
        <w:rPr>
          <w:sz w:val="20"/>
          <w:szCs w:val="20"/>
          <w:color w:val="auto"/>
        </w:rPr>
      </w:pPr>
    </w:p>
    <w:p>
      <w:pPr>
        <w:ind w:left="2220"/>
        <w:spacing w:after="0"/>
        <w:tabs>
          <w:tab w:leader="none" w:pos="3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GOLDMAN</w:t>
      </w:r>
    </w:p>
    <w:p>
      <w:pPr>
        <w:spacing w:after="0" w:line="4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2220"/>
        <w:spacing w:after="0"/>
        <w:tabs>
          <w:tab w:leader="none" w:pos="3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04/24/2025</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GGCP, INC.</w:t>
      </w:r>
    </w:p>
    <w:p>
      <w:pPr>
        <w:spacing w:after="0" w:line="152" w:lineRule="exact"/>
        <w:rPr>
          <w:sz w:val="20"/>
          <w:szCs w:val="20"/>
          <w:color w:val="auto"/>
        </w:rPr>
      </w:pPr>
    </w:p>
    <w:p>
      <w:pPr>
        <w:ind w:left="2220"/>
        <w:spacing w:after="0"/>
        <w:tabs>
          <w:tab w:leader="none" w:pos="3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GOLDMAN</w:t>
      </w:r>
    </w:p>
    <w:p>
      <w:pPr>
        <w:spacing w:after="0" w:line="4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2220"/>
        <w:spacing w:after="0"/>
        <w:tabs>
          <w:tab w:leader="none" w:pos="3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04/24/2025</w:t>
      </w:r>
    </w:p>
    <w:p>
      <w:pPr>
        <w:spacing w:after="0" w:line="15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Associated Capital Group,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PETER D. GOLDSTEIN</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1"/>
          <w:szCs w:val="21"/>
          <w:color w:val="auto"/>
        </w:rPr>
        <w:t>Name/Title: CHIEF LEGAL OFFICER</w:t>
      </w:r>
    </w:p>
    <w:p>
      <w:pPr>
        <w:spacing w:after="0" w:line="56"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04/24/2025</w:t>
      </w:r>
    </w:p>
    <w:p>
      <w:pPr>
        <w:spacing w:after="0" w:line="1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GABELLI MARIO J</w:t>
      </w:r>
    </w:p>
    <w:p>
      <w:pPr>
        <w:spacing w:after="0" w:line="152" w:lineRule="exact"/>
        <w:rPr>
          <w:sz w:val="20"/>
          <w:szCs w:val="20"/>
          <w:color w:val="auto"/>
        </w:rPr>
      </w:pPr>
    </w:p>
    <w:p>
      <w:pPr>
        <w:ind w:left="2220"/>
        <w:spacing w:after="0"/>
        <w:tabs>
          <w:tab w:leader="none" w:pos="3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GOLDMAN</w:t>
      </w:r>
    </w:p>
    <w:p>
      <w:pPr>
        <w:spacing w:after="0" w:line="4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2220"/>
        <w:spacing w:after="0"/>
        <w:tabs>
          <w:tab w:leader="none" w:pos="3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2"/>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4"/>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2025-04-24T15:15:52Z</dcterms:created>
  <dcterms:modified xsi:type="dcterms:W3CDTF">2025-04-24T15:15:52Z</dcterms:modified>
</cp:coreProperties>
</file>