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4998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9872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Ellison David Ferris</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1515 BROADWAY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Paramount Skydance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PSKY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6"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600" w:type="dxa"/>
            <w:vAlign w:val="bottom"/>
            <w:gridSpan w:val="7"/>
            <w:vMerge w:val="restart"/>
          </w:tcPr>
          <w:p>
            <w:pPr>
              <w:jc w:val="right"/>
              <w:ind w:right="132"/>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0" w:type="dxa"/>
            <w:vAlign w:val="bottom"/>
            <w:gridSpan w:val="7"/>
            <w:vMerge w:val="continue"/>
          </w:tcPr>
          <w:p>
            <w:pPr>
              <w:spacing w:after="0"/>
              <w:rPr>
                <w:sz w:val="10"/>
                <w:szCs w:val="10"/>
                <w:color w:val="auto"/>
              </w:rPr>
            </w:pPr>
          </w:p>
        </w:tc>
        <w:tc>
          <w:tcPr>
            <w:tcW w:w="37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00" w:type="dxa"/>
            <w:vAlign w:val="bottom"/>
            <w:gridSpan w:val="5"/>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jc w:val="center"/>
              <w:ind w:left="69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132"/>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05/07/2026</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89"/>
              </w:rPr>
              <w:t>250,000</w:t>
            </w:r>
            <w:r>
              <w:rPr>
                <w:rFonts w:ascii="Times New Roman" w:cs="Times New Roman" w:eastAsia="Times New Roman" w:hAnsi="Times New Roman"/>
                <w:sz w:val="21"/>
                <w:szCs w:val="21"/>
                <w:color w:val="008000"/>
                <w:w w:val="89"/>
                <w:vertAlign w:val="superscript"/>
              </w:rPr>
              <w:t>(1)</w:t>
            </w:r>
          </w:p>
        </w:tc>
        <w:tc>
          <w:tcPr>
            <w:tcW w:w="52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37"/>
              <w:spacing w:after="0" w:line="307"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89"/>
              </w:rPr>
              <w:t>511,473</w:t>
            </w:r>
            <w:r>
              <w:rPr>
                <w:rFonts w:ascii="Times New Roman" w:cs="Times New Roman" w:eastAsia="Times New Roman" w:hAnsi="Times New Roman"/>
                <w:sz w:val="21"/>
                <w:szCs w:val="21"/>
                <w:color w:val="008000"/>
                <w:w w:val="89"/>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05/07/2026</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89"/>
              </w:rPr>
              <w:t>127,200</w:t>
            </w:r>
            <w:r>
              <w:rPr>
                <w:rFonts w:ascii="Times New Roman" w:cs="Times New Roman" w:eastAsia="Times New Roman" w:hAnsi="Times New Roman"/>
                <w:sz w:val="21"/>
                <w:szCs w:val="21"/>
                <w:color w:val="008000"/>
                <w:w w:val="89"/>
                <w:vertAlign w:val="superscript"/>
              </w:rPr>
              <w:t>(3)</w:t>
            </w:r>
          </w:p>
        </w:tc>
        <w:tc>
          <w:tcPr>
            <w:tcW w:w="52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10.76</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384,273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76,210,742</w:t>
            </w:r>
          </w:p>
        </w:tc>
        <w:tc>
          <w:tcPr>
            <w:tcW w:w="340" w:type="dxa"/>
            <w:vAlign w:val="bottom"/>
          </w:tcPr>
          <w:p>
            <w:pPr>
              <w:spacing w:after="0"/>
              <w:rPr>
                <w:sz w:val="21"/>
                <w:szCs w:val="21"/>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0000FF"/>
                <w:w w:val="99"/>
              </w:rPr>
              <w:t>Class B</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250,000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05/07/2026</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90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250,000</w:t>
            </w: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80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3"/>
                <w:szCs w:val="13"/>
                <w:color w:val="0000FF"/>
              </w:rPr>
              <w:t>4,250,000</w:t>
            </w:r>
          </w:p>
        </w:tc>
        <w:tc>
          <w:tcPr>
            <w:tcW w:w="5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-1748155</wp:posOffset>
            </wp:positionV>
            <wp:extent cx="29210" cy="1753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38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20" w:firstLine="1"/>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identified in Table I were issued on May 7, 2026, upon vesting of an installment of Restricted Stock Units ("RSUs") identified in Table II, which were initially granted on August 7, 2025 and generally vest in equal quarterly installments over a five-year period. On May 7, 2026, the closing price of the Class B common stock on The NASDAQ Global Select Market was $10.76 per share.</w:t>
      </w:r>
    </w:p>
    <w:p>
      <w:pPr>
        <w:spacing w:after="0" w:line="1" w:lineRule="exact"/>
        <w:rPr>
          <w:rFonts w:ascii="Times New Roman" w:cs="Times New Roman" w:eastAsia="Times New Roman" w:hAnsi="Times New Roman"/>
          <w:sz w:val="12"/>
          <w:szCs w:val="12"/>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periodically pursuant to a dividend reinvestment program meeting the requirements of Rule 16a-11.</w:t>
      </w:r>
    </w:p>
    <w:p>
      <w:pPr>
        <w:spacing w:after="0" w:line="42" w:lineRule="exact"/>
        <w:rPr>
          <w:rFonts w:ascii="Times New Roman" w:cs="Times New Roman" w:eastAsia="Times New Roman" w:hAnsi="Times New Roman"/>
          <w:sz w:val="13"/>
          <w:szCs w:val="13"/>
          <w:color w:val="008000"/>
        </w:rPr>
      </w:pPr>
    </w:p>
    <w:p>
      <w:pPr>
        <w:ind w:left="40" w:right="42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tax liability incident to the vesting of, and delivery of shares underlying, the RSUs, and were not actually sold or otherwise disposed of in an open-market transaction.</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Skydance Entertainment Group, LLC, of which Mr. Ellison is the manager.</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Stephanie Kyoko</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2"/>
              </w:rPr>
              <w:t>05/11/2026</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20" w:type="dxa"/>
            <w:vAlign w:val="bottom"/>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McKinnon, Attorney-in-Fact</w:t>
            </w: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2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8052" TargetMode="External"/><Relationship Id="rId14" Type="http://schemas.openxmlformats.org/officeDocument/2006/relationships/hyperlink" Target="http://www.sec.gov/cgi-bin/browse-edgar?action=getcompany&amp;CIK=00020416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2026-05-11T16:15:22Z</dcterms:created>
  <dcterms:modified xsi:type="dcterms:W3CDTF">2026-05-11T16:15:22Z</dcterms:modified>
</cp:coreProperties>
</file>