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Marinelli Paul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1"/>
        <w:gridCol w:w="905"/>
        <w:gridCol w:w="774"/>
        <w:gridCol w:w="601"/>
        <w:gridCol w:w="351"/>
        <w:gridCol w:w="980"/>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21, 2026, upon vesting of the Restricted Stock Units ("RSUs") identified in Table II, which were granted on August 7, 2025. On July 21, 2026 the closing price of the Class B common stock on The NASDAQ Global Select Market was $8.53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B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will generally vest on the earlier of (i) the date of the Issuer's 2027 Annual Meeting of Stockholders and (ii) July 21, 2027, and a corresponding number of shares of Class B common stock will be delivered on the vesting date, unless the director has elected to defer receipt.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9187"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3797</Characters>
  <CharactersWithSpaces>4426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