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Under the Securities Exchange Act of 1934 (Amendment No.</w:t>
      </w:r>
      <w:r>
        <w:rPr>
          <w:sz w:val="20"/>
          <w:szCs w:val="20"/>
          <w:color w:val="auto"/>
        </w:rPr>
        <w:tab/>
      </w:r>
      <w:r>
        <w:rPr>
          <w:rFonts w:ascii="Courier New" w:cs="Courier New" w:eastAsia="Courier New" w:hAnsi="Courier New"/>
          <w:sz w:val="16"/>
          <w:szCs w:val="16"/>
          <w:color w:val="auto"/>
        </w:rPr>
        <w:t>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Viacom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Class A Common Stock, $0.01 Par Value Per</w:t>
      </w:r>
      <w:r>
        <w:rPr>
          <w:sz w:val="20"/>
          <w:szCs w:val="20"/>
          <w:color w:val="auto"/>
        </w:rPr>
        <w:tab/>
      </w:r>
      <w:r>
        <w:rPr>
          <w:rFonts w:ascii="Courier New" w:cs="Courier New" w:eastAsia="Courier New" w:hAnsi="Courier New"/>
          <w:sz w:val="16"/>
          <w:szCs w:val="16"/>
          <w:color w:val="auto"/>
        </w:rPr>
        <w:t>Share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925524100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GAMCO Investors, Inc.</w:t>
      </w:r>
    </w:p>
    <w:p>
      <w:pPr>
        <w:spacing w:after="0"/>
        <w:rPr>
          <w:sz w:val="20"/>
          <w:szCs w:val="20"/>
          <w:color w:val="auto"/>
        </w:rPr>
      </w:pPr>
      <w:r>
        <w:rPr>
          <w:rFonts w:ascii="Courier New" w:cs="Courier New" w:eastAsia="Courier New" w:hAnsi="Courier New"/>
          <w:sz w:val="18"/>
          <w:szCs w:val="18"/>
          <w:color w:val="auto"/>
        </w:rPr>
        <w:t>One Corporate Center</w:t>
      </w:r>
    </w:p>
    <w:p>
      <w:pPr>
        <w:spacing w:after="0" w:line="237" w:lineRule="auto"/>
        <w:rPr>
          <w:sz w:val="20"/>
          <w:szCs w:val="20"/>
          <w:color w:val="auto"/>
        </w:rPr>
      </w:pPr>
      <w:r>
        <w:rPr>
          <w:rFonts w:ascii="Courier New" w:cs="Courier New" w:eastAsia="Courier New" w:hAnsi="Courier New"/>
          <w:sz w:val="18"/>
          <w:szCs w:val="18"/>
          <w:color w:val="auto"/>
        </w:rPr>
        <w:t>Rye, New York 10580-1435</w:t>
      </w:r>
    </w:p>
    <w:p>
      <w:pPr>
        <w:spacing w:after="0" w:line="238" w:lineRule="auto"/>
        <w:rPr>
          <w:sz w:val="20"/>
          <w:szCs w:val="20"/>
          <w:color w:val="auto"/>
        </w:rPr>
      </w:pPr>
      <w:r>
        <w:rPr>
          <w:rFonts w:ascii="Courier New" w:cs="Courier New" w:eastAsia="Courier New" w:hAnsi="Courier New"/>
          <w:sz w:val="18"/>
          <w:szCs w:val="18"/>
          <w:color w:val="auto"/>
        </w:rPr>
        <w:t>(914) 921-5294</w:t>
      </w:r>
    </w:p>
    <w:p>
      <w:pPr>
        <w:spacing w:after="0" w:line="5"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30, 2005</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Section 240.13d-1(e), 240.13d-1(f) or 240.13d-1(g), check the following box.</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925524100</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Gabelli Funds, LLC</w:t>
      </w:r>
    </w:p>
    <w:p>
      <w:pPr>
        <w:ind w:left="860"/>
        <w:spacing w:after="0" w:line="238" w:lineRule="auto"/>
        <w:rPr>
          <w:sz w:val="20"/>
          <w:szCs w:val="20"/>
          <w:color w:val="auto"/>
        </w:rPr>
      </w:pPr>
      <w:r>
        <w:rPr>
          <w:rFonts w:ascii="Courier New" w:cs="Courier New" w:eastAsia="Courier New" w:hAnsi="Courier New"/>
          <w:sz w:val="18"/>
          <w:szCs w:val="18"/>
          <w:color w:val="auto"/>
        </w:rPr>
        <w:t>I.D. NO.</w:t>
      </w:r>
    </w:p>
    <w:p>
      <w:pPr>
        <w:spacing w:after="0"/>
        <w:rPr>
          <w:sz w:val="20"/>
          <w:szCs w:val="20"/>
          <w:color w:val="auto"/>
        </w:rPr>
      </w:pPr>
      <w:r>
        <w:rPr>
          <w:rFonts w:ascii="Courier New" w:cs="Courier New" w:eastAsia="Courier New" w:hAnsi="Courier New"/>
          <w:sz w:val="18"/>
          <w:szCs w:val="18"/>
          <w:color w:val="auto"/>
        </w:rPr>
        <w:t>13-4044523</w:t>
      </w:r>
    </w:p>
    <w:p>
      <w:pPr>
        <w:spacing w:after="0" w:line="237" w:lineRule="auto"/>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rPr>
          <w:sz w:val="20"/>
          <w:szCs w:val="20"/>
          <w:color w:val="auto"/>
        </w:rPr>
      </w:pPr>
      <w:r>
        <w:rPr>
          <w:rFonts w:ascii="Courier New" w:cs="Courier New" w:eastAsia="Courier New" w:hAnsi="Courier New"/>
          <w:sz w:val="18"/>
          <w:szCs w:val="18"/>
          <w:color w:val="auto"/>
        </w:rPr>
        <w:t>(a)</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4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OWNED</w:t>
      </w:r>
    </w:p>
    <w:p>
      <w:pPr>
        <w:sectPr>
          <w:pgSz w:w="11900" w:h="16838"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4,534,947</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4,534,947</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4,534,947</w:t>
      </w:r>
      <w:r>
        <w:rPr>
          <w:sz w:val="20"/>
          <w:szCs w:val="20"/>
          <w:color w:val="auto"/>
        </w:rPr>
        <w:tab/>
      </w:r>
      <w:r>
        <w:rPr>
          <w:rFonts w:ascii="Courier New" w:cs="Courier New" w:eastAsia="Courier New" w:hAnsi="Courier New"/>
          <w:sz w:val="16"/>
          <w:szCs w:val="16"/>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3.45%</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925524100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Asset Management Inc.</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13-4044521</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120"/>
        <w:spacing w:after="0"/>
        <w:rPr>
          <w:sz w:val="20"/>
          <w:szCs w:val="20"/>
          <w:color w:val="auto"/>
        </w:rPr>
      </w:pPr>
      <w:r>
        <w:rPr>
          <w:rFonts w:ascii="Courier New" w:cs="Courier New" w:eastAsia="Courier New" w:hAnsi="Courier New"/>
          <w:sz w:val="18"/>
          <w:szCs w:val="18"/>
          <w:color w:val="auto"/>
        </w:rPr>
        <w:t>00-Funds of investment advisory clients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4,458,900</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4,844,200</w:t>
      </w:r>
      <w:r>
        <w:rPr>
          <w:sz w:val="20"/>
          <w:szCs w:val="20"/>
          <w:color w:val="auto"/>
        </w:rPr>
        <w:tab/>
      </w:r>
      <w:r>
        <w:rPr>
          <w:rFonts w:ascii="Courier New" w:cs="Courier New" w:eastAsia="Courier New" w:hAnsi="Courier New"/>
          <w:sz w:val="16"/>
          <w:szCs w:val="16"/>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4,844,200</w:t>
      </w:r>
      <w:r>
        <w:rPr>
          <w:sz w:val="20"/>
          <w:szCs w:val="20"/>
          <w:color w:val="auto"/>
        </w:rPr>
        <w:tab/>
      </w:r>
      <w:r>
        <w:rPr>
          <w:rFonts w:ascii="Courier New" w:cs="Courier New" w:eastAsia="Courier New" w:hAnsi="Courier New"/>
          <w:sz w:val="16"/>
          <w:szCs w:val="16"/>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 OF CLASS REPRESENTED BY AMOUNT IN ROW (11)</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3.68%</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IA,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925524100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Securities, Inc.</w:t>
      </w:r>
    </w:p>
    <w:p>
      <w:pPr>
        <w:ind w:left="860"/>
        <w:spacing w:after="0" w:line="238" w:lineRule="auto"/>
        <w:rPr>
          <w:sz w:val="20"/>
          <w:szCs w:val="20"/>
          <w:color w:val="auto"/>
        </w:rPr>
      </w:pPr>
      <w:r>
        <w:rPr>
          <w:rFonts w:ascii="Courier New" w:cs="Courier New" w:eastAsia="Courier New" w:hAnsi="Courier New"/>
          <w:sz w:val="18"/>
          <w:szCs w:val="18"/>
          <w:color w:val="auto"/>
        </w:rPr>
        <w:t>I.D. NO.</w:t>
      </w:r>
    </w:p>
    <w:p>
      <w:pPr>
        <w:spacing w:after="0"/>
        <w:rPr>
          <w:sz w:val="20"/>
          <w:szCs w:val="20"/>
          <w:color w:val="auto"/>
        </w:rPr>
      </w:pPr>
      <w:r>
        <w:rPr>
          <w:rFonts w:ascii="Courier New" w:cs="Courier New" w:eastAsia="Courier New" w:hAnsi="Courier New"/>
          <w:sz w:val="18"/>
          <w:szCs w:val="18"/>
          <w:color w:val="auto"/>
        </w:rPr>
        <w:t>13-3379374</w:t>
      </w:r>
    </w:p>
    <w:p>
      <w:pPr>
        <w:spacing w:after="0" w:line="237" w:lineRule="auto"/>
        <w:rPr>
          <w:sz w:val="20"/>
          <w:szCs w:val="20"/>
          <w:color w:val="auto"/>
        </w:rPr>
      </w:pPr>
      <w:r>
        <w:rPr>
          <w:rFonts w:ascii="Courier New" w:cs="Courier New" w:eastAsia="Courier New" w:hAnsi="Courier New"/>
          <w:sz w:val="18"/>
          <w:szCs w:val="18"/>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00- Client funds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14,500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120"/>
        <w:spacing w:after="0"/>
        <w:tabs>
          <w:tab w:leader="none" w:pos="1140" w:val="left"/>
        </w:tabs>
        <w:rPr>
          <w:sz w:val="20"/>
          <w:szCs w:val="20"/>
          <w:color w:val="auto"/>
        </w:rPr>
      </w:pPr>
      <w:r>
        <w:rPr>
          <w:rFonts w:ascii="Courier New" w:cs="Courier New" w:eastAsia="Courier New" w:hAnsi="Courier New"/>
          <w:sz w:val="18"/>
          <w:szCs w:val="18"/>
          <w:color w:val="auto"/>
        </w:rPr>
        <w:t>14,500</w:t>
      </w:r>
      <w:r>
        <w:rPr>
          <w:sz w:val="20"/>
          <w:szCs w:val="20"/>
          <w:color w:val="auto"/>
        </w:rPr>
        <w:tab/>
      </w:r>
      <w:r>
        <w:rPr>
          <w:rFonts w:ascii="Courier New" w:cs="Courier New" w:eastAsia="Courier New" w:hAnsi="Courier New"/>
          <w:sz w:val="18"/>
          <w:szCs w:val="18"/>
          <w:color w:val="auto"/>
        </w:rPr>
        <w:t>(Item 5)</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20"/>
        <w:spacing w:after="0"/>
        <w:tabs>
          <w:tab w:leader="none" w:pos="2840" w:val="left"/>
        </w:tabs>
        <w:rPr>
          <w:sz w:val="20"/>
          <w:szCs w:val="20"/>
          <w:color w:val="auto"/>
        </w:rPr>
      </w:pPr>
      <w:r>
        <w:rPr>
          <w:rFonts w:ascii="Courier New" w:cs="Courier New" w:eastAsia="Courier New" w:hAnsi="Courier New"/>
          <w:sz w:val="18"/>
          <w:szCs w:val="18"/>
          <w:color w:val="auto"/>
        </w:rPr>
        <w:t>14,500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0.01%</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rPr>
          <w:sz w:val="20"/>
          <w:szCs w:val="20"/>
          <w:color w:val="auto"/>
        </w:rPr>
      </w:pPr>
      <w:r>
        <w:rPr>
          <w:rFonts w:ascii="Courier New" w:cs="Courier New" w:eastAsia="Courier New" w:hAnsi="Courier New"/>
          <w:sz w:val="18"/>
          <w:szCs w:val="18"/>
          <w:color w:val="auto"/>
        </w:rPr>
        <w:t>CUSIP No. 925524100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MJG Associates, Inc.</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06-1304269</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00-Client Funds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Connecticut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ectPr>
          <w:pgSz w:w="11900" w:h="16838" w:orient="portrait"/>
          <w:cols w:equalWidth="0" w:num="1">
            <w:col w:w="10219"/>
          </w:cols>
          <w:pgMar w:left="240" w:top="136"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31,000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640"/>
        <w:spacing w:after="0"/>
        <w:tabs>
          <w:tab w:leader="none" w:pos="2100" w:val="left"/>
        </w:tabs>
        <w:rPr>
          <w:sz w:val="20"/>
          <w:szCs w:val="20"/>
          <w:color w:val="auto"/>
        </w:rPr>
      </w:pPr>
      <w:r>
        <w:rPr>
          <w:rFonts w:ascii="Courier New" w:cs="Courier New" w:eastAsia="Courier New" w:hAnsi="Courier New"/>
          <w:sz w:val="18"/>
          <w:szCs w:val="18"/>
          <w:color w:val="auto"/>
        </w:rPr>
        <w:t>31,000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31,000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939" w:hanging="104"/>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0.02%</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120"/>
        <w:spacing w:after="0" w:line="238" w:lineRule="auto"/>
        <w:rPr>
          <w:sz w:val="20"/>
          <w:szCs w:val="20"/>
          <w:color w:val="auto"/>
        </w:rPr>
      </w:pPr>
      <w:r>
        <w:rPr>
          <w:rFonts w:ascii="Courier New" w:cs="Courier New" w:eastAsia="Courier New" w:hAnsi="Courier New"/>
          <w:sz w:val="18"/>
          <w:szCs w:val="18"/>
          <w:color w:val="auto"/>
        </w:rPr>
        <w:t>CO</w:t>
      </w:r>
    </w:p>
    <w:p>
      <w:pPr>
        <w:spacing w:after="0"/>
        <w:rPr>
          <w:sz w:val="20"/>
          <w:szCs w:val="20"/>
          <w:color w:val="auto"/>
        </w:rPr>
      </w:pPr>
      <w:r>
        <w:rPr>
          <w:rFonts w:ascii="Courier New" w:cs="Courier New" w:eastAsia="Courier New" w:hAnsi="Courier New"/>
          <w:sz w:val="18"/>
          <w:szCs w:val="18"/>
          <w:color w:val="auto"/>
        </w:rPr>
        <w:t>CUSIP No.</w:t>
      </w:r>
    </w:p>
    <w:p>
      <w:pPr>
        <w:spacing w:after="0" w:line="237" w:lineRule="auto"/>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&amp; Company, Inc. Profit Sharing Plan</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13-3798449</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540"/>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ectPr>
          <w:pgSz w:w="11900" w:h="16838" w:orient="portrait"/>
          <w:cols w:equalWidth="0" w:num="1">
            <w:col w:w="10219"/>
          </w:cols>
          <w:pgMar w:left="24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2,000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2,000</w:t>
            </w: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w w:val="94"/>
              </w:rPr>
              <w:t>(ITEM 5)</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120"/>
        <w:spacing w:after="0" w:line="238" w:lineRule="auto"/>
        <w:rPr>
          <w:sz w:val="20"/>
          <w:szCs w:val="20"/>
          <w:color w:val="auto"/>
        </w:rPr>
      </w:pPr>
      <w:r>
        <w:rPr>
          <w:rFonts w:ascii="Courier New" w:cs="Courier New" w:eastAsia="Courier New" w:hAnsi="Courier New"/>
          <w:sz w:val="18"/>
          <w:szCs w:val="18"/>
          <w:color w:val="auto"/>
        </w:rPr>
        <w:t>EP</w:t>
      </w:r>
    </w:p>
    <w:p>
      <w:pPr>
        <w:spacing w:after="0"/>
        <w:rPr>
          <w:sz w:val="20"/>
          <w:szCs w:val="20"/>
          <w:color w:val="auto"/>
        </w:rPr>
      </w:pPr>
      <w:r>
        <w:rPr>
          <w:rFonts w:ascii="Courier New" w:cs="Courier New" w:eastAsia="Courier New" w:hAnsi="Courier New"/>
          <w:sz w:val="18"/>
          <w:szCs w:val="18"/>
          <w:color w:val="auto"/>
        </w:rPr>
        <w:t>CUSIP No.</w:t>
      </w:r>
    </w:p>
    <w:p>
      <w:pPr>
        <w:spacing w:after="0" w:line="237" w:lineRule="auto"/>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Foundation, Inc.</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94-2975159</w:t>
      </w:r>
    </w:p>
    <w:p>
      <w:pPr>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WC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NV</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0"/>
        <w:spacing w:after="0"/>
        <w:tabs>
          <w:tab w:leader="none" w:pos="1140" w:val="left"/>
        </w:tabs>
        <w:rPr>
          <w:sz w:val="20"/>
          <w:szCs w:val="20"/>
          <w:color w:val="auto"/>
        </w:rPr>
      </w:pPr>
      <w:r>
        <w:rPr>
          <w:rFonts w:ascii="Courier New" w:cs="Courier New" w:eastAsia="Courier New" w:hAnsi="Courier New"/>
          <w:sz w:val="18"/>
          <w:szCs w:val="18"/>
          <w:color w:val="auto"/>
        </w:rPr>
        <w:t>7,000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6"/>
          <w:szCs w:val="16"/>
          <w:color w:val="auto"/>
        </w:rPr>
        <w:t>SOLE DISPOSITIVE POWER</w:t>
      </w:r>
    </w:p>
    <w:p>
      <w:pPr>
        <w:spacing w:after="0" w:line="218" w:lineRule="exact"/>
        <w:rPr>
          <w:sz w:val="20"/>
          <w:szCs w:val="20"/>
          <w:color w:val="auto"/>
        </w:rPr>
      </w:pPr>
    </w:p>
    <w:p>
      <w:pPr>
        <w:ind w:left="120"/>
        <w:spacing w:after="0"/>
        <w:tabs>
          <w:tab w:leader="none" w:pos="1360" w:val="left"/>
        </w:tabs>
        <w:rPr>
          <w:sz w:val="20"/>
          <w:szCs w:val="20"/>
          <w:color w:val="auto"/>
        </w:rPr>
      </w:pPr>
      <w:r>
        <w:rPr>
          <w:rFonts w:ascii="Courier New" w:cs="Courier New" w:eastAsia="Courier New" w:hAnsi="Courier New"/>
          <w:sz w:val="18"/>
          <w:szCs w:val="18"/>
          <w:color w:val="auto"/>
        </w:rPr>
        <w:t>7,000</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136" w:right="1440" w:bottom="0" w:gutter="0" w:footer="0" w:header="0"/>
        </w:sectPr>
      </w:pPr>
    </w:p>
    <w:bookmarkStart w:id="8" w:name="page9"/>
    <w:bookmarkEnd w:id="8"/>
    <w:p>
      <w:pPr>
        <w:ind w:left="420"/>
        <w:spacing w:after="0"/>
        <w:tabs>
          <w:tab w:leader="none" w:pos="2100" w:val="left"/>
        </w:tabs>
        <w:rPr>
          <w:sz w:val="20"/>
          <w:szCs w:val="20"/>
          <w:color w:val="auto"/>
        </w:rPr>
      </w:pPr>
      <w:r>
        <w:rPr>
          <w:rFonts w:ascii="Courier New" w:cs="Courier New" w:eastAsia="Courier New" w:hAnsi="Courier New"/>
          <w:sz w:val="18"/>
          <w:szCs w:val="18"/>
          <w:color w:val="auto"/>
        </w:rPr>
        <w:t>7,000</w:t>
      </w:r>
      <w:r>
        <w:rPr>
          <w:sz w:val="20"/>
          <w:szCs w:val="20"/>
          <w:color w:val="auto"/>
        </w:rPr>
        <w:tab/>
      </w: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0.01%</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00-PRIVATE FOUNDATION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925524100</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GGCP, Inc.</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13-3056041</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ind w:left="3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ectPr>
          <w:pgSz w:w="11900" w:h="16838" w:orient="portrait"/>
          <w:cols w:equalWidth="0" w:num="1">
            <w:col w:w="10219"/>
          </w:cols>
          <w:pgMar w:left="24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X</w:t>
      </w:r>
    </w:p>
    <w:p>
      <w:pPr>
        <w:spacing w:after="0" w:line="238" w:lineRule="auto"/>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925524100</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ind w:left="860"/>
        <w:spacing w:after="0"/>
        <w:tabs>
          <w:tab w:leader="none" w:pos="1880" w:val="left"/>
        </w:tabs>
        <w:rPr>
          <w:sz w:val="20"/>
          <w:szCs w:val="20"/>
          <w:color w:val="auto"/>
        </w:rPr>
      </w:pPr>
      <w:r>
        <w:rPr>
          <w:rFonts w:ascii="Courier New" w:cs="Courier New" w:eastAsia="Courier New" w:hAnsi="Courier New"/>
          <w:sz w:val="18"/>
          <w:szCs w:val="18"/>
          <w:color w:val="auto"/>
        </w:rPr>
        <w:t>I.D. NO.</w:t>
      </w:r>
      <w:r>
        <w:rPr>
          <w:sz w:val="20"/>
          <w:szCs w:val="20"/>
          <w:color w:val="auto"/>
        </w:rPr>
        <w:tab/>
      </w:r>
      <w:r>
        <w:rPr>
          <w:rFonts w:ascii="Courier New" w:cs="Courier New" w:eastAsia="Courier New" w:hAnsi="Courier New"/>
          <w:sz w:val="16"/>
          <w:szCs w:val="16"/>
          <w:color w:val="auto"/>
        </w:rPr>
        <w:t>13-4007862</w:t>
      </w:r>
    </w:p>
    <w:p>
      <w:pPr>
        <w:spacing w:after="0"/>
        <w:rPr>
          <w:sz w:val="20"/>
          <w:szCs w:val="20"/>
          <w:color w:val="auto"/>
        </w:rPr>
      </w:pPr>
      <w:r>
        <w:rPr>
          <w:rFonts w:ascii="Courier New" w:cs="Courier New" w:eastAsia="Courier New" w:hAnsi="Courier New"/>
          <w:sz w:val="18"/>
          <w:szCs w:val="18"/>
          <w:color w:val="auto"/>
        </w:rPr>
        <w:t>2</w:t>
      </w:r>
    </w:p>
    <w:p>
      <w:pPr>
        <w:spacing w:after="0" w:line="237"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Source of funds (SEE INSTRUCTIONS)</w:t>
      </w: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New York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BOX IF THE AGGREGATE AMOUNT IN ROW (11) EXCLUDES CERTAIN SHARES (SEE INSTRUCTIONS)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HC, CO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925524100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ectPr>
          <w:pgSz w:w="11900" w:h="16838" w:orient="portrait"/>
          <w:cols w:equalWidth="0" w:num="1">
            <w:col w:w="10219"/>
          </w:cols>
          <w:pgMar w:left="240" w:top="339"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Source of funds (SEE INSTRUCTIONS)</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00 - Funds of family partnership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BOX IF DISCLOSURE OF LEGAL PROCEEDINGS IS REQUIRED PURSUANT TO ITEMS 2 (d) OR 2 (e)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EACH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BOX IF THE AGGREGATE AMOUNT IN ROW (11) EXCLUDES CERTAIN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X</w:t>
      </w:r>
    </w:p>
    <w:p>
      <w:pPr>
        <w:spacing w:after="0" w:line="238" w:lineRule="auto"/>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(11)</w:t>
      </w:r>
    </w:p>
    <w:p>
      <w:pPr>
        <w:sectPr>
          <w:pgSz w:w="11900" w:h="16838" w:orient="portrait"/>
          <w:cols w:equalWidth="0" w:num="1">
            <w:col w:w="10219"/>
          </w:cols>
          <w:pgMar w:left="240" w:top="339"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0.00%</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4" w:lineRule="exact"/>
        <w:rPr>
          <w:sz w:val="20"/>
          <w:szCs w:val="20"/>
          <w:color w:val="auto"/>
        </w:rPr>
      </w:pPr>
    </w:p>
    <w:p>
      <w:pPr>
        <w:ind w:right="1459" w:firstLine="1686"/>
        <w:spacing w:after="0" w:line="237" w:lineRule="auto"/>
        <w:rPr>
          <w:sz w:val="20"/>
          <w:szCs w:val="20"/>
          <w:color w:val="auto"/>
        </w:rPr>
      </w:pPr>
      <w:r>
        <w:rPr>
          <w:rFonts w:ascii="Courier New" w:cs="Courier New" w:eastAsia="Courier New" w:hAnsi="Courier New"/>
          <w:sz w:val="18"/>
          <w:szCs w:val="18"/>
          <w:color w:val="auto"/>
        </w:rPr>
        <w:t>This Amendment No. 9 to Schedule 13D on the Class A Common Stock of Viacom Inc. (the "Issuer") is being filed on behalf of the undersigned to amend the Schedule 13D, as amended (the "Schedule 13D") which was originally filed on February 7, 1997. Unless otherwise indicated, all capitalized terms used</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herein but not defined herein shall have the same meanings as set forth in the Schedule 13D.</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4"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This statement is being filed by Mario J. Gabelli ("Mario Gabelli") and various entities which he</w:t>
      </w:r>
    </w:p>
    <w:p>
      <w:pPr>
        <w:spacing w:after="0" w:line="6"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directly or indirectly controls or for which he acts as chief investment officer. These entities, except for Lynch Corporation ("Lynch") and Lynch Interactive Corporation ("Interactive"), engage in various aspects of the securities business, primarily as investment adviser to various institutional and individual clients, including registered investment companies and pension plans, and as general partner of various private investment partnerships. Certain of these entities may also make investments for their own accounts.</w:t>
      </w:r>
    </w:p>
    <w:p>
      <w:pPr>
        <w:spacing w:after="0" w:line="1" w:lineRule="exact"/>
        <w:rPr>
          <w:sz w:val="20"/>
          <w:szCs w:val="20"/>
          <w:color w:val="auto"/>
        </w:rPr>
      </w:pPr>
    </w:p>
    <w:p>
      <w:pPr>
        <w:ind w:right="1579" w:firstLine="1686"/>
        <w:spacing w:after="0" w:line="268" w:lineRule="auto"/>
        <w:rPr>
          <w:sz w:val="20"/>
          <w:szCs w:val="20"/>
          <w:color w:val="auto"/>
        </w:rPr>
      </w:pPr>
      <w:r>
        <w:rPr>
          <w:rFonts w:ascii="Courier New" w:cs="Courier New" w:eastAsia="Courier New" w:hAnsi="Courier New"/>
          <w:sz w:val="16"/>
          <w:szCs w:val="16"/>
          <w:color w:val="auto"/>
        </w:rPr>
        <w:t>The foregoing persons in the aggregate often own beneficially more than 5% of a class of a particular issuer. Although several of the foregoing persons are treated as institutional investors for purposes of reporting their beneficial ownership on the short-form Schedule 13G, the holdings of those who</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11" w:lineRule="exact"/>
        <w:rPr>
          <w:sz w:val="20"/>
          <w:szCs w:val="20"/>
          <w:color w:val="auto"/>
        </w:rPr>
      </w:pPr>
    </w:p>
    <w:p>
      <w:pPr>
        <w:ind w:right="1579" w:firstLine="1686"/>
        <w:spacing w:after="0" w:line="237" w:lineRule="auto"/>
        <w:rPr>
          <w:sz w:val="20"/>
          <w:szCs w:val="20"/>
          <w:color w:val="auto"/>
        </w:rPr>
      </w:pPr>
      <w:r>
        <w:rPr>
          <w:rFonts w:ascii="Courier New" w:cs="Courier New" w:eastAsia="Courier New" w:hAnsi="Courier New"/>
          <w:sz w:val="18"/>
          <w:szCs w:val="18"/>
          <w:color w:val="auto"/>
        </w:rPr>
        <w:t>(a), (b) and (c) - This statement is being filed by one or more of the following persons: GGCP, Inc. formerly known as Gabelli Group Capital Partners, Inc. ("GGCP"), GAMCO Investors, Inc. formerly known as Gabelli Asset Management Inc. ("GBL"), Gabelli Funds, LLC ("Gabelli Funds"), GAMCO Asset Management Inc. formerly known as GAMCO Investors, Inc. ("GAMCO"), Gabelli Advisers, Inc. ("Gabelli Advisers"), Gabelli Securities, Inc. ("GSI"), Gabelli</w:t>
      </w:r>
    </w:p>
    <w:p>
      <w:pPr>
        <w:spacing w:after="0" w:line="2"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Inc. ("Gabelli &amp; Company"), Gabelli &amp; Company, Inc. Profit Sharing</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 (the "Plan"), MJG Associates, Inc. ("MJG Associates"), Gabelli Foundation, Inc. ("Foundation"), Mario Gabelli, Lynch, and Interactive. Those of the foregoing persons signing this Schedule 13D are hereafter referred to as the "Reporting Persons".</w:t>
      </w:r>
    </w:p>
    <w:p>
      <w:pPr>
        <w:spacing w:after="0" w:line="5" w:lineRule="exact"/>
        <w:rPr>
          <w:sz w:val="20"/>
          <w:szCs w:val="20"/>
          <w:color w:val="auto"/>
        </w:rPr>
      </w:pPr>
    </w:p>
    <w:p>
      <w:pPr>
        <w:ind w:right="2099" w:firstLine="1686"/>
        <w:spacing w:after="0" w:line="237" w:lineRule="auto"/>
        <w:rPr>
          <w:sz w:val="20"/>
          <w:szCs w:val="20"/>
          <w:color w:val="auto"/>
        </w:rPr>
      </w:pPr>
      <w:r>
        <w:rPr>
          <w:rFonts w:ascii="Courier New" w:cs="Courier New" w:eastAsia="Courier New" w:hAnsi="Courier New"/>
          <w:sz w:val="18"/>
          <w:szCs w:val="18"/>
          <w:color w:val="auto"/>
        </w:rPr>
        <w:t>GGCP makes investments for its own account and is the parent company of GBL. GBL, a public company listed on the New York Stock Exchange, is the parent company for a variety of companies engaged in the securities business, including those named below.</w:t>
      </w:r>
    </w:p>
    <w:p>
      <w:pPr>
        <w:spacing w:after="0" w:line="5" w:lineRule="exact"/>
        <w:rPr>
          <w:sz w:val="20"/>
          <w:szCs w:val="20"/>
          <w:color w:val="auto"/>
        </w:rPr>
      </w:pPr>
    </w:p>
    <w:p>
      <w:pPr>
        <w:ind w:right="1679" w:firstLine="1686"/>
        <w:spacing w:after="0" w:line="237" w:lineRule="auto"/>
        <w:rPr>
          <w:sz w:val="20"/>
          <w:szCs w:val="20"/>
          <w:color w:val="auto"/>
        </w:rPr>
      </w:pPr>
      <w:r>
        <w:rPr>
          <w:rFonts w:ascii="Courier New" w:cs="Courier New" w:eastAsia="Courier New" w:hAnsi="Courier New"/>
          <w:sz w:val="18"/>
          <w:szCs w:val="18"/>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6" w:lineRule="exact"/>
        <w:rPr>
          <w:sz w:val="20"/>
          <w:szCs w:val="20"/>
          <w:color w:val="auto"/>
        </w:rPr>
      </w:pPr>
    </w:p>
    <w:p>
      <w:pPr>
        <w:ind w:right="1579" w:firstLine="1686"/>
        <w:spacing w:after="0" w:line="237" w:lineRule="auto"/>
        <w:rPr>
          <w:sz w:val="20"/>
          <w:szCs w:val="20"/>
          <w:color w:val="auto"/>
        </w:rPr>
      </w:pPr>
      <w:r>
        <w:rPr>
          <w:rFonts w:ascii="Courier New" w:cs="Courier New" w:eastAsia="Courier New" w:hAnsi="Courier New"/>
          <w:sz w:val="18"/>
          <w:szCs w:val="18"/>
          <w:color w:val="auto"/>
        </w:rPr>
        <w:t>GSI, a majority-owned subsidiary of GBL, acts as a general partner or investment manager to limited partnerships and offshore investment companies and as a part of its business may purchase or sell securities for its own account. It is the immediate parent of Gabelli &amp; Company. GSI is the Investment Manager of Gabelli Associates Fund, Gabelli Associates Fund II, Gabelli Associates Limited, ALCE Partners, L.P., and Gabelli Multimedia Partners, L.P. GSI and Marc Gabelli own 45% and 55%, respectively, of Gabelli Securities International Limited ("GSIL"). GSIL provides investment advisory services to offshore funds and accounts. GSIL is an investment advisor of Gabelli International Gold Fund Limited, Gabelli European Partners, Ltd., and Gabelli Global Partners, Ltd.</w:t>
      </w:r>
    </w:p>
    <w:p>
      <w:pPr>
        <w:spacing w:after="0" w:line="13" w:lineRule="exact"/>
        <w:rPr>
          <w:sz w:val="20"/>
          <w:szCs w:val="20"/>
          <w:color w:val="auto"/>
        </w:rPr>
      </w:pPr>
    </w:p>
    <w:p>
      <w:pPr>
        <w:ind w:right="1679" w:firstLine="1686"/>
        <w:spacing w:after="0" w:line="237" w:lineRule="auto"/>
        <w:rPr>
          <w:sz w:val="20"/>
          <w:szCs w:val="20"/>
          <w:color w:val="auto"/>
        </w:rPr>
      </w:pPr>
      <w:r>
        <w:rPr>
          <w:rFonts w:ascii="Courier New" w:cs="Courier New" w:eastAsia="Courier New" w:hAnsi="Courier New"/>
          <w:sz w:val="18"/>
          <w:szCs w:val="18"/>
          <w:color w:val="auto"/>
        </w:rPr>
        <w:t>Gabelli &amp; Company, a wholly-owned subsidiary of GSI, is a broker-dealer registered under the Securities Exchange Act of 1934, as amended ("1934 Act"), which as a part of its business regularly purchases and sells securities for its own account.</w:t>
      </w:r>
    </w:p>
    <w:p>
      <w:pPr>
        <w:spacing w:after="0" w:line="5" w:lineRule="exact"/>
        <w:rPr>
          <w:sz w:val="20"/>
          <w:szCs w:val="20"/>
          <w:color w:val="auto"/>
        </w:rPr>
      </w:pPr>
    </w:p>
    <w:p>
      <w:pPr>
        <w:ind w:right="1999" w:firstLine="1686"/>
        <w:spacing w:after="0" w:line="272" w:lineRule="auto"/>
        <w:rPr>
          <w:sz w:val="20"/>
          <w:szCs w:val="20"/>
          <w:color w:val="auto"/>
        </w:rPr>
      </w:pPr>
      <w:r>
        <w:rPr>
          <w:rFonts w:ascii="Courier New" w:cs="Courier New" w:eastAsia="Courier New" w:hAnsi="Courier New"/>
          <w:sz w:val="16"/>
          <w:szCs w:val="16"/>
          <w:color w:val="auto"/>
        </w:rPr>
        <w:t>Gabelli Funds, a wholly owned subsidiary of GBL, is a limited liability company. Gabelli Funds is an investment adviser registered under the Advisers Act which presently provides discretionary managed account services for The Gabelli Equity Trust Inc., The Gabelli Asset Fund, The Gabelli Growth Fund, The Gabelli Convertible and Income Securities Fund, Inc., The Gabelli Value Fund Inc., The Gabelli Small Cap Growth Fund, The Gabelli Equity Income</w:t>
      </w:r>
    </w:p>
    <w:p>
      <w:pPr>
        <w:sectPr>
          <w:pgSz w:w="11900" w:h="16838" w:orient="portrait"/>
          <w:cols w:equalWidth="0" w:num="1">
            <w:col w:w="10219"/>
          </w:cols>
          <w:pgMar w:left="240" w:top="339" w:right="1440" w:bottom="0" w:gutter="0" w:footer="0" w:header="0"/>
        </w:sectPr>
      </w:pPr>
    </w:p>
    <w:bookmarkStart w:id="13" w:name="page14"/>
    <w:bookmarkEnd w:id="13"/>
    <w:p>
      <w:pPr>
        <w:ind w:right="1879"/>
        <w:spacing w:after="0" w:line="271" w:lineRule="auto"/>
        <w:rPr>
          <w:sz w:val="20"/>
          <w:szCs w:val="20"/>
          <w:color w:val="auto"/>
        </w:rPr>
      </w:pPr>
      <w:r>
        <w:rPr>
          <w:rFonts w:ascii="Courier New" w:cs="Courier New" w:eastAsia="Courier New" w:hAnsi="Courier New"/>
          <w:sz w:val="16"/>
          <w:szCs w:val="16"/>
          <w:color w:val="auto"/>
        </w:rPr>
        <w:t>Fund, The Gabelli ABC Fund, The Gabelli Global Telecommunications Fund, Gabelli Gold Fund, Inc., The Gabelli Global Multimedia Trust Inc., The Gabelli Global Convertible Securities Fund, Gabelli Capital Asset Fund, Gabelli International Growth Fund, Inc., The Gabelli Global Growth Fund, The Gabelli Utility Trust, The Gabelli Global Opportunity Fund, The Gabelli Utilities Fund, The Gabelli Blue Chip Value Fund, The Gabelli Mathers Fund, The Gabelli Woodland Small Cap Value Fund, The Comstock Capital Value Fund, The Comstock Strategy Fund, The Gabelli Dividend and Income Trust, The Gabelli Global Utility &amp; Income Trust, The Gabelli Global Gold, Natural Resources, &amp; Income Trust (collectively, the "Funds"), which are registered investment companies.</w:t>
      </w:r>
    </w:p>
    <w:p>
      <w:pPr>
        <w:spacing w:after="0" w:line="184" w:lineRule="exact"/>
        <w:rPr>
          <w:sz w:val="20"/>
          <w:szCs w:val="20"/>
          <w:color w:val="auto"/>
        </w:rPr>
      </w:pPr>
    </w:p>
    <w:p>
      <w:pPr>
        <w:ind w:right="1879" w:firstLine="1686"/>
        <w:spacing w:after="0" w:line="236" w:lineRule="auto"/>
        <w:rPr>
          <w:sz w:val="20"/>
          <w:szCs w:val="20"/>
          <w:color w:val="auto"/>
        </w:rPr>
      </w:pPr>
      <w:r>
        <w:rPr>
          <w:rFonts w:ascii="Courier New" w:cs="Courier New" w:eastAsia="Courier New" w:hAnsi="Courier New"/>
          <w:sz w:val="18"/>
          <w:szCs w:val="18"/>
          <w:color w:val="auto"/>
        </w:rPr>
        <w:t>Gabelli Advisers, a subsidiary of GBL, is an investment adviser which provides discretionary advisory services to The Gabelli Westwood Mighty Mitessm Fund.</w:t>
      </w:r>
    </w:p>
    <w:p>
      <w:pPr>
        <w:spacing w:after="0" w:line="6" w:lineRule="exact"/>
        <w:rPr>
          <w:sz w:val="20"/>
          <w:szCs w:val="20"/>
          <w:color w:val="auto"/>
        </w:rPr>
      </w:pPr>
    </w:p>
    <w:p>
      <w:pPr>
        <w:ind w:right="2419" w:firstLine="1686"/>
        <w:spacing w:after="0" w:line="235" w:lineRule="auto"/>
        <w:rPr>
          <w:sz w:val="20"/>
          <w:szCs w:val="20"/>
          <w:color w:val="auto"/>
        </w:rPr>
      </w:pPr>
      <w:r>
        <w:rPr>
          <w:rFonts w:ascii="Courier New" w:cs="Courier New" w:eastAsia="Courier New" w:hAnsi="Courier New"/>
          <w:sz w:val="18"/>
          <w:szCs w:val="18"/>
          <w:color w:val="auto"/>
        </w:rPr>
        <w:t>The Plan, a qualified employee profit sharing plan, covers substantially all employees of GBL and its affiliates.</w:t>
      </w:r>
    </w:p>
    <w:p>
      <w:pPr>
        <w:spacing w:after="0" w:line="6" w:lineRule="exact"/>
        <w:rPr>
          <w:sz w:val="20"/>
          <w:szCs w:val="20"/>
          <w:color w:val="auto"/>
        </w:rPr>
      </w:pPr>
    </w:p>
    <w:p>
      <w:pPr>
        <w:ind w:right="1879" w:firstLine="1686"/>
        <w:spacing w:after="0" w:line="237" w:lineRule="auto"/>
        <w:rPr>
          <w:sz w:val="20"/>
          <w:szCs w:val="20"/>
          <w:color w:val="auto"/>
        </w:rPr>
      </w:pPr>
      <w:r>
        <w:rPr>
          <w:rFonts w:ascii="Courier New" w:cs="Courier New" w:eastAsia="Courier New" w:hAnsi="Courier New"/>
          <w:sz w:val="18"/>
          <w:szCs w:val="18"/>
          <w:color w:val="auto"/>
        </w:rPr>
        <w:t>MJG Associates provides advisory services to private investment partnerships and offshore funds. Mario Gabelli is the sole shareholder, director and employee of MJG Associates. MJG Associates is the Investment Manager of Gabelli International Limited, Gabelli International II Limited, Gabelli Performance Partnership, and Gabelli Fund, LDC.</w:t>
      </w:r>
    </w:p>
    <w:p>
      <w:pPr>
        <w:spacing w:after="0"/>
        <w:tabs>
          <w:tab w:leader="none" w:pos="4300" w:val="left"/>
        </w:tabs>
        <w:rPr>
          <w:sz w:val="20"/>
          <w:szCs w:val="20"/>
          <w:color w:val="auto"/>
        </w:rPr>
      </w:pPr>
      <w:r>
        <w:rPr>
          <w:rFonts w:ascii="Courier New" w:cs="Courier New" w:eastAsia="Courier New" w:hAnsi="Courier New"/>
          <w:sz w:val="18"/>
          <w:szCs w:val="18"/>
          <w:color w:val="auto"/>
        </w:rPr>
        <w:t>The Foundation is a private foundation.</w:t>
      </w:r>
      <w:r>
        <w:rPr>
          <w:sz w:val="20"/>
          <w:szCs w:val="20"/>
          <w:color w:val="auto"/>
        </w:rPr>
        <w:tab/>
      </w:r>
      <w:r>
        <w:rPr>
          <w:rFonts w:ascii="Courier New" w:cs="Courier New" w:eastAsia="Courier New" w:hAnsi="Courier New"/>
          <w:sz w:val="16"/>
          <w:szCs w:val="16"/>
          <w:color w:val="auto"/>
        </w:rPr>
        <w:t>Mario Gabelli is the</w:t>
      </w:r>
    </w:p>
    <w:p>
      <w:pPr>
        <w:spacing w:after="0" w:line="238" w:lineRule="auto"/>
        <w:rPr>
          <w:sz w:val="20"/>
          <w:szCs w:val="20"/>
          <w:color w:val="auto"/>
        </w:rPr>
      </w:pPr>
      <w:r>
        <w:rPr>
          <w:rFonts w:ascii="Courier New" w:cs="Courier New" w:eastAsia="Courier New" w:hAnsi="Courier New"/>
          <w:sz w:val="18"/>
          <w:szCs w:val="18"/>
          <w:color w:val="auto"/>
        </w:rPr>
        <w:t>President, a Trustee and the</w:t>
      </w:r>
    </w:p>
    <w:p>
      <w:pPr>
        <w:spacing w:after="0"/>
        <w:rPr>
          <w:sz w:val="20"/>
          <w:szCs w:val="20"/>
          <w:color w:val="auto"/>
        </w:rPr>
      </w:pPr>
      <w:r>
        <w:rPr>
          <w:rFonts w:ascii="Courier New" w:cs="Courier New" w:eastAsia="Courier New" w:hAnsi="Courier New"/>
          <w:sz w:val="18"/>
          <w:szCs w:val="18"/>
          <w:color w:val="auto"/>
        </w:rPr>
        <w:t>Investment Manager of the Foundation.</w:t>
      </w:r>
    </w:p>
    <w:p>
      <w:pPr>
        <w:spacing w:after="0" w:line="3" w:lineRule="exact"/>
        <w:rPr>
          <w:sz w:val="20"/>
          <w:szCs w:val="20"/>
          <w:color w:val="auto"/>
        </w:rPr>
      </w:pPr>
    </w:p>
    <w:p>
      <w:pPr>
        <w:ind w:right="1879" w:firstLine="1686"/>
        <w:spacing w:after="0" w:line="237" w:lineRule="auto"/>
        <w:rPr>
          <w:sz w:val="20"/>
          <w:szCs w:val="20"/>
          <w:color w:val="auto"/>
        </w:rPr>
      </w:pPr>
      <w:r>
        <w:rPr>
          <w:rFonts w:ascii="Courier New" w:cs="Courier New" w:eastAsia="Courier New" w:hAnsi="Courier New"/>
          <w:sz w:val="18"/>
          <w:szCs w:val="18"/>
          <w:color w:val="auto"/>
        </w:rPr>
        <w:t>Lynch is a public company traded on the American Stock Exchange engaged in manufacturing. Interactive is a public company listed on the American Stock Exchange and is a holding company with operating subsidiaries engaged primarily in the rural telephone industry. Lynch and Interactive actively pursue new business ventures and acquisitions. Lynch and Interactive make investments in marketable securities to preserve capital and maintain liquidity for financing their business activities and acquisitions and are not engaged in the business of investing, reinvesting, or trading in securities. Mario J. Gabelli is a director, officer and a substantial shareholder of Interactive and a substantial shareholder of Lynch.</w:t>
      </w:r>
    </w:p>
    <w:p>
      <w:pPr>
        <w:spacing w:after="0" w:line="12" w:lineRule="exact"/>
        <w:rPr>
          <w:sz w:val="20"/>
          <w:szCs w:val="20"/>
          <w:color w:val="auto"/>
        </w:rPr>
      </w:pPr>
    </w:p>
    <w:p>
      <w:pPr>
        <w:ind w:right="1459" w:firstLine="1686"/>
        <w:spacing w:after="0" w:line="237" w:lineRule="auto"/>
        <w:rPr>
          <w:sz w:val="20"/>
          <w:szCs w:val="20"/>
          <w:color w:val="auto"/>
        </w:rPr>
      </w:pPr>
      <w:r>
        <w:rPr>
          <w:rFonts w:ascii="Courier New" w:cs="Courier New" w:eastAsia="Courier New" w:hAnsi="Courier New"/>
          <w:sz w:val="18"/>
          <w:szCs w:val="18"/>
          <w:color w:val="auto"/>
        </w:rPr>
        <w:t>Mario Gabelli is the majority stockholder and Chairman of the Board of Directors and Chief Executive Officer of GGCP and GBL, and the Chief Investment Officer for each of the Reporting Persons other than Lynch. GGCP is the majority shareholder of GBL. GBL, in turn, is the sole stockholder of</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GAMCO. GBL is also the majority stockholder of GSI and the largest shareholder of Gabelli Advisers. Gabelli &amp; Company is a wholly-owned subsidiary of GSI.</w:t>
      </w:r>
    </w:p>
    <w:p>
      <w:pPr>
        <w:ind w:left="1700" w:right="1679"/>
        <w:spacing w:after="0" w:line="268" w:lineRule="auto"/>
        <w:rPr>
          <w:sz w:val="20"/>
          <w:szCs w:val="20"/>
          <w:color w:val="auto"/>
        </w:rPr>
      </w:pPr>
      <w:r>
        <w:rPr>
          <w:rFonts w:ascii="Courier New" w:cs="Courier New" w:eastAsia="Courier New" w:hAnsi="Courier New"/>
          <w:sz w:val="16"/>
          <w:szCs w:val="16"/>
          <w:color w:val="auto"/>
        </w:rPr>
        <w:t>The Reporting Persons do not admit that they constitute a group. GGCP, GBL, GAMCO, and Gabelli &amp; Company are New York corporations</w:t>
      </w:r>
    </w:p>
    <w:p>
      <w:pPr>
        <w:ind w:right="1999"/>
        <w:spacing w:after="0" w:line="237" w:lineRule="auto"/>
        <w:rPr>
          <w:sz w:val="20"/>
          <w:szCs w:val="20"/>
          <w:color w:val="auto"/>
        </w:rPr>
      </w:pPr>
      <w:r>
        <w:rPr>
          <w:rFonts w:ascii="Courier New" w:cs="Courier New" w:eastAsia="Courier New" w:hAnsi="Courier New"/>
          <w:sz w:val="18"/>
          <w:szCs w:val="18"/>
          <w:color w:val="auto"/>
        </w:rPr>
        <w:t>and GSI and Gabelli Advisers are Delaware corporations, each having its principal business office at One Corporate Center, Rye, New York 10580. Gabelli Funds is a New York limited liability company having its principal business office at One Corporate Center, Rye, New York 10580. MJG Associates is a Connecticut corporation having its principal business office at 140 Greenwich Avenue, Greenwich, CT 06830. The Foundation is a Nevada corporation having its principal offices at 165 West Liberty Street, Reno, Nevada 89501. Lynch is an Indiana corporation having its principal business office at 50 Kennedy Plaza, Suite 1250, Providence, Rhode Island 02903. Interactive is a Delaware corporation having its principal place of business at One Corporate Center, Rye, New York 10580.</w:t>
      </w:r>
    </w:p>
    <w:p>
      <w:pPr>
        <w:spacing w:after="0" w:line="13" w:lineRule="exact"/>
        <w:rPr>
          <w:sz w:val="20"/>
          <w:szCs w:val="20"/>
          <w:color w:val="auto"/>
        </w:rPr>
      </w:pPr>
    </w:p>
    <w:p>
      <w:pPr>
        <w:ind w:right="1999" w:firstLine="1686"/>
        <w:spacing w:after="0" w:line="268" w:lineRule="auto"/>
        <w:rPr>
          <w:sz w:val="20"/>
          <w:szCs w:val="20"/>
          <w:color w:val="auto"/>
        </w:rPr>
      </w:pPr>
      <w:r>
        <w:rPr>
          <w:rFonts w:ascii="Courier New" w:cs="Courier New" w:eastAsia="Courier New" w:hAnsi="Courier New"/>
          <w:sz w:val="16"/>
          <w:szCs w:val="16"/>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234" w:lineRule="auto"/>
        <w:rPr>
          <w:sz w:val="20"/>
          <w:szCs w:val="20"/>
          <w:color w:val="auto"/>
        </w:rPr>
      </w:pPr>
      <w:r>
        <w:rPr>
          <w:rFonts w:ascii="Courier New" w:cs="Courier New" w:eastAsia="Courier New" w:hAnsi="Courier New"/>
          <w:sz w:val="18"/>
          <w:szCs w:val="18"/>
          <w:color w:val="auto"/>
        </w:rPr>
        <w:t>(f) - Reference is made to Schedule I hereto.</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700"/>
        <w:spacing w:after="0" w:line="238" w:lineRule="auto"/>
        <w:rPr>
          <w:sz w:val="20"/>
          <w:szCs w:val="20"/>
          <w:color w:val="auto"/>
        </w:rPr>
      </w:pPr>
      <w:r>
        <w:rPr>
          <w:rFonts w:ascii="Courier New" w:cs="Courier New" w:eastAsia="Courier New" w:hAnsi="Courier New"/>
          <w:sz w:val="18"/>
          <w:szCs w:val="18"/>
          <w:color w:val="auto"/>
        </w:rPr>
        <w:t>Item 5 to Schedule 13D is amended, in pertinent part, as follows:</w:t>
      </w:r>
    </w:p>
    <w:p>
      <w:pPr>
        <w:spacing w:after="0"/>
        <w:rPr>
          <w:sz w:val="20"/>
          <w:szCs w:val="20"/>
          <w:color w:val="auto"/>
        </w:rPr>
      </w:pPr>
      <w:r>
        <w:rPr>
          <w:rFonts w:ascii="Courier New" w:cs="Courier New" w:eastAsia="Courier New" w:hAnsi="Courier New"/>
          <w:sz w:val="18"/>
          <w:szCs w:val="18"/>
          <w:color w:val="auto"/>
        </w:rPr>
        <w:t>(a) The aggregate number of Securities to which this Schedule 13D</w:t>
      </w:r>
    </w:p>
    <w:p>
      <w:pPr>
        <w:spacing w:after="0" w:line="3"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relates is 9,443,647 shares, representing 7.18% of the 131,486,804 shares outstanding as reported by the Issuer on Form 10-Q for the quarter ended June 30, 2005. The Reporting Persons beneficially own those Securities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right="8839" w:firstLine="8"/>
        <w:spacing w:after="0" w:line="279"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Class of Common Gabelli Funds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4,534,947</w:t>
      </w:r>
    </w:p>
    <w:p>
      <w:pPr>
        <w:spacing w:after="0" w:line="238" w:lineRule="auto"/>
        <w:rPr>
          <w:sz w:val="20"/>
          <w:szCs w:val="20"/>
          <w:color w:val="auto"/>
        </w:rPr>
      </w:pPr>
      <w:r>
        <w:rPr>
          <w:rFonts w:ascii="Courier New" w:cs="Courier New" w:eastAsia="Courier New" w:hAnsi="Courier New"/>
          <w:sz w:val="18"/>
          <w:szCs w:val="18"/>
          <w:color w:val="auto"/>
        </w:rPr>
        <w:t>3.16%</w:t>
      </w:r>
    </w:p>
    <w:p>
      <w:pPr>
        <w:spacing w:after="0"/>
        <w:rPr>
          <w:sz w:val="20"/>
          <w:szCs w:val="20"/>
          <w:color w:val="auto"/>
        </w:rPr>
      </w:pPr>
      <w:r>
        <w:rPr>
          <w:rFonts w:ascii="Courier New" w:cs="Courier New" w:eastAsia="Courier New" w:hAnsi="Courier New"/>
          <w:sz w:val="18"/>
          <w:szCs w:val="18"/>
          <w:color w:val="auto"/>
        </w:rPr>
        <w:t>GAMCO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4,844,200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2.86%</w:t>
      </w:r>
    </w:p>
    <w:p>
      <w:pPr>
        <w:spacing w:after="0" w:line="238" w:lineRule="auto"/>
        <w:rPr>
          <w:sz w:val="20"/>
          <w:szCs w:val="20"/>
          <w:color w:val="auto"/>
        </w:rPr>
      </w:pPr>
      <w:r>
        <w:rPr>
          <w:rFonts w:ascii="Courier New" w:cs="Courier New" w:eastAsia="Courier New" w:hAnsi="Courier New"/>
          <w:sz w:val="18"/>
          <w:szCs w:val="18"/>
          <w:color w:val="auto"/>
        </w:rPr>
        <w:t>GSI</w:t>
      </w:r>
    </w:p>
    <w:p>
      <w:pPr>
        <w:sectPr>
          <w:pgSz w:w="11900" w:h="16838" w:orient="portrait"/>
          <w:cols w:equalWidth="0" w:num="1">
            <w:col w:w="10219"/>
          </w:cols>
          <w:pgMar w:left="240" w:top="142"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14,500</w:t>
      </w:r>
    </w:p>
    <w:p>
      <w:pPr>
        <w:spacing w:after="0" w:line="238" w:lineRule="auto"/>
        <w:rPr>
          <w:sz w:val="20"/>
          <w:szCs w:val="20"/>
          <w:color w:val="auto"/>
        </w:rPr>
      </w:pPr>
      <w:r>
        <w:rPr>
          <w:rFonts w:ascii="Courier New" w:cs="Courier New" w:eastAsia="Courier New" w:hAnsi="Courier New"/>
          <w:sz w:val="18"/>
          <w:szCs w:val="18"/>
          <w:color w:val="auto"/>
        </w:rPr>
        <w:t>0.09%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MJG Associates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Foundation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0.01%</w:t>
      </w:r>
    </w:p>
    <w:p>
      <w:pPr>
        <w:spacing w:after="0" w:line="200" w:lineRule="exact"/>
        <w:rPr>
          <w:sz w:val="20"/>
          <w:szCs w:val="20"/>
          <w:color w:val="auto"/>
        </w:rPr>
      </w:pPr>
    </w:p>
    <w:p>
      <w:pPr>
        <w:spacing w:after="0" w:line="209" w:lineRule="exact"/>
        <w:rPr>
          <w:sz w:val="20"/>
          <w:szCs w:val="20"/>
          <w:color w:val="auto"/>
        </w:rPr>
      </w:pPr>
    </w:p>
    <w:p>
      <w:pPr>
        <w:ind w:right="1879" w:firstLine="1686"/>
        <w:spacing w:after="0" w:line="237" w:lineRule="auto"/>
        <w:rPr>
          <w:sz w:val="20"/>
          <w:szCs w:val="20"/>
          <w:color w:val="auto"/>
        </w:rPr>
      </w:pPr>
      <w:r>
        <w:rPr>
          <w:rFonts w:ascii="Courier New" w:cs="Courier New" w:eastAsia="Courier New" w:hAnsi="Courier New"/>
          <w:sz w:val="18"/>
          <w:szCs w:val="18"/>
          <w:color w:val="auto"/>
        </w:rPr>
        <w:t>Mario Gabelli is deemed to have beneficial ownership of the Securities owned beneficially by each of the foregoing persons. GSI is deemed to have beneficial ownership of the Securities beneficially owned by Gabelli &amp; Company. GBL and GGCP are deemed to have beneficial ownership of the Securities owned beneficially by each of the foregoing persons other than Mario Gabelli and the Foundation.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Each of the Reporting Persons and Covered Persons has the sole</w:t>
      </w:r>
    </w:p>
    <w:p>
      <w:pPr>
        <w:spacing w:after="0" w:line="4"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power to vote or direct the vote and sole power to dispose or to direct the disposition of the Securities reported for it, either for its own benefit or for the benefit of its investment clients or its partners, as the case may be, except that (i) GAMCO does not have the authority to vote 385,300 of the reported shares, (ii) with respect to the 2,432,500 (1.97%) shares of Class A Common Stock held by the Gabelli Value Fund, the 50,000 (0.06%) shares held by the Gabelli Capital Asset Fund, the 840,000 (0.64%) shares held by the Gabelli Equity Trust, the 141,000 (0.11%) shares held by the Gabelli Multimedia Trust, the 45,000 (0.00%) shares held by the Gabelli Equity Income Fund, and the 835,000 (0.64%) shares held by the Gabelli Asset Fund, the proxy voting committee of each such Fund has taken and exercises in its sole discretion the entire voting power with respect to the shares held by such Funds; and, (iii) the power of Mario Gabelli, GBL, and GGCP is indirect with respect to Securities beneficially owned directly by other Reporting Persons.</w:t>
      </w:r>
    </w:p>
    <w:p>
      <w:pPr>
        <w:spacing w:after="0" w:line="185" w:lineRule="exact"/>
        <w:rPr>
          <w:sz w:val="20"/>
          <w:szCs w:val="20"/>
          <w:color w:val="auto"/>
        </w:rPr>
      </w:pPr>
    </w:p>
    <w:p>
      <w:pPr>
        <w:ind w:right="1579" w:firstLine="1694"/>
        <w:spacing w:after="0" w:line="268" w:lineRule="auto"/>
        <w:tabs>
          <w:tab w:leader="none" w:pos="210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all transactions in the Securities which were effected during the past sixty days or since the most recent filing</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Schedule 13D, whichever is less, by each of the Reporting Persons and Covered Persons is set forth on Schedule II annexed hereto and incorporated herein by reference.</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(e) 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31,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GGCP, INC.</w:t>
      </w:r>
    </w:p>
    <w:p>
      <w:pPr>
        <w:spacing w:after="0" w:line="238" w:lineRule="auto"/>
        <w:rPr>
          <w:sz w:val="20"/>
          <w:szCs w:val="20"/>
          <w:color w:val="auto"/>
        </w:rPr>
      </w:pPr>
      <w:r>
        <w:rPr>
          <w:rFonts w:ascii="Courier New" w:cs="Courier New" w:eastAsia="Courier New" w:hAnsi="Courier New"/>
          <w:sz w:val="18"/>
          <w:szCs w:val="18"/>
          <w:color w:val="auto"/>
        </w:rPr>
        <w:t>MARIO J. GABELLI</w:t>
      </w:r>
    </w:p>
    <w:p>
      <w:pPr>
        <w:spacing w:after="0"/>
        <w:rPr>
          <w:sz w:val="20"/>
          <w:szCs w:val="20"/>
          <w:color w:val="auto"/>
        </w:rPr>
      </w:pPr>
      <w:r>
        <w:rPr>
          <w:rFonts w:ascii="Courier New" w:cs="Courier New" w:eastAsia="Courier New" w:hAnsi="Courier New"/>
          <w:sz w:val="18"/>
          <w:szCs w:val="18"/>
          <w:color w:val="auto"/>
        </w:rPr>
        <w:t>MJG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James E. McKee</w:t>
      </w:r>
    </w:p>
    <w:p>
      <w:pPr>
        <w:ind w:left="860"/>
        <w:spacing w:after="0" w:line="238" w:lineRule="auto"/>
        <w:rPr>
          <w:sz w:val="20"/>
          <w:szCs w:val="20"/>
          <w:color w:val="auto"/>
        </w:rPr>
      </w:pPr>
      <w:r>
        <w:rPr>
          <w:rFonts w:ascii="Courier New" w:cs="Courier New" w:eastAsia="Courier New" w:hAnsi="Courier New"/>
          <w:sz w:val="18"/>
          <w:szCs w:val="18"/>
          <w:color w:val="auto"/>
        </w:rPr>
        <w:t>James E. McKee</w:t>
      </w:r>
    </w:p>
    <w:p>
      <w:pPr>
        <w:ind w:left="86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38" w:lineRule="auto"/>
        <w:rPr>
          <w:sz w:val="20"/>
          <w:szCs w:val="20"/>
          <w:color w:val="auto"/>
        </w:rPr>
      </w:pPr>
      <w:r>
        <w:rPr>
          <w:rFonts w:ascii="Courier New" w:cs="Courier New" w:eastAsia="Courier New" w:hAnsi="Courier New"/>
          <w:sz w:val="18"/>
          <w:szCs w:val="18"/>
          <w:color w:val="auto"/>
        </w:rPr>
        <w:t>GABELLI FUNDS, LLC</w:t>
      </w:r>
    </w:p>
    <w:p>
      <w:pPr>
        <w:spacing w:after="0"/>
        <w:rPr>
          <w:sz w:val="20"/>
          <w:szCs w:val="20"/>
          <w:color w:val="auto"/>
        </w:rPr>
      </w:pPr>
      <w:r>
        <w:rPr>
          <w:rFonts w:ascii="Courier New" w:cs="Courier New" w:eastAsia="Courier New" w:hAnsi="Courier New"/>
          <w:sz w:val="18"/>
          <w:szCs w:val="18"/>
          <w:color w:val="auto"/>
        </w:rPr>
        <w:t>GABELLI ADVISERS, INC.</w:t>
      </w:r>
    </w:p>
    <w:p>
      <w:pPr>
        <w:sectPr>
          <w:pgSz w:w="11900" w:h="16838" w:orient="portrait"/>
          <w:cols w:equalWidth="0" w:num="1">
            <w:col w:w="10219"/>
          </w:cols>
          <w:pgMar w:left="240" w:top="136"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By:/s/ James E. McKee</w:t>
      </w:r>
    </w:p>
    <w:p>
      <w:pPr>
        <w:ind w:left="860"/>
        <w:spacing w:after="0" w:line="238" w:lineRule="auto"/>
        <w:rPr>
          <w:sz w:val="20"/>
          <w:szCs w:val="20"/>
          <w:color w:val="auto"/>
        </w:rPr>
      </w:pPr>
      <w:r>
        <w:rPr>
          <w:rFonts w:ascii="Courier New" w:cs="Courier New" w:eastAsia="Courier New" w:hAnsi="Courier New"/>
          <w:sz w:val="18"/>
          <w:szCs w:val="18"/>
          <w:color w:val="auto"/>
        </w:rPr>
        <w:t>James E. McKee</w:t>
      </w:r>
    </w:p>
    <w:p>
      <w:pPr>
        <w:ind w:left="860"/>
        <w:spacing w:after="0"/>
        <w:rPr>
          <w:sz w:val="20"/>
          <w:szCs w:val="20"/>
          <w:color w:val="auto"/>
        </w:rPr>
      </w:pPr>
      <w:r>
        <w:rPr>
          <w:rFonts w:ascii="Courier New" w:cs="Courier New" w:eastAsia="Courier New" w:hAnsi="Courier New"/>
          <w:sz w:val="18"/>
          <w:szCs w:val="18"/>
          <w:color w:val="auto"/>
        </w:rPr>
        <w:t>Secretary or Assistant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Douglas R. Jamieson</w:t>
      </w:r>
    </w:p>
    <w:p>
      <w:pPr>
        <w:ind w:left="860"/>
        <w:spacing w:after="0" w:line="238" w:lineRule="auto"/>
        <w:rPr>
          <w:sz w:val="20"/>
          <w:szCs w:val="20"/>
          <w:color w:val="auto"/>
        </w:rPr>
      </w:pPr>
      <w:r>
        <w:rPr>
          <w:rFonts w:ascii="Courier New" w:cs="Courier New" w:eastAsia="Courier New" w:hAnsi="Courier New"/>
          <w:sz w:val="18"/>
          <w:szCs w:val="18"/>
          <w:color w:val="auto"/>
        </w:rPr>
        <w:t>Douglas R. Jamieson</w:t>
      </w:r>
    </w:p>
    <w:p>
      <w:pPr>
        <w:ind w:left="86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Information with Respect to Executive</w:t>
      </w:r>
    </w:p>
    <w:p>
      <w:pPr>
        <w:spacing w:after="0" w:line="238" w:lineRule="auto"/>
        <w:rPr>
          <w:sz w:val="20"/>
          <w:szCs w:val="20"/>
          <w:color w:val="auto"/>
        </w:rPr>
      </w:pPr>
      <w:r>
        <w:rPr>
          <w:rFonts w:ascii="Courier New" w:cs="Courier New" w:eastAsia="Courier New" w:hAnsi="Courier New"/>
          <w:sz w:val="18"/>
          <w:szCs w:val="18"/>
          <w:color w:val="auto"/>
        </w:rPr>
        <w:t>Officers and Directors of the Undersigned</w:t>
      </w:r>
    </w:p>
    <w:p>
      <w:pPr>
        <w:spacing w:after="0" w:line="20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Schedule I to Schedule 13D is amended, in pertinent part, as</w:t>
      </w:r>
    </w:p>
    <w:p>
      <w:pPr>
        <w:spacing w:after="0" w:line="238" w:lineRule="auto"/>
        <w:rPr>
          <w:sz w:val="20"/>
          <w:szCs w:val="20"/>
          <w:color w:val="auto"/>
        </w:rPr>
      </w:pPr>
      <w:r>
        <w:rPr>
          <w:rFonts w:ascii="Courier New" w:cs="Courier New" w:eastAsia="Courier New" w:hAnsi="Courier New"/>
          <w:sz w:val="18"/>
          <w:szCs w:val="18"/>
          <w:color w:val="auto"/>
        </w:rPr>
        <w:t>follows:</w:t>
      </w:r>
    </w:p>
    <w:p>
      <w:pPr>
        <w:spacing w:after="0" w:line="207"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GGCP, Inc., GAMCO Investors, Inc., Gabelli Funds, LLC, Gabelli &amp; Company, Inc., or GAMCO Asset Management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GGCP,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Vincent J. Amabile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Business Consultant</w:t>
      </w:r>
    </w:p>
    <w:p>
      <w:pPr>
        <w:spacing w:after="0" w:line="5" w:lineRule="exact"/>
        <w:rPr>
          <w:sz w:val="20"/>
          <w:szCs w:val="20"/>
          <w:color w:val="auto"/>
        </w:rPr>
      </w:pPr>
    </w:p>
    <w:p>
      <w:pPr>
        <w:ind w:right="5059"/>
        <w:spacing w:after="0" w:line="273" w:lineRule="auto"/>
        <w:rPr>
          <w:sz w:val="20"/>
          <w:szCs w:val="20"/>
          <w:color w:val="auto"/>
        </w:rPr>
      </w:pPr>
      <w:r>
        <w:rPr>
          <w:rFonts w:ascii="Courier New" w:cs="Courier New" w:eastAsia="Courier New" w:hAnsi="Courier New"/>
          <w:sz w:val="16"/>
          <w:szCs w:val="16"/>
          <w:color w:val="auto"/>
        </w:rPr>
        <w:t>Chairman and Chief Executive Officer of GGCP, Inc., and GAMCO Investors, Inc.; Director/Trustee of all registered investment companies advised by Gabelli Funds, LLC; Chief Executive Officer of Lynch Interactive Corporation.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C. Baum</w:t>
      </w:r>
    </w:p>
    <w:p>
      <w:pPr>
        <w:spacing w:after="0" w:line="238" w:lineRule="auto"/>
        <w:rPr>
          <w:sz w:val="20"/>
          <w:szCs w:val="20"/>
          <w:color w:val="auto"/>
        </w:rPr>
      </w:pPr>
      <w:r>
        <w:rPr>
          <w:rFonts w:ascii="Courier New" w:cs="Courier New" w:eastAsia="Courier New" w:hAnsi="Courier New"/>
          <w:sz w:val="18"/>
          <w:szCs w:val="18"/>
          <w:color w:val="auto"/>
        </w:rPr>
        <w:t>Secretary &amp; Treasurer</w:t>
      </w:r>
    </w:p>
    <w:p>
      <w:pPr>
        <w:spacing w:after="0"/>
        <w:rPr>
          <w:sz w:val="20"/>
          <w:szCs w:val="20"/>
          <w:color w:val="auto"/>
        </w:rPr>
      </w:pPr>
      <w:r>
        <w:rPr>
          <w:rFonts w:ascii="Courier New" w:cs="Courier New" w:eastAsia="Courier New" w:hAnsi="Courier New"/>
          <w:sz w:val="18"/>
          <w:szCs w:val="18"/>
          <w:color w:val="auto"/>
        </w:rPr>
        <w:t>United Holdings Co., Inc.</w:t>
      </w:r>
    </w:p>
    <w:p>
      <w:pPr>
        <w:spacing w:after="0" w:line="237" w:lineRule="auto"/>
        <w:rPr>
          <w:sz w:val="20"/>
          <w:szCs w:val="20"/>
          <w:color w:val="auto"/>
        </w:rPr>
      </w:pPr>
      <w:r>
        <w:rPr>
          <w:rFonts w:ascii="Courier New" w:cs="Courier New" w:eastAsia="Courier New" w:hAnsi="Courier New"/>
          <w:sz w:val="18"/>
          <w:szCs w:val="18"/>
          <w:color w:val="auto"/>
        </w:rPr>
        <w:t>2545 Wilkens Avenue</w:t>
      </w:r>
    </w:p>
    <w:p>
      <w:pPr>
        <w:spacing w:after="0"/>
        <w:tabs>
          <w:tab w:leader="none" w:pos="1680" w:val="left"/>
        </w:tabs>
        <w:rPr>
          <w:sz w:val="20"/>
          <w:szCs w:val="20"/>
          <w:color w:val="auto"/>
        </w:rPr>
      </w:pPr>
      <w:r>
        <w:rPr>
          <w:rFonts w:ascii="Courier New" w:cs="Courier New" w:eastAsia="Courier New" w:hAnsi="Courier New"/>
          <w:sz w:val="18"/>
          <w:szCs w:val="18"/>
          <w:color w:val="auto"/>
        </w:rPr>
        <w:t>Baltimore, MD</w:t>
      </w:r>
      <w:r>
        <w:rPr>
          <w:sz w:val="20"/>
          <w:szCs w:val="20"/>
          <w:color w:val="auto"/>
        </w:rPr>
        <w:tab/>
      </w:r>
      <w:r>
        <w:rPr>
          <w:rFonts w:ascii="Courier New" w:cs="Courier New" w:eastAsia="Courier New" w:hAnsi="Courier New"/>
          <w:sz w:val="16"/>
          <w:szCs w:val="16"/>
          <w:color w:val="auto"/>
        </w:rPr>
        <w:t>21223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Arnold M. Reichman</w:t>
      </w:r>
    </w:p>
    <w:p>
      <w:pPr>
        <w:spacing w:after="0" w:line="238" w:lineRule="auto"/>
        <w:rPr>
          <w:sz w:val="20"/>
          <w:szCs w:val="20"/>
          <w:color w:val="auto"/>
        </w:rPr>
      </w:pPr>
      <w:r>
        <w:rPr>
          <w:rFonts w:ascii="Courier New" w:cs="Courier New" w:eastAsia="Courier New" w:hAnsi="Courier New"/>
          <w:sz w:val="18"/>
          <w:szCs w:val="18"/>
          <w:color w:val="auto"/>
        </w:rPr>
        <w:t>Business Consultant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 J. Gabelli</w:t>
      </w:r>
    </w:p>
    <w:p>
      <w:pPr>
        <w:spacing w:after="0" w:line="238" w:lineRule="auto"/>
        <w:rPr>
          <w:sz w:val="20"/>
          <w:szCs w:val="20"/>
          <w:color w:val="auto"/>
        </w:rPr>
      </w:pPr>
      <w:r>
        <w:rPr>
          <w:rFonts w:ascii="Courier New" w:cs="Courier New" w:eastAsia="Courier New" w:hAnsi="Courier New"/>
          <w:sz w:val="18"/>
          <w:szCs w:val="18"/>
          <w:color w:val="auto"/>
        </w:rPr>
        <w:t>President of GGCP, Inc.; Chairman of Lynch</w:t>
      </w: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Matthew R. Gabelli</w:t>
      </w:r>
    </w:p>
    <w:p>
      <w:pPr>
        <w:spacing w:after="0" w:line="238" w:lineRule="auto"/>
        <w:rPr>
          <w:sz w:val="20"/>
          <w:szCs w:val="20"/>
          <w:color w:val="auto"/>
        </w:rPr>
      </w:pPr>
      <w:r>
        <w:rPr>
          <w:rFonts w:ascii="Courier New" w:cs="Courier New" w:eastAsia="Courier New" w:hAnsi="Courier New"/>
          <w:sz w:val="18"/>
          <w:szCs w:val="18"/>
          <w:color w:val="auto"/>
        </w:rPr>
        <w:t>Vice President - Trading</w:t>
      </w: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37" w:lineRule="auto"/>
        <w:rPr>
          <w:sz w:val="20"/>
          <w:szCs w:val="20"/>
          <w:color w:val="auto"/>
        </w:rPr>
      </w:pPr>
      <w:r>
        <w:rPr>
          <w:rFonts w:ascii="Courier New" w:cs="Courier New" w:eastAsia="Courier New" w:hAnsi="Courier New"/>
          <w:sz w:val="18"/>
          <w:szCs w:val="18"/>
          <w:color w:val="auto"/>
        </w:rPr>
        <w:t>One Corporate Center</w:t>
      </w:r>
    </w:p>
    <w:p>
      <w:pPr>
        <w:spacing w:after="0" w:line="238" w:lineRule="auto"/>
        <w:rPr>
          <w:sz w:val="20"/>
          <w:szCs w:val="20"/>
          <w:color w:val="auto"/>
        </w:rPr>
      </w:pPr>
      <w:r>
        <w:rPr>
          <w:rFonts w:ascii="Courier New" w:cs="Courier New" w:eastAsia="Courier New" w:hAnsi="Courier New"/>
          <w:sz w:val="18"/>
          <w:szCs w:val="18"/>
          <w:color w:val="auto"/>
        </w:rPr>
        <w:t>Rye, New York 10580</w:t>
      </w: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1149"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Marc J. Gabelli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Chief Executive Officer and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Henry Kiernan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Chief Financial Officer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Edwin L.</w:t>
      </w:r>
    </w:p>
    <w:p>
      <w:pPr>
        <w:spacing w:after="0" w:line="238" w:lineRule="auto"/>
        <w:rPr>
          <w:sz w:val="20"/>
          <w:szCs w:val="20"/>
          <w:color w:val="auto"/>
        </w:rPr>
      </w:pPr>
      <w:r>
        <w:rPr>
          <w:rFonts w:ascii="Courier New" w:cs="Courier New" w:eastAsia="Courier New" w:hAnsi="Courier New"/>
          <w:sz w:val="18"/>
          <w:szCs w:val="18"/>
          <w:color w:val="auto"/>
        </w:rPr>
        <w:t>Artzt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Raymond C.</w:t>
      </w:r>
    </w:p>
    <w:p>
      <w:pPr>
        <w:spacing w:after="0" w:line="238" w:lineRule="auto"/>
        <w:rPr>
          <w:sz w:val="20"/>
          <w:szCs w:val="20"/>
          <w:color w:val="auto"/>
        </w:rPr>
      </w:pPr>
      <w:r>
        <w:rPr>
          <w:rFonts w:ascii="Courier New" w:cs="Courier New" w:eastAsia="Courier New" w:hAnsi="Courier New"/>
          <w:sz w:val="18"/>
          <w:szCs w:val="18"/>
          <w:color w:val="auto"/>
        </w:rPr>
        <w:t>Avansino, Jr.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Former Chairman and 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Procter &amp; Gamble Company</w:t>
      </w:r>
    </w:p>
    <w:p>
      <w:pPr>
        <w:spacing w:after="0" w:line="238" w:lineRule="auto"/>
        <w:rPr>
          <w:sz w:val="20"/>
          <w:szCs w:val="20"/>
          <w:color w:val="auto"/>
        </w:rPr>
      </w:pPr>
      <w:r>
        <w:rPr>
          <w:rFonts w:ascii="Courier New" w:cs="Courier New" w:eastAsia="Courier New" w:hAnsi="Courier New"/>
          <w:sz w:val="18"/>
          <w:szCs w:val="18"/>
          <w:color w:val="auto"/>
        </w:rPr>
        <w:t>900 Adams Crossing</w:t>
      </w:r>
    </w:p>
    <w:p>
      <w:pPr>
        <w:spacing w:after="0"/>
        <w:rPr>
          <w:sz w:val="20"/>
          <w:szCs w:val="20"/>
          <w:color w:val="auto"/>
        </w:rPr>
      </w:pPr>
      <w:r>
        <w:rPr>
          <w:rFonts w:ascii="Courier New" w:cs="Courier New" w:eastAsia="Courier New" w:hAnsi="Courier New"/>
          <w:sz w:val="18"/>
          <w:szCs w:val="18"/>
          <w:color w:val="auto"/>
        </w:rPr>
        <w:t>Cincinnati, OH 45202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38" w:lineRule="auto"/>
        <w:rPr>
          <w:sz w:val="20"/>
          <w:szCs w:val="20"/>
          <w:color w:val="auto"/>
        </w:rPr>
      </w:pPr>
      <w:r>
        <w:rPr>
          <w:rFonts w:ascii="Courier New" w:cs="Courier New" w:eastAsia="Courier New" w:hAnsi="Courier New"/>
          <w:sz w:val="18"/>
          <w:szCs w:val="18"/>
          <w:color w:val="auto"/>
        </w:rPr>
        <w:t>E.L. Wiegand Foundation</w:t>
      </w:r>
    </w:p>
    <w:p>
      <w:pPr>
        <w:spacing w:after="0"/>
        <w:rPr>
          <w:sz w:val="20"/>
          <w:szCs w:val="20"/>
          <w:color w:val="auto"/>
        </w:rPr>
      </w:pPr>
      <w:r>
        <w:rPr>
          <w:rFonts w:ascii="Courier New" w:cs="Courier New" w:eastAsia="Courier New" w:hAnsi="Courier New"/>
          <w:sz w:val="18"/>
          <w:szCs w:val="18"/>
          <w:color w:val="auto"/>
        </w:rPr>
        <w:t>165 West Liberty Street</w:t>
      </w:r>
    </w:p>
    <w:p>
      <w:pPr>
        <w:spacing w:after="0" w:line="237" w:lineRule="auto"/>
        <w:rPr>
          <w:sz w:val="20"/>
          <w:szCs w:val="20"/>
          <w:color w:val="auto"/>
        </w:rPr>
      </w:pPr>
      <w:r>
        <w:rPr>
          <w:rFonts w:ascii="Courier New" w:cs="Courier New" w:eastAsia="Courier New" w:hAnsi="Courier New"/>
          <w:sz w:val="18"/>
          <w:szCs w:val="18"/>
          <w:color w:val="auto"/>
        </w:rPr>
        <w:t>Reno, NV 89501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John D.</w:t>
      </w:r>
    </w:p>
    <w:p>
      <w:pPr>
        <w:spacing w:after="0" w:line="238" w:lineRule="auto"/>
        <w:rPr>
          <w:sz w:val="20"/>
          <w:szCs w:val="20"/>
          <w:color w:val="auto"/>
        </w:rPr>
      </w:pPr>
      <w:r>
        <w:rPr>
          <w:rFonts w:ascii="Courier New" w:cs="Courier New" w:eastAsia="Courier New" w:hAnsi="Courier New"/>
          <w:sz w:val="18"/>
          <w:szCs w:val="18"/>
          <w:color w:val="auto"/>
        </w:rPr>
        <w:t>Gabelli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See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Karl Otto Pohl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Robert S.</w:t>
      </w:r>
    </w:p>
    <w:p>
      <w:pPr>
        <w:spacing w:after="0" w:line="238" w:lineRule="auto"/>
        <w:rPr>
          <w:sz w:val="20"/>
          <w:szCs w:val="20"/>
          <w:color w:val="auto"/>
        </w:rPr>
      </w:pPr>
      <w:r>
        <w:rPr>
          <w:rFonts w:ascii="Courier New" w:cs="Courier New" w:eastAsia="Courier New" w:hAnsi="Courier New"/>
          <w:sz w:val="18"/>
          <w:szCs w:val="18"/>
          <w:color w:val="auto"/>
        </w:rPr>
        <w:t>Prather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Frederic V.</w:t>
      </w:r>
    </w:p>
    <w:p>
      <w:pPr>
        <w:spacing w:after="0" w:line="238" w:lineRule="auto"/>
        <w:rPr>
          <w:sz w:val="20"/>
          <w:szCs w:val="20"/>
          <w:color w:val="auto"/>
        </w:rPr>
      </w:pPr>
      <w:r>
        <w:rPr>
          <w:rFonts w:ascii="Courier New" w:cs="Courier New" w:eastAsia="Courier New" w:hAnsi="Courier New"/>
          <w:sz w:val="18"/>
          <w:szCs w:val="18"/>
          <w:color w:val="auto"/>
        </w:rPr>
        <w:t>Salerno</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Vincent S.</w:t>
      </w:r>
    </w:p>
    <w:p>
      <w:pPr>
        <w:spacing w:after="0" w:line="238" w:lineRule="auto"/>
        <w:rPr>
          <w:sz w:val="20"/>
          <w:szCs w:val="20"/>
          <w:color w:val="auto"/>
        </w:rPr>
      </w:pPr>
      <w:r>
        <w:rPr>
          <w:rFonts w:ascii="Courier New" w:cs="Courier New" w:eastAsia="Courier New" w:hAnsi="Courier New"/>
          <w:sz w:val="18"/>
          <w:szCs w:val="18"/>
          <w:color w:val="auto"/>
        </w:rPr>
        <w:t>Tese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Alan C.</w:t>
      </w:r>
    </w:p>
    <w:p>
      <w:pPr>
        <w:spacing w:after="0" w:line="238" w:lineRule="auto"/>
        <w:rPr>
          <w:sz w:val="20"/>
          <w:szCs w:val="20"/>
          <w:color w:val="auto"/>
        </w:rPr>
      </w:pPr>
      <w:r>
        <w:rPr>
          <w:rFonts w:ascii="Courier New" w:cs="Courier New" w:eastAsia="Courier New" w:hAnsi="Courier New"/>
          <w:sz w:val="18"/>
          <w:szCs w:val="18"/>
          <w:color w:val="auto"/>
        </w:rPr>
        <w:t>Heuberger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 Oppenheim jr. &amp; Cie.</w:t>
      </w:r>
    </w:p>
    <w:p>
      <w:pPr>
        <w:sectPr>
          <w:pgSz w:w="11900" w:h="16838" w:orient="portrait"/>
          <w:cols w:equalWidth="0" w:num="1">
            <w:col w:w="10219"/>
          </w:cols>
          <w:pgMar w:left="240" w:top="136"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Bockenheimer Landstrasse 20</w:t>
      </w:r>
    </w:p>
    <w:p>
      <w:pPr>
        <w:spacing w:after="0" w:line="238" w:lineRule="auto"/>
        <w:rPr>
          <w:sz w:val="20"/>
          <w:szCs w:val="20"/>
          <w:color w:val="auto"/>
        </w:rPr>
      </w:pPr>
      <w:r>
        <w:rPr>
          <w:rFonts w:ascii="Courier New" w:cs="Courier New" w:eastAsia="Courier New" w:hAnsi="Courier New"/>
          <w:sz w:val="18"/>
          <w:szCs w:val="18"/>
          <w:color w:val="auto"/>
        </w:rPr>
        <w:t>D-6000 FRANKFURT AM MAIN</w:t>
      </w:r>
    </w:p>
    <w:p>
      <w:pPr>
        <w:spacing w:after="0"/>
        <w:rPr>
          <w:sz w:val="20"/>
          <w:szCs w:val="20"/>
          <w:color w:val="auto"/>
        </w:rPr>
      </w:pPr>
      <w:r>
        <w:rPr>
          <w:rFonts w:ascii="Courier New" w:cs="Courier New" w:eastAsia="Courier New" w:hAnsi="Courier New"/>
          <w:sz w:val="18"/>
          <w:szCs w:val="18"/>
          <w:color w:val="auto"/>
        </w:rPr>
        <w:t>Germany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&amp; Chief Operating Officer</w:t>
      </w:r>
    </w:p>
    <w:p>
      <w:pPr>
        <w:spacing w:after="0" w:line="238" w:lineRule="auto"/>
        <w:rPr>
          <w:sz w:val="20"/>
          <w:szCs w:val="20"/>
          <w:color w:val="auto"/>
        </w:rPr>
      </w:pPr>
      <w:r>
        <w:rPr>
          <w:rFonts w:ascii="Courier New" w:cs="Courier New" w:eastAsia="Courier New" w:hAnsi="Courier New"/>
          <w:sz w:val="18"/>
          <w:szCs w:val="18"/>
          <w:color w:val="auto"/>
        </w:rPr>
        <w:t>Gray Television, Inc.</w:t>
      </w:r>
    </w:p>
    <w:p>
      <w:pPr>
        <w:spacing w:after="0"/>
        <w:rPr>
          <w:sz w:val="20"/>
          <w:szCs w:val="20"/>
          <w:color w:val="auto"/>
        </w:rPr>
      </w:pPr>
      <w:r>
        <w:rPr>
          <w:rFonts w:ascii="Courier New" w:cs="Courier New" w:eastAsia="Courier New" w:hAnsi="Courier New"/>
          <w:sz w:val="18"/>
          <w:szCs w:val="18"/>
          <w:color w:val="auto"/>
        </w:rPr>
        <w:t>4370 Peachtree Road, NE</w:t>
      </w:r>
    </w:p>
    <w:p>
      <w:pPr>
        <w:spacing w:after="0" w:line="237" w:lineRule="auto"/>
        <w:rPr>
          <w:sz w:val="20"/>
          <w:szCs w:val="20"/>
          <w:color w:val="auto"/>
        </w:rPr>
      </w:pPr>
      <w:r>
        <w:rPr>
          <w:rFonts w:ascii="Courier New" w:cs="Courier New" w:eastAsia="Courier New" w:hAnsi="Courier New"/>
          <w:sz w:val="18"/>
          <w:szCs w:val="18"/>
          <w:color w:val="auto"/>
        </w:rPr>
        <w:t>Atlanta, GA 30319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Former Vice Chairman and 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Verizon Communications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Lawyer, Investment Adviser and Cable Television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w:t>
      </w:r>
    </w:p>
    <w:p>
      <w:pPr>
        <w:spacing w:after="0" w:line="238" w:lineRule="auto"/>
        <w:rPr>
          <w:sz w:val="20"/>
          <w:szCs w:val="20"/>
          <w:color w:val="auto"/>
        </w:rPr>
      </w:pPr>
      <w:r>
        <w:rPr>
          <w:rFonts w:ascii="Courier New" w:cs="Courier New" w:eastAsia="Courier New" w:hAnsi="Courier New"/>
          <w:sz w:val="18"/>
          <w:szCs w:val="18"/>
          <w:color w:val="auto"/>
        </w:rPr>
        <w:t>c/o Bear Stearns &amp; Company, Inc.</w:t>
      </w:r>
    </w:p>
    <w:p>
      <w:pPr>
        <w:spacing w:after="0"/>
        <w:rPr>
          <w:sz w:val="20"/>
          <w:szCs w:val="20"/>
          <w:color w:val="auto"/>
        </w:rPr>
      </w:pPr>
      <w:r>
        <w:rPr>
          <w:rFonts w:ascii="Courier New" w:cs="Courier New" w:eastAsia="Courier New" w:hAnsi="Courier New"/>
          <w:sz w:val="18"/>
          <w:szCs w:val="18"/>
          <w:color w:val="auto"/>
        </w:rPr>
        <w:t>245 Park Avenue, 19th Floor</w:t>
      </w:r>
    </w:p>
    <w:p>
      <w:pPr>
        <w:spacing w:after="0" w:line="237" w:lineRule="auto"/>
        <w:rPr>
          <w:sz w:val="20"/>
          <w:szCs w:val="20"/>
          <w:color w:val="auto"/>
        </w:rPr>
      </w:pPr>
      <w:r>
        <w:rPr>
          <w:rFonts w:ascii="Courier New" w:cs="Courier New" w:eastAsia="Courier New" w:hAnsi="Courier New"/>
          <w:sz w:val="18"/>
          <w:szCs w:val="18"/>
          <w:color w:val="auto"/>
        </w:rPr>
        <w:t>New York, NY 10167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Cascade Investment LLC</w:t>
      </w:r>
    </w:p>
    <w:p>
      <w:pPr>
        <w:spacing w:after="0" w:line="238" w:lineRule="auto"/>
        <w:rPr>
          <w:sz w:val="20"/>
          <w:szCs w:val="20"/>
          <w:color w:val="auto"/>
        </w:rPr>
      </w:pPr>
      <w:r>
        <w:rPr>
          <w:rFonts w:ascii="Courier New" w:cs="Courier New" w:eastAsia="Courier New" w:hAnsi="Courier New"/>
          <w:sz w:val="18"/>
          <w:szCs w:val="18"/>
          <w:color w:val="auto"/>
        </w:rPr>
        <w:t>2365 Carillon Point</w:t>
      </w:r>
    </w:p>
    <w:p>
      <w:pPr>
        <w:spacing w:after="0"/>
        <w:rPr>
          <w:sz w:val="20"/>
          <w:szCs w:val="20"/>
          <w:color w:val="auto"/>
        </w:rPr>
      </w:pPr>
      <w:r>
        <w:rPr>
          <w:rFonts w:ascii="Courier New" w:cs="Courier New" w:eastAsia="Courier New" w:hAnsi="Courier New"/>
          <w:sz w:val="18"/>
          <w:szCs w:val="18"/>
          <w:color w:val="auto"/>
        </w:rPr>
        <w:t>Kirkland, WA 98033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Chief Executive Officer and Chief</w:t>
      </w:r>
    </w:p>
    <w:p>
      <w:pPr>
        <w:spacing w:after="0" w:line="238" w:lineRule="auto"/>
        <w:rPr>
          <w:sz w:val="20"/>
          <w:szCs w:val="20"/>
          <w:color w:val="auto"/>
        </w:rPr>
      </w:pPr>
      <w:r>
        <w:rPr>
          <w:rFonts w:ascii="Courier New" w:cs="Courier New" w:eastAsia="Courier New" w:hAnsi="Courier New"/>
          <w:sz w:val="18"/>
          <w:szCs w:val="18"/>
          <w:color w:val="auto"/>
        </w:rPr>
        <w:t>Investment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Douglas R. Jamieson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Henry G. Van der Eb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R. Anastasio,</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Chief Operating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ind w:left="860"/>
        <w:spacing w:after="0" w:line="238" w:lineRule="auto"/>
        <w:rPr>
          <w:sz w:val="20"/>
          <w:szCs w:val="20"/>
          <w:color w:val="auto"/>
        </w:rPr>
      </w:pPr>
      <w:r>
        <w:rPr>
          <w:rFonts w:ascii="Courier New" w:cs="Courier New" w:eastAsia="Courier New" w:hAnsi="Courier New"/>
          <w:sz w:val="18"/>
          <w:szCs w:val="18"/>
          <w:color w:val="auto"/>
        </w:rPr>
        <w:t>James E. McKee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General Counsel and Secretary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Asset Management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ind w:left="860"/>
        <w:spacing w:after="0" w:line="238" w:lineRule="auto"/>
        <w:rPr>
          <w:sz w:val="20"/>
          <w:szCs w:val="20"/>
          <w:color w:val="auto"/>
        </w:rPr>
      </w:pPr>
      <w:r>
        <w:rPr>
          <w:rFonts w:ascii="Courier New" w:cs="Courier New" w:eastAsia="Courier New" w:hAnsi="Courier New"/>
          <w:sz w:val="18"/>
          <w:szCs w:val="18"/>
          <w:color w:val="auto"/>
        </w:rPr>
        <w:t>Joseph R. Rindler,</w:t>
      </w:r>
    </w:p>
    <w:p>
      <w:pPr>
        <w:spacing w:after="0"/>
        <w:rPr>
          <w:sz w:val="20"/>
          <w:szCs w:val="20"/>
          <w:color w:val="auto"/>
        </w:rPr>
      </w:pPr>
      <w:r>
        <w:rPr>
          <w:rFonts w:ascii="Courier New" w:cs="Courier New" w:eastAsia="Courier New" w:hAnsi="Courier New"/>
          <w:sz w:val="18"/>
          <w:szCs w:val="18"/>
          <w:color w:val="auto"/>
        </w:rPr>
        <w:t>Jr.</w:t>
      </w:r>
    </w:p>
    <w:p>
      <w:pPr>
        <w:ind w:left="860"/>
        <w:spacing w:after="0" w:line="237" w:lineRule="auto"/>
        <w:rPr>
          <w:sz w:val="20"/>
          <w:szCs w:val="20"/>
          <w:color w:val="auto"/>
        </w:rPr>
      </w:pPr>
      <w:r>
        <w:rPr>
          <w:rFonts w:ascii="Courier New" w:cs="Courier New" w:eastAsia="Courier New" w:hAnsi="Courier New"/>
          <w:sz w:val="18"/>
          <w:szCs w:val="18"/>
          <w:color w:val="auto"/>
        </w:rPr>
        <w:t>Regina M. Pitaro</w:t>
      </w:r>
    </w:p>
    <w:p>
      <w:pPr>
        <w:ind w:left="860"/>
        <w:spacing w:after="0" w:line="238" w:lineRule="auto"/>
        <w:rPr>
          <w:sz w:val="20"/>
          <w:szCs w:val="20"/>
          <w:color w:val="auto"/>
        </w:rPr>
      </w:pPr>
      <w:r>
        <w:rPr>
          <w:rFonts w:ascii="Courier New" w:cs="Courier New" w:eastAsia="Courier New" w:hAnsi="Courier New"/>
          <w:sz w:val="18"/>
          <w:szCs w:val="18"/>
          <w:color w:val="auto"/>
        </w:rPr>
        <w:t>F. William Scholz, II</w:t>
      </w:r>
    </w:p>
    <w:p>
      <w:pPr>
        <w:ind w:left="860"/>
        <w:spacing w:after="0"/>
        <w:rPr>
          <w:sz w:val="20"/>
          <w:szCs w:val="20"/>
          <w:color w:val="auto"/>
        </w:rPr>
      </w:pPr>
      <w:r>
        <w:rPr>
          <w:rFonts w:ascii="Courier New" w:cs="Courier New" w:eastAsia="Courier New" w:hAnsi="Courier New"/>
          <w:sz w:val="18"/>
          <w:szCs w:val="18"/>
          <w:color w:val="auto"/>
        </w:rPr>
        <w:t>William S. Selby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Chief Investment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Michael R.</w:t>
      </w:r>
    </w:p>
    <w:p>
      <w:pPr>
        <w:spacing w:after="0" w:line="238" w:lineRule="auto"/>
        <w:rPr>
          <w:sz w:val="20"/>
          <w:szCs w:val="20"/>
          <w:color w:val="auto"/>
        </w:rPr>
      </w:pPr>
      <w:r>
        <w:rPr>
          <w:rFonts w:ascii="Courier New" w:cs="Courier New" w:eastAsia="Courier New" w:hAnsi="Courier New"/>
          <w:sz w:val="18"/>
          <w:szCs w:val="18"/>
          <w:color w:val="auto"/>
        </w:rPr>
        <w:t>Anastasio, Jr.</w:t>
      </w:r>
    </w:p>
    <w:p>
      <w:pPr>
        <w:spacing w:after="0"/>
        <w:rPr>
          <w:sz w:val="20"/>
          <w:szCs w:val="20"/>
          <w:color w:val="auto"/>
        </w:rPr>
      </w:pPr>
      <w:r>
        <w:rPr>
          <w:rFonts w:ascii="Courier New" w:cs="Courier New" w:eastAsia="Courier New" w:hAnsi="Courier New"/>
          <w:sz w:val="18"/>
          <w:szCs w:val="18"/>
          <w:color w:val="auto"/>
        </w:rPr>
        <w:t>Executive Vice President and Chief Operating</w:t>
      </w:r>
    </w:p>
    <w:p>
      <w:pPr>
        <w:spacing w:after="0" w:line="237" w:lineRule="auto"/>
        <w:rPr>
          <w:sz w:val="20"/>
          <w:szCs w:val="20"/>
          <w:color w:val="auto"/>
        </w:rPr>
      </w:pPr>
      <w:r>
        <w:rPr>
          <w:rFonts w:ascii="Courier New" w:cs="Courier New" w:eastAsia="Courier New" w:hAnsi="Courier New"/>
          <w:sz w:val="18"/>
          <w:szCs w:val="18"/>
          <w:color w:val="auto"/>
        </w:rPr>
        <w:t>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238" w:lineRule="auto"/>
        <w:rPr>
          <w:sz w:val="20"/>
          <w:szCs w:val="20"/>
          <w:color w:val="auto"/>
        </w:rPr>
      </w:pPr>
      <w:r>
        <w:rPr>
          <w:rFonts w:ascii="Courier New" w:cs="Courier New" w:eastAsia="Courier New" w:hAnsi="Courier New"/>
          <w:sz w:val="18"/>
          <w:szCs w:val="18"/>
          <w:color w:val="auto"/>
        </w:rPr>
        <w:t>Gabelli Funds, LLC</w:t>
      </w: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Mario J. Gabelli</w:t>
      </w:r>
    </w:p>
    <w:p>
      <w:pPr>
        <w:sectPr>
          <w:pgSz w:w="11900" w:h="16838" w:orient="portrait"/>
          <w:cols w:equalWidth="0" w:num="1">
            <w:col w:w="10219"/>
          </w:cols>
          <w:pgMar w:left="240" w:top="136" w:right="1440" w:bottom="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Chief Investment Officer</w:t>
      </w:r>
    </w:p>
    <w:p>
      <w:pPr>
        <w:ind w:left="860"/>
        <w:spacing w:after="0" w:line="238" w:lineRule="auto"/>
        <w:rPr>
          <w:sz w:val="20"/>
          <w:szCs w:val="20"/>
          <w:color w:val="auto"/>
        </w:rPr>
      </w:pPr>
      <w:r>
        <w:rPr>
          <w:rFonts w:ascii="Courier New" w:cs="Courier New" w:eastAsia="Courier New" w:hAnsi="Courier New"/>
          <w:sz w:val="18"/>
          <w:szCs w:val="18"/>
          <w:color w:val="auto"/>
        </w:rPr>
        <w:t>Bruce N. Alpert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 Operating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Advisers,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ind w:left="860"/>
        <w:spacing w:after="0" w:line="238" w:lineRule="auto"/>
        <w:rPr>
          <w:sz w:val="20"/>
          <w:szCs w:val="20"/>
          <w:color w:val="auto"/>
        </w:rPr>
      </w:pPr>
      <w:r>
        <w:rPr>
          <w:rFonts w:ascii="Courier New" w:cs="Courier New" w:eastAsia="Courier New" w:hAnsi="Courier New"/>
          <w:sz w:val="18"/>
          <w:szCs w:val="18"/>
          <w:color w:val="auto"/>
        </w:rPr>
        <w:t>John D. Gabelli</w:t>
      </w: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7" w:lineRule="auto"/>
        <w:rPr>
          <w:sz w:val="20"/>
          <w:szCs w:val="20"/>
          <w:color w:val="auto"/>
        </w:rPr>
      </w:pPr>
      <w:r>
        <w:rPr>
          <w:rFonts w:ascii="Courier New" w:cs="Courier New" w:eastAsia="Courier New" w:hAnsi="Courier New"/>
          <w:sz w:val="18"/>
          <w:szCs w:val="18"/>
          <w:color w:val="auto"/>
        </w:rPr>
        <w:t>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W. Blake</w:t>
      </w:r>
    </w:p>
    <w:p>
      <w:pPr>
        <w:spacing w:after="0" w:line="238" w:lineRule="auto"/>
        <w:rPr>
          <w:sz w:val="20"/>
          <w:szCs w:val="20"/>
          <w:color w:val="auto"/>
        </w:rPr>
      </w:pPr>
      <w:r>
        <w:rPr>
          <w:rFonts w:ascii="Courier New" w:cs="Courier New" w:eastAsia="Courier New" w:hAnsi="Courier New"/>
          <w:sz w:val="18"/>
          <w:szCs w:val="18"/>
          <w:color w:val="auto"/>
        </w:rPr>
        <w:t>President of W. R. Blake &amp; Sons, Inc.</w:t>
      </w:r>
    </w:p>
    <w:p>
      <w:pPr>
        <w:spacing w:after="0"/>
        <w:rPr>
          <w:sz w:val="20"/>
          <w:szCs w:val="20"/>
          <w:color w:val="auto"/>
        </w:rPr>
      </w:pPr>
      <w:r>
        <w:rPr>
          <w:rFonts w:ascii="Courier New" w:cs="Courier New" w:eastAsia="Courier New" w:hAnsi="Courier New"/>
          <w:sz w:val="18"/>
          <w:szCs w:val="18"/>
          <w:color w:val="auto"/>
        </w:rPr>
        <w:t>196-20 Northern Boulevard</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Flushing, NY</w:t>
        <w:tab/>
        <w:t>11358</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G. DeVivo</w:t>
      </w:r>
    </w:p>
    <w:p>
      <w:pPr>
        <w:spacing w:after="0" w:line="238" w:lineRule="auto"/>
        <w:rPr>
          <w:sz w:val="20"/>
          <w:szCs w:val="20"/>
          <w:color w:val="auto"/>
        </w:rPr>
      </w:pPr>
      <w:r>
        <w:rPr>
          <w:rFonts w:ascii="Courier New" w:cs="Courier New" w:eastAsia="Courier New" w:hAnsi="Courier New"/>
          <w:sz w:val="18"/>
          <w:szCs w:val="18"/>
          <w:color w:val="auto"/>
        </w:rPr>
        <w:t>General Partner of ALCE Partners, L.P.</w:t>
      </w:r>
    </w:p>
    <w:p>
      <w:pPr>
        <w:spacing w:after="0"/>
        <w:rPr>
          <w:sz w:val="20"/>
          <w:szCs w:val="20"/>
          <w:color w:val="auto"/>
        </w:rPr>
      </w:pPr>
      <w:r>
        <w:rPr>
          <w:rFonts w:ascii="Courier New" w:cs="Courier New" w:eastAsia="Courier New" w:hAnsi="Courier New"/>
          <w:sz w:val="18"/>
          <w:szCs w:val="18"/>
          <w:color w:val="auto"/>
        </w:rPr>
        <w:t>One First Street, Suite 16</w:t>
      </w:r>
    </w:p>
    <w:p>
      <w:pPr>
        <w:spacing w:after="0"/>
        <w:tabs>
          <w:tab w:leader="none" w:pos="1680" w:val="left"/>
        </w:tabs>
        <w:rPr>
          <w:sz w:val="20"/>
          <w:szCs w:val="20"/>
          <w:color w:val="auto"/>
        </w:rPr>
      </w:pPr>
      <w:r>
        <w:rPr>
          <w:rFonts w:ascii="Courier New" w:cs="Courier New" w:eastAsia="Courier New" w:hAnsi="Courier New"/>
          <w:sz w:val="18"/>
          <w:szCs w:val="18"/>
          <w:color w:val="auto"/>
        </w:rPr>
        <w:t>Los Altos, CA</w:t>
      </w:r>
      <w:r>
        <w:rPr>
          <w:sz w:val="20"/>
          <w:szCs w:val="20"/>
          <w:color w:val="auto"/>
        </w:rPr>
        <w:tab/>
      </w:r>
      <w:r>
        <w:rPr>
          <w:rFonts w:ascii="Courier New" w:cs="Courier New" w:eastAsia="Courier New" w:hAnsi="Courier New"/>
          <w:sz w:val="16"/>
          <w:szCs w:val="16"/>
          <w:color w:val="auto"/>
        </w:rPr>
        <w:t>94022</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Joseph R. Rindler,</w:t>
      </w:r>
    </w:p>
    <w:p>
      <w:pPr>
        <w:spacing w:after="0" w:line="238" w:lineRule="auto"/>
        <w:rPr>
          <w:sz w:val="20"/>
          <w:szCs w:val="20"/>
          <w:color w:val="auto"/>
        </w:rPr>
      </w:pPr>
      <w:r>
        <w:rPr>
          <w:rFonts w:ascii="Courier New" w:cs="Courier New" w:eastAsia="Courier New" w:hAnsi="Courier New"/>
          <w:sz w:val="18"/>
          <w:szCs w:val="18"/>
          <w:color w:val="auto"/>
        </w:rPr>
        <w:t>Jr.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Douglas R.</w:t>
      </w:r>
    </w:p>
    <w:p>
      <w:pPr>
        <w:spacing w:after="0" w:line="238" w:lineRule="auto"/>
        <w:rPr>
          <w:sz w:val="20"/>
          <w:szCs w:val="20"/>
          <w:color w:val="auto"/>
        </w:rPr>
      </w:pPr>
      <w:r>
        <w:rPr>
          <w:rFonts w:ascii="Courier New" w:cs="Courier New" w:eastAsia="Courier New" w:hAnsi="Courier New"/>
          <w:sz w:val="18"/>
          <w:szCs w:val="18"/>
          <w:color w:val="auto"/>
        </w:rPr>
        <w:t>Jamieson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 William</w:t>
      </w:r>
    </w:p>
    <w:p>
      <w:pPr>
        <w:spacing w:after="0" w:line="238" w:lineRule="auto"/>
        <w:rPr>
          <w:sz w:val="20"/>
          <w:szCs w:val="20"/>
          <w:color w:val="auto"/>
        </w:rPr>
      </w:pPr>
      <w:r>
        <w:rPr>
          <w:rFonts w:ascii="Courier New" w:cs="Courier New" w:eastAsia="Courier New" w:hAnsi="Courier New"/>
          <w:sz w:val="18"/>
          <w:szCs w:val="18"/>
          <w:color w:val="auto"/>
        </w:rPr>
        <w:t>Scholz, II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Chief Operating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Douglas R. Jamieson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Michael R.</w:t>
      </w:r>
    </w:p>
    <w:p>
      <w:pPr>
        <w:spacing w:after="0" w:line="238" w:lineRule="auto"/>
        <w:rPr>
          <w:sz w:val="20"/>
          <w:szCs w:val="20"/>
          <w:color w:val="auto"/>
        </w:rPr>
      </w:pPr>
      <w:r>
        <w:rPr>
          <w:rFonts w:ascii="Courier New" w:cs="Courier New" w:eastAsia="Courier New" w:hAnsi="Courier New"/>
          <w:sz w:val="18"/>
          <w:szCs w:val="18"/>
          <w:color w:val="auto"/>
        </w:rPr>
        <w:t>Anastasio</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See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Secretary</w:t>
      </w:r>
    </w:p>
    <w:p>
      <w:pPr>
        <w:sectPr>
          <w:pgSz w:w="11900" w:h="16838" w:orient="portrait"/>
          <w:cols w:equalWidth="0" w:num="1">
            <w:col w:w="10219"/>
          </w:cols>
          <w:pgMar w:left="240" w:top="339" w:right="1440" w:bottom="132"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Gabelli &amp; Company, Inc.</w:t>
      </w:r>
    </w:p>
    <w:p>
      <w:pPr>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Irene Smolicz</w:t>
      </w:r>
    </w:p>
    <w:p>
      <w:pPr>
        <w:spacing w:after="0" w:line="238" w:lineRule="auto"/>
        <w:rPr>
          <w:sz w:val="20"/>
          <w:szCs w:val="20"/>
          <w:color w:val="auto"/>
        </w:rPr>
      </w:pPr>
      <w:r>
        <w:rPr>
          <w:rFonts w:ascii="Courier New" w:cs="Courier New" w:eastAsia="Courier New" w:hAnsi="Courier New"/>
          <w:sz w:val="18"/>
          <w:szCs w:val="18"/>
          <w:color w:val="auto"/>
        </w:rPr>
        <w:t>Senior Trader</w:t>
      </w:r>
    </w:p>
    <w:p>
      <w:pPr>
        <w:spacing w:after="0"/>
        <w:rPr>
          <w:sz w:val="20"/>
          <w:szCs w:val="20"/>
          <w:color w:val="auto"/>
        </w:rPr>
      </w:pPr>
      <w:r>
        <w:rPr>
          <w:rFonts w:ascii="Courier New" w:cs="Courier New" w:eastAsia="Courier New" w:hAnsi="Courier New"/>
          <w:sz w:val="18"/>
          <w:szCs w:val="18"/>
          <w:color w:val="auto"/>
        </w:rPr>
        <w:t>Gabelli &amp; Company,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G. Webster, III</w:t>
      </w:r>
    </w:p>
    <w:p>
      <w:pPr>
        <w:spacing w:after="0" w:line="238" w:lineRule="auto"/>
        <w:rPr>
          <w:sz w:val="20"/>
          <w:szCs w:val="20"/>
          <w:color w:val="auto"/>
        </w:rPr>
      </w:pPr>
      <w:r>
        <w:rPr>
          <w:rFonts w:ascii="Courier New" w:cs="Courier New" w:eastAsia="Courier New" w:hAnsi="Courier New"/>
          <w:sz w:val="18"/>
          <w:szCs w:val="18"/>
          <w:color w:val="auto"/>
        </w:rPr>
        <w:t>Chairman &amp; Interim President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Bruce N. Alpert</w:t>
      </w:r>
    </w:p>
    <w:p>
      <w:pPr>
        <w:spacing w:after="0" w:line="238" w:lineRule="auto"/>
        <w:rPr>
          <w:sz w:val="20"/>
          <w:szCs w:val="20"/>
          <w:color w:val="auto"/>
        </w:rPr>
      </w:pPr>
      <w:r>
        <w:rPr>
          <w:rFonts w:ascii="Courier New" w:cs="Courier New" w:eastAsia="Courier New" w:hAnsi="Courier New"/>
          <w:sz w:val="18"/>
          <w:szCs w:val="18"/>
          <w:color w:val="auto"/>
        </w:rPr>
        <w:t>Vice President - Mutual Funds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E. McKee</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Corporation,</w:t>
      </w:r>
    </w:p>
    <w:p>
      <w:pPr>
        <w:spacing w:after="0" w:line="238" w:lineRule="auto"/>
        <w:rPr>
          <w:sz w:val="20"/>
          <w:szCs w:val="20"/>
          <w:color w:val="auto"/>
        </w:rPr>
      </w:pPr>
      <w:r>
        <w:rPr>
          <w:rFonts w:ascii="Courier New" w:cs="Courier New" w:eastAsia="Courier New" w:hAnsi="Courier New"/>
          <w:sz w:val="18"/>
          <w:szCs w:val="18"/>
          <w:color w:val="auto"/>
        </w:rPr>
        <w:t>140 Greenwich Avenue, 4th Floor</w:t>
      </w:r>
    </w:p>
    <w:p>
      <w:pPr>
        <w:spacing w:after="0"/>
        <w:rPr>
          <w:sz w:val="20"/>
          <w:szCs w:val="20"/>
          <w:color w:val="auto"/>
        </w:rPr>
      </w:pPr>
      <w:r>
        <w:rPr>
          <w:rFonts w:ascii="Courier New" w:cs="Courier New" w:eastAsia="Courier New" w:hAnsi="Courier New"/>
          <w:sz w:val="18"/>
          <w:szCs w:val="18"/>
          <w:color w:val="auto"/>
        </w:rPr>
        <w:t>Greenwich, CT 06830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 Val Cerutti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Consultant, Cerutti Consultants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227 McLain Street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Mount Kisco, NY</w:t>
      </w:r>
      <w:r>
        <w:rPr>
          <w:sz w:val="20"/>
          <w:szCs w:val="20"/>
          <w:color w:val="auto"/>
        </w:rPr>
        <w:tab/>
      </w:r>
      <w:r>
        <w:rPr>
          <w:rFonts w:ascii="Courier New" w:cs="Courier New" w:eastAsia="Courier New" w:hAnsi="Courier New"/>
          <w:sz w:val="18"/>
          <w:szCs w:val="18"/>
          <w:color w:val="auto"/>
        </w:rPr>
        <w:t>10540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Avrum Gray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Marc J. Gabelli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John C. Ferrara</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Anthony R.</w:t>
      </w:r>
    </w:p>
    <w:p>
      <w:pPr>
        <w:spacing w:after="0" w:line="238" w:lineRule="auto"/>
        <w:rPr>
          <w:sz w:val="20"/>
          <w:szCs w:val="20"/>
          <w:color w:val="auto"/>
        </w:rPr>
      </w:pPr>
      <w:r>
        <w:rPr>
          <w:rFonts w:ascii="Courier New" w:cs="Courier New" w:eastAsia="Courier New" w:hAnsi="Courier New"/>
          <w:sz w:val="18"/>
          <w:szCs w:val="18"/>
          <w:color w:val="auto"/>
        </w:rPr>
        <w:t>Pustorino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Gbar Limited Partnership</w:t>
      </w:r>
    </w:p>
    <w:p>
      <w:pPr>
        <w:spacing w:after="0" w:line="238" w:lineRule="auto"/>
        <w:rPr>
          <w:sz w:val="20"/>
          <w:szCs w:val="20"/>
          <w:color w:val="auto"/>
        </w:rPr>
      </w:pPr>
      <w:r>
        <w:rPr>
          <w:rFonts w:ascii="Courier New" w:cs="Courier New" w:eastAsia="Courier New" w:hAnsi="Courier New"/>
          <w:sz w:val="18"/>
          <w:szCs w:val="18"/>
          <w:color w:val="auto"/>
        </w:rPr>
        <w:t>440 South LaSalle, Suite 2900</w:t>
      </w:r>
    </w:p>
    <w:p>
      <w:pPr>
        <w:spacing w:after="0"/>
        <w:rPr>
          <w:sz w:val="20"/>
          <w:szCs w:val="20"/>
          <w:color w:val="auto"/>
        </w:rPr>
      </w:pPr>
      <w:r>
        <w:rPr>
          <w:rFonts w:ascii="Courier New" w:cs="Courier New" w:eastAsia="Courier New" w:hAnsi="Courier New"/>
          <w:sz w:val="18"/>
          <w:szCs w:val="18"/>
          <w:color w:val="auto"/>
        </w:rPr>
        <w:t>Chicago, IL 60605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Professor Emeritus</w:t>
      </w:r>
    </w:p>
    <w:p>
      <w:pPr>
        <w:spacing w:after="0" w:line="238" w:lineRule="auto"/>
        <w:rPr>
          <w:sz w:val="20"/>
          <w:szCs w:val="20"/>
          <w:color w:val="auto"/>
        </w:rPr>
      </w:pPr>
      <w:r>
        <w:rPr>
          <w:rFonts w:ascii="Courier New" w:cs="Courier New" w:eastAsia="Courier New" w:hAnsi="Courier New"/>
          <w:sz w:val="18"/>
          <w:szCs w:val="18"/>
          <w:color w:val="auto"/>
        </w:rPr>
        <w:t>Pace University</w:t>
      </w:r>
    </w:p>
    <w:p>
      <w:pPr>
        <w:spacing w:after="0"/>
        <w:rPr>
          <w:sz w:val="20"/>
          <w:szCs w:val="20"/>
          <w:color w:val="auto"/>
        </w:rPr>
      </w:pPr>
      <w:r>
        <w:rPr>
          <w:rFonts w:ascii="Courier New" w:cs="Courier New" w:eastAsia="Courier New" w:hAnsi="Courier New"/>
          <w:sz w:val="18"/>
          <w:szCs w:val="18"/>
          <w:color w:val="auto"/>
        </w:rPr>
        <w:t>1 Martine Avenue</w:t>
      </w:r>
    </w:p>
    <w:p>
      <w:pPr>
        <w:spacing w:after="0" w:line="237" w:lineRule="auto"/>
        <w:rPr>
          <w:sz w:val="20"/>
          <w:szCs w:val="20"/>
          <w:color w:val="auto"/>
        </w:rPr>
      </w:pPr>
      <w:r>
        <w:rPr>
          <w:rFonts w:ascii="Courier New" w:cs="Courier New" w:eastAsia="Courier New" w:hAnsi="Courier New"/>
          <w:sz w:val="18"/>
          <w:szCs w:val="18"/>
          <w:color w:val="auto"/>
        </w:rPr>
        <w:t>White Plains, NY 10606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See above</w:t>
      </w:r>
    </w:p>
    <w:p>
      <w:pPr>
        <w:sectPr>
          <w:pgSz w:w="11900" w:h="16838" w:orient="portrait"/>
          <w:cols w:equalWidth="0" w:num="1">
            <w:col w:w="10219"/>
          </w:cols>
          <w:pgMar w:left="240" w:top="339" w:right="1440" w:bottom="133" w:gutter="0" w:footer="0" w:header="0"/>
        </w:sectPr>
      </w:pPr>
    </w:p>
    <w:bookmarkStart w:id="20" w:name="page21"/>
    <w:bookmarkEnd w:id="20"/>
    <w:p>
      <w:pPr>
        <w:ind w:left="860"/>
        <w:spacing w:after="0"/>
        <w:rPr>
          <w:sz w:val="20"/>
          <w:szCs w:val="20"/>
          <w:color w:val="auto"/>
        </w:rPr>
      </w:pPr>
      <w:r>
        <w:rPr>
          <w:rFonts w:ascii="Courier New" w:cs="Courier New" w:eastAsia="Courier New" w:hAnsi="Courier New"/>
          <w:sz w:val="18"/>
          <w:szCs w:val="18"/>
          <w:color w:val="auto"/>
        </w:rPr>
        <w:t>Eugene Hynes</w:t>
      </w:r>
    </w:p>
    <w:p>
      <w:pPr>
        <w:spacing w:after="0" w:line="238" w:lineRule="auto"/>
        <w:rPr>
          <w:sz w:val="20"/>
          <w:szCs w:val="20"/>
          <w:color w:val="auto"/>
        </w:rPr>
      </w:pPr>
      <w:r>
        <w:rPr>
          <w:rFonts w:ascii="Courier New" w:cs="Courier New" w:eastAsia="Courier New" w:hAnsi="Courier New"/>
          <w:sz w:val="18"/>
          <w:szCs w:val="18"/>
          <w:color w:val="auto"/>
        </w:rPr>
        <w:t>Secretary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Interactive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 Theodore Fremd Avenue Rye, NY 10580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Paul J. Evanson</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Allegheny Energy, Inc.</w:t>
      </w:r>
    </w:p>
    <w:p>
      <w:pPr>
        <w:spacing w:after="0" w:line="237" w:lineRule="auto"/>
        <w:rPr>
          <w:sz w:val="20"/>
          <w:szCs w:val="20"/>
          <w:color w:val="auto"/>
        </w:rPr>
      </w:pPr>
      <w:r>
        <w:rPr>
          <w:rFonts w:ascii="Courier New" w:cs="Courier New" w:eastAsia="Courier New" w:hAnsi="Courier New"/>
          <w:sz w:val="18"/>
          <w:szCs w:val="18"/>
          <w:color w:val="auto"/>
        </w:rPr>
        <w:t>10435 Downsville Pike</w:t>
      </w:r>
    </w:p>
    <w:p>
      <w:pPr>
        <w:spacing w:after="0" w:line="238" w:lineRule="auto"/>
        <w:rPr>
          <w:sz w:val="20"/>
          <w:szCs w:val="20"/>
          <w:color w:val="auto"/>
        </w:rPr>
      </w:pPr>
      <w:r>
        <w:rPr>
          <w:rFonts w:ascii="Courier New" w:cs="Courier New" w:eastAsia="Courier New" w:hAnsi="Courier New"/>
          <w:sz w:val="18"/>
          <w:szCs w:val="18"/>
          <w:color w:val="auto"/>
        </w:rPr>
        <w:t>Hagerstown, MD 21740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 - GGCP, Inc.</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Salvatore Muoio</w:t>
      </w:r>
    </w:p>
    <w:p>
      <w:pPr>
        <w:spacing w:after="0" w:line="238" w:lineRule="auto"/>
        <w:rPr>
          <w:sz w:val="20"/>
          <w:szCs w:val="20"/>
          <w:color w:val="auto"/>
        </w:rPr>
      </w:pPr>
      <w:r>
        <w:rPr>
          <w:rFonts w:ascii="Courier New" w:cs="Courier New" w:eastAsia="Courier New" w:hAnsi="Courier New"/>
          <w:sz w:val="18"/>
          <w:szCs w:val="18"/>
          <w:color w:val="auto"/>
        </w:rPr>
        <w:t>Principal</w:t>
      </w:r>
    </w:p>
    <w:p>
      <w:pPr>
        <w:spacing w:after="0"/>
        <w:rPr>
          <w:sz w:val="20"/>
          <w:szCs w:val="20"/>
          <w:color w:val="auto"/>
        </w:rPr>
      </w:pPr>
      <w:r>
        <w:rPr>
          <w:rFonts w:ascii="Courier New" w:cs="Courier New" w:eastAsia="Courier New" w:hAnsi="Courier New"/>
          <w:sz w:val="18"/>
          <w:szCs w:val="18"/>
          <w:color w:val="auto"/>
        </w:rPr>
        <w:t>S. Muoio &amp; Co., LLC</w:t>
      </w:r>
    </w:p>
    <w:p>
      <w:pPr>
        <w:spacing w:after="0" w:line="237" w:lineRule="auto"/>
        <w:rPr>
          <w:sz w:val="20"/>
          <w:szCs w:val="20"/>
          <w:color w:val="auto"/>
        </w:rPr>
      </w:pPr>
      <w:r>
        <w:rPr>
          <w:rFonts w:ascii="Courier New" w:cs="Courier New" w:eastAsia="Courier New" w:hAnsi="Courier New"/>
          <w:sz w:val="18"/>
          <w:szCs w:val="18"/>
          <w:color w:val="auto"/>
        </w:rPr>
        <w:t>Suite 406</w:t>
      </w:r>
    </w:p>
    <w:p>
      <w:pPr>
        <w:spacing w:after="0" w:line="238" w:lineRule="auto"/>
        <w:rPr>
          <w:sz w:val="20"/>
          <w:szCs w:val="20"/>
          <w:color w:val="auto"/>
        </w:rPr>
      </w:pPr>
      <w:r>
        <w:rPr>
          <w:rFonts w:ascii="Courier New" w:cs="Courier New" w:eastAsia="Courier New" w:hAnsi="Courier New"/>
          <w:sz w:val="18"/>
          <w:szCs w:val="18"/>
          <w:color w:val="auto"/>
        </w:rPr>
        <w:t>509 Madison Ave.</w:t>
      </w:r>
    </w:p>
    <w:p>
      <w:pPr>
        <w:spacing w:after="0"/>
        <w:rPr>
          <w:sz w:val="20"/>
          <w:szCs w:val="20"/>
          <w:color w:val="auto"/>
        </w:rPr>
      </w:pPr>
      <w:r>
        <w:rPr>
          <w:rFonts w:ascii="Courier New" w:cs="Courier New" w:eastAsia="Courier New" w:hAnsi="Courier New"/>
          <w:sz w:val="18"/>
          <w:szCs w:val="18"/>
          <w:color w:val="auto"/>
        </w:rPr>
        <w:t>New York, NY 10022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Daniel Lee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Morris Berkowitz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John C. Ferrara</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rPr>
          <w:sz w:val="20"/>
          <w:szCs w:val="20"/>
          <w:color w:val="auto"/>
        </w:rPr>
      </w:pPr>
      <w:r>
        <w:rPr>
          <w:rFonts w:ascii="Courier New" w:cs="Courier New" w:eastAsia="Courier New" w:hAnsi="Courier New"/>
          <w:sz w:val="18"/>
          <w:szCs w:val="18"/>
          <w:color w:val="auto"/>
        </w:rPr>
        <w:t>Pinnacle Entertainment, Inc.</w:t>
      </w:r>
    </w:p>
    <w:p>
      <w:pPr>
        <w:spacing w:after="0" w:line="237" w:lineRule="auto"/>
        <w:rPr>
          <w:sz w:val="20"/>
          <w:szCs w:val="20"/>
          <w:color w:val="auto"/>
        </w:rPr>
      </w:pPr>
      <w:r>
        <w:rPr>
          <w:rFonts w:ascii="Courier New" w:cs="Courier New" w:eastAsia="Courier New" w:hAnsi="Courier New"/>
          <w:sz w:val="18"/>
          <w:szCs w:val="18"/>
          <w:color w:val="auto"/>
        </w:rPr>
        <w:t>3800 Howard Hughes Parkway, Suite 1800</w:t>
      </w:r>
    </w:p>
    <w:p>
      <w:pPr>
        <w:spacing w:after="0" w:line="238" w:lineRule="auto"/>
        <w:rPr>
          <w:sz w:val="20"/>
          <w:szCs w:val="20"/>
          <w:color w:val="auto"/>
        </w:rPr>
      </w:pPr>
      <w:r>
        <w:rPr>
          <w:rFonts w:ascii="Courier New" w:cs="Courier New" w:eastAsia="Courier New" w:hAnsi="Courier New"/>
          <w:sz w:val="18"/>
          <w:szCs w:val="18"/>
          <w:color w:val="auto"/>
        </w:rPr>
        <w:t>Las Vegas, Nevada 89109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Consultant</w:t>
      </w:r>
    </w:p>
    <w:p>
      <w:pPr>
        <w:spacing w:after="0" w:line="238" w:lineRule="auto"/>
        <w:rPr>
          <w:sz w:val="20"/>
          <w:szCs w:val="20"/>
          <w:color w:val="auto"/>
        </w:rPr>
      </w:pPr>
      <w:r>
        <w:rPr>
          <w:rFonts w:ascii="Courier New" w:cs="Courier New" w:eastAsia="Courier New" w:hAnsi="Courier New"/>
          <w:sz w:val="18"/>
          <w:szCs w:val="18"/>
          <w:color w:val="auto"/>
        </w:rPr>
        <w:t>Lynch Interactive Corporation</w:t>
      </w:r>
    </w:p>
    <w:p>
      <w:pPr>
        <w:spacing w:after="0"/>
        <w:rPr>
          <w:sz w:val="20"/>
          <w:szCs w:val="20"/>
          <w:color w:val="auto"/>
        </w:rPr>
      </w:pPr>
      <w:r>
        <w:rPr>
          <w:rFonts w:ascii="Courier New" w:cs="Courier New" w:eastAsia="Courier New" w:hAnsi="Courier New"/>
          <w:sz w:val="18"/>
          <w:szCs w:val="18"/>
          <w:color w:val="auto"/>
        </w:rPr>
        <w:t>401 Theodore Fremd Ave.</w:t>
      </w:r>
    </w:p>
    <w:p>
      <w:pPr>
        <w:spacing w:after="0" w:line="237" w:lineRule="auto"/>
        <w:rPr>
          <w:sz w:val="20"/>
          <w:szCs w:val="20"/>
          <w:color w:val="auto"/>
        </w:rPr>
      </w:pPr>
      <w:r>
        <w:rPr>
          <w:rFonts w:ascii="Courier New" w:cs="Courier New" w:eastAsia="Courier New" w:hAnsi="Courier New"/>
          <w:sz w:val="18"/>
          <w:szCs w:val="18"/>
          <w:color w:val="auto"/>
        </w:rPr>
        <w:t>Rye, NY 10580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Mario J. Gabelli</w:t>
      </w:r>
    </w:p>
    <w:p>
      <w:pPr>
        <w:spacing w:after="0" w:line="238" w:lineRule="auto"/>
        <w:rPr>
          <w:sz w:val="20"/>
          <w:szCs w:val="20"/>
          <w:color w:val="auto"/>
        </w:rPr>
      </w:pPr>
      <w:r>
        <w:rPr>
          <w:rFonts w:ascii="Courier New" w:cs="Courier New" w:eastAsia="Courier New" w:hAnsi="Courier New"/>
          <w:sz w:val="18"/>
          <w:szCs w:val="18"/>
          <w:color w:val="auto"/>
        </w:rPr>
        <w:t>Chairman and Chief Executive Officer</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John A. Cole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Corporate Development</w:t>
      </w:r>
    </w:p>
    <w:p>
      <w:pPr>
        <w:spacing w:after="0" w:line="238" w:lineRule="auto"/>
        <w:rPr>
          <w:sz w:val="20"/>
          <w:szCs w:val="20"/>
          <w:color w:val="auto"/>
        </w:rPr>
      </w:pPr>
      <w:r>
        <w:rPr>
          <w:rFonts w:ascii="Courier New" w:cs="Courier New" w:eastAsia="Courier New" w:hAnsi="Courier New"/>
          <w:sz w:val="18"/>
          <w:szCs w:val="18"/>
          <w:color w:val="auto"/>
        </w:rPr>
        <w:t>Secretary and General Counsel</w:t>
      </w:r>
    </w:p>
    <w:p>
      <w:pPr>
        <w:ind w:left="860"/>
        <w:spacing w:after="0"/>
        <w:rPr>
          <w:sz w:val="20"/>
          <w:szCs w:val="20"/>
          <w:color w:val="auto"/>
        </w:rPr>
      </w:pPr>
      <w:r>
        <w:rPr>
          <w:rFonts w:ascii="Courier New" w:cs="Courier New" w:eastAsia="Courier New" w:hAnsi="Courier New"/>
          <w:sz w:val="18"/>
          <w:szCs w:val="18"/>
          <w:color w:val="auto"/>
        </w:rPr>
        <w:t>(1) Citizen of Germany</w:t>
      </w:r>
    </w:p>
    <w:p>
      <w:pPr>
        <w:sectPr>
          <w:pgSz w:w="11900" w:h="16838" w:orient="portrait"/>
          <w:cols w:equalWidth="0" w:num="1">
            <w:col w:w="10219"/>
          </w:cols>
          <w:pgMar w:left="240" w:top="541" w:right="1440" w:bottom="131"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210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9"/>
              </w:rPr>
              <w:t>SCHEDULE II</w:t>
            </w:r>
          </w:p>
        </w:tc>
        <w:tc>
          <w:tcPr>
            <w:tcW w:w="1120" w:type="dxa"/>
            <w:vAlign w:val="bottom"/>
          </w:tcPr>
          <w:p>
            <w:pPr>
              <w:spacing w:after="0"/>
              <w:rPr>
                <w:sz w:val="17"/>
                <w:szCs w:val="17"/>
                <w:color w:val="auto"/>
              </w:rPr>
            </w:pPr>
          </w:p>
        </w:tc>
      </w:tr>
      <w:tr>
        <w:trPr>
          <w:trHeight w:val="203"/>
        </w:trPr>
        <w:tc>
          <w:tcPr>
            <w:tcW w:w="5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INFORMATION WITH RESPECT TO</w:t>
            </w:r>
          </w:p>
        </w:tc>
        <w:tc>
          <w:tcPr>
            <w:tcW w:w="1120" w:type="dxa"/>
            <w:vAlign w:val="bottom"/>
          </w:tcPr>
          <w:p>
            <w:pPr>
              <w:spacing w:after="0"/>
              <w:rPr>
                <w:sz w:val="17"/>
                <w:szCs w:val="17"/>
                <w:color w:val="auto"/>
              </w:rPr>
            </w:pPr>
          </w:p>
        </w:tc>
      </w:tr>
      <w:tr>
        <w:trPr>
          <w:trHeight w:val="203"/>
        </w:trPr>
        <w:tc>
          <w:tcPr>
            <w:tcW w:w="7060" w:type="dxa"/>
            <w:vAlign w:val="bottom"/>
            <w:gridSpan w:val="3"/>
          </w:tcPr>
          <w:p>
            <w:pPr>
              <w:ind w:left="1680"/>
              <w:spacing w:after="0" w:line="203" w:lineRule="exact"/>
              <w:rPr>
                <w:sz w:val="20"/>
                <w:szCs w:val="20"/>
                <w:color w:val="auto"/>
              </w:rPr>
            </w:pPr>
            <w:r>
              <w:rPr>
                <w:rFonts w:ascii="Courier New" w:cs="Courier New" w:eastAsia="Courier New" w:hAnsi="Courier New"/>
                <w:sz w:val="18"/>
                <w:szCs w:val="18"/>
                <w:color w:val="auto"/>
                <w:w w:val="97"/>
              </w:rPr>
              <w:t>TRANSACTIONS EFFECTED DURING THE PAST SIXTY DAYS OR</w:t>
            </w:r>
          </w:p>
        </w:tc>
      </w:tr>
      <w:tr>
        <w:trPr>
          <w:trHeight w:val="203"/>
        </w:trPr>
        <w:tc>
          <w:tcPr>
            <w:tcW w:w="5940" w:type="dxa"/>
            <w:vAlign w:val="bottom"/>
            <w:gridSpan w:val="2"/>
          </w:tcPr>
          <w:p>
            <w:pPr>
              <w:ind w:left="1680"/>
              <w:spacing w:after="0" w:line="203" w:lineRule="exact"/>
              <w:rPr>
                <w:sz w:val="20"/>
                <w:szCs w:val="20"/>
                <w:color w:val="auto"/>
              </w:rPr>
            </w:pPr>
            <w:r>
              <w:rPr>
                <w:rFonts w:ascii="Courier New" w:cs="Courier New" w:eastAsia="Courier New" w:hAnsi="Courier New"/>
                <w:sz w:val="18"/>
                <w:szCs w:val="18"/>
                <w:color w:val="auto"/>
                <w:w w:val="98"/>
              </w:rPr>
              <w:t>SINCE THE MOST RECENT FILING ON SCHEDULE</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13D (1)</w:t>
            </w:r>
          </w:p>
        </w:tc>
      </w:tr>
      <w:tr>
        <w:trPr>
          <w:trHeight w:val="203"/>
        </w:trPr>
        <w:tc>
          <w:tcPr>
            <w:tcW w:w="3840" w:type="dxa"/>
            <w:vAlign w:val="bottom"/>
          </w:tcPr>
          <w:p>
            <w:pPr>
              <w:spacing w:after="0"/>
              <w:rPr>
                <w:sz w:val="17"/>
                <w:szCs w:val="17"/>
                <w:color w:val="auto"/>
              </w:rPr>
            </w:pPr>
          </w:p>
        </w:tc>
        <w:tc>
          <w:tcPr>
            <w:tcW w:w="2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SHARES PURCHASED</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AVERAGE</w:t>
            </w:r>
          </w:p>
        </w:tc>
      </w:tr>
      <w:tr>
        <w:trPr>
          <w:trHeight w:val="203"/>
        </w:trPr>
        <w:tc>
          <w:tcPr>
            <w:tcW w:w="38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DATE</w:t>
            </w:r>
          </w:p>
        </w:tc>
        <w:tc>
          <w:tcPr>
            <w:tcW w:w="21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SOLD(-)</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PRICE(2)</w:t>
            </w:r>
          </w:p>
        </w:tc>
      </w:tr>
      <w:tr>
        <w:trPr>
          <w:trHeight w:val="405"/>
        </w:trPr>
        <w:tc>
          <w:tcPr>
            <w:tcW w:w="384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6"/>
              </w:rPr>
              <w:t>COMMON STOCK-VIACOM INC CL A</w:t>
            </w: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3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GABELLI SECURITIES, INC.</w:t>
            </w: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7/12/05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33.0110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7/05/05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32.7200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7/05/05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32.6461</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7/05/05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32.7200</w:t>
            </w:r>
          </w:p>
        </w:tc>
      </w:tr>
      <w:tr>
        <w:trPr>
          <w:trHeight w:val="203"/>
        </w:trPr>
        <w:tc>
          <w:tcPr>
            <w:tcW w:w="38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ALCE PARTNERS</w:t>
            </w: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7/28/05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34.2340</w:t>
            </w:r>
          </w:p>
        </w:tc>
      </w:tr>
      <w:tr>
        <w:trPr>
          <w:trHeight w:val="203"/>
        </w:trPr>
        <w:tc>
          <w:tcPr>
            <w:tcW w:w="5940" w:type="dxa"/>
            <w:vAlign w:val="bottom"/>
            <w:gridSpan w:val="2"/>
          </w:tcPr>
          <w:p>
            <w:pPr>
              <w:jc w:val="right"/>
              <w:ind w:right="1432"/>
              <w:spacing w:after="0" w:line="203" w:lineRule="exact"/>
              <w:rPr>
                <w:sz w:val="20"/>
                <w:szCs w:val="20"/>
                <w:color w:val="auto"/>
              </w:rPr>
            </w:pPr>
            <w:r>
              <w:rPr>
                <w:rFonts w:ascii="Courier New" w:cs="Courier New" w:eastAsia="Courier New" w:hAnsi="Courier New"/>
                <w:sz w:val="18"/>
                <w:szCs w:val="18"/>
                <w:color w:val="auto"/>
              </w:rPr>
              <w:t>GABELLI MULTIMEDIA PARTNERS</w:t>
            </w:r>
          </w:p>
        </w:tc>
        <w:tc>
          <w:tcPr>
            <w:tcW w:w="1120" w:type="dxa"/>
            <w:vAlign w:val="bottom"/>
          </w:tcPr>
          <w:p>
            <w:pPr>
              <w:spacing w:after="0"/>
              <w:rPr>
                <w:sz w:val="17"/>
                <w:szCs w:val="17"/>
                <w:color w:val="auto"/>
              </w:rPr>
            </w:pP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7/28/05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34.2340</w:t>
            </w:r>
          </w:p>
        </w:tc>
      </w:tr>
      <w:tr>
        <w:trPr>
          <w:trHeight w:val="203"/>
        </w:trPr>
        <w:tc>
          <w:tcPr>
            <w:tcW w:w="38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8"/>
              </w:rPr>
              <w:t>GAMCO ASSET MANAGEMENT INC.</w:t>
            </w: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8/30/05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33.9650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8/30/05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33.9000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8/30/05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34.1350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8/30/05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33.9413</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8/30/05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33.9325</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8/29/05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33.8400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8/29/05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34.2000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8/29/05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34.2000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8/29/05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34.2000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8/24/05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34.5855</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8/23/05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34.7140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8/23/05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34.7400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8/23/05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34.5996</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8/22/05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23,860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34.8742</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8/19/05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34.9400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8/18/05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34.8800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8/17/05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35.1050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8/17/05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35.1300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8/17/05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34.8300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8/15/05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800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35.4088</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8/15/05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35.3500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8/12/05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4,000-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35.4550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8/11/05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34.8767</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8/11/05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35.0500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8/11/05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35.0780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8/10/05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5,000-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35.1420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8/10/05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700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35.2200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8/09/05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34.7365</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8/05/05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33.8800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8/04/05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33.7000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8/03/05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33.8440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8/02/05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700-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33.6986</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8/02/05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24,000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33.7921</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8/02/05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33.7300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8/01/05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33.6300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8/01/05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1,800-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33.6661</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7/29/05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26,900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33.9170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7/29/05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33.7700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7/29/05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34.0000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7/29/05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39,700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33.8699</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7/28/05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33.8800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7/27/05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33.8236</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7/27/05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33.7595</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7/27/05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33.2894</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7/27/05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3,000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33.5177</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7/26/05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7,000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33.5371</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7/26/05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9,600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33.4328</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7/25/05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32.9875</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7/25/05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33.0287</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7/25/05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5,900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33.0287</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7/25/05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33.3000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7/25/05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33.0287</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7/25/05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33.0000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7/22/05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33.0500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7/22/05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33.0707</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7/22/05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33.0000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7/22/05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33.1107</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7/22/05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33.0600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7/21/05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32.4500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7/21/05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32.3860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7/20/05</w:t>
            </w:r>
          </w:p>
        </w:tc>
        <w:tc>
          <w:tcPr>
            <w:tcW w:w="21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32.5100</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7/20/05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40,000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32.7777</w:t>
            </w:r>
          </w:p>
        </w:tc>
      </w:tr>
      <w:tr>
        <w:trPr>
          <w:trHeight w:val="203"/>
        </w:trPr>
        <w:tc>
          <w:tcPr>
            <w:tcW w:w="3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7/20/05</w:t>
            </w:r>
          </w:p>
        </w:tc>
        <w:tc>
          <w:tcPr>
            <w:tcW w:w="21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1,500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32.7500</w:t>
            </w:r>
          </w:p>
        </w:tc>
      </w:tr>
    </w:tbl>
    <w:p>
      <w:pPr>
        <w:sectPr>
          <w:pgSz w:w="11900" w:h="16838" w:orient="portrait"/>
          <w:cols w:equalWidth="0" w:num="1">
            <w:col w:w="10099"/>
          </w:cols>
          <w:pgMar w:left="360" w:top="136" w:right="1440" w:bottom="0" w:gutter="0" w:footer="0" w:header="0"/>
        </w:sectPr>
      </w:pPr>
    </w:p>
    <w:bookmarkStart w:id="23" w:name="page24"/>
    <w:bookmarkEnd w:id="23"/>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31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7/20/05</w:t>
            </w:r>
          </w:p>
        </w:tc>
        <w:tc>
          <w:tcPr>
            <w:tcW w:w="13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32.5100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7/20/05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32.7130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7/20/05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32.7550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7/20/05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32.5100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7/19/05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17,400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32.7848</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7/19/05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32.7495</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7/18/05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33.0500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7/18/05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32.9051</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7/18/05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32.8717</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7/15/05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33.0400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7/15/05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32.9900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7/15/05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33.1000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7/15/05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5,800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33.0100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7/14/05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7/14/05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15,800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33.1610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7/14/05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33.0700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7/14/05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33.0600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7/13/05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33.1000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7/13/05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32.8900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7/13/05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32.8500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7/13/05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32.8704</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7/13/05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38,500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32.9498</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7/12/05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34,900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33.1350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7/12/05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33.0486</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7/12/05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32.7200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7/12/05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32.6900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7/12/05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2,100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32.9424</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7/12/05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32.9200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7/12/05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7,800-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33.0500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7/11/05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33.1500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7/11/05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10,200-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32.9374</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7/11/05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7,200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33.0475</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7/11/05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32.9485</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7/08/05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32.7008</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7/06/05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7/06/05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32.5100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7/06/05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32.5000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7/06/05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5,200-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32.4604</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7/06/05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32.4214</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7/05/05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32.6089</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7/05/05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32.4850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7/05/05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32.6400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7/05/05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20,000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32.4677</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7/01/05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15,000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32.4540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7/01/05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2,300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32.5805</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7/01/05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20,000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32.5811</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6/30/05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32.8600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6/30/05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32.4400</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6/30/05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32.6875</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6/30/05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32.8175</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GABELLI FUNDS, LLC.</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GABELLI EQUITY TRUST</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7/26/05</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30,000-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33.6947</w:t>
            </w: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7/08/05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30,000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33.1917</w:t>
            </w: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GABELLI EQUITY INCOME FUND</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7/01/05</w:t>
            </w: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32.5296</w:t>
            </w:r>
          </w:p>
        </w:tc>
      </w:tr>
    </w:tbl>
    <w:p>
      <w:pPr>
        <w:spacing w:after="0" w:line="207" w:lineRule="exact"/>
        <w:rPr>
          <w:sz w:val="20"/>
          <w:szCs w:val="20"/>
          <w:color w:val="auto"/>
        </w:rPr>
      </w:pPr>
    </w:p>
    <w:p>
      <w:pPr>
        <w:ind w:left="420" w:right="36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NYSE.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RESULTS IN CHANGE OF DISPOSITIVE POWER AND BENEFICIAL OWNERSHIP.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amp;"/>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2019-12-19T21:40:31Z</dcterms:created>
  <dcterms:modified xsi:type="dcterms:W3CDTF">2019-12-19T21:40:31Z</dcterms:modified>
</cp:coreProperties>
</file>