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-230505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8"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753745</wp:posOffset>
            </wp:positionV>
            <wp:extent cx="6991985" cy="5434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985" cy="5434965"/>
                    </a:xfrm>
                    <a:prstGeom prst="rect">
                      <a:avLst/>
                    </a:prstGeom>
                    <a:noFill/>
                  </pic:spPr>
                </pic:pic>
              </a:graphicData>
            </a:graphic>
          </wp:anchor>
        </w:drawing>
      </w:r>
    </w:p>
    <w:p>
      <w:pPr>
        <w:spacing w:after="0" w:line="1262" w:lineRule="exact"/>
        <w:rPr>
          <w:sz w:val="24"/>
          <w:szCs w:val="24"/>
          <w:color w:val="auto"/>
        </w:rPr>
      </w:pPr>
    </w:p>
    <w:p>
      <w:pPr>
        <w:sectPr>
          <w:pgSz w:w="11900" w:h="16838" w:orient="portrait"/>
          <w:cols w:equalWidth="0" w:num="2">
            <w:col w:w="2320" w:space="220"/>
            <w:col w:w="854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Gill Charest Katherine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1515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7"/>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Paramount Skydance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PSKY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3"/>
        <w:spacing w:after="0"/>
        <w:rPr>
          <w:sz w:val="20"/>
          <w:szCs w:val="20"/>
          <w:color w:val="auto"/>
        </w:rPr>
      </w:pPr>
      <w:r>
        <w:rPr>
          <w:rFonts w:ascii="Times New Roman" w:cs="Times New Roman" w:eastAsia="Times New Roman" w:hAnsi="Times New Roman"/>
          <w:sz w:val="17"/>
          <w:szCs w:val="17"/>
          <w:color w:val="0000FF"/>
        </w:rPr>
        <w:t>EVP, Controller &amp; CAO</w:t>
      </w:r>
    </w:p>
    <w:p>
      <w:pPr>
        <w:spacing w:after="0" w:line="320"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10036</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87"/>
              </w:rPr>
              <w:t>7,969</w:t>
            </w:r>
            <w:r>
              <w:rPr>
                <w:rFonts w:ascii="Times New Roman" w:cs="Times New Roman" w:eastAsia="Times New Roman" w:hAnsi="Times New Roman"/>
                <w:sz w:val="21"/>
                <w:szCs w:val="21"/>
                <w:color w:val="008000"/>
                <w:w w:val="87"/>
                <w:vertAlign w:val="superscript"/>
              </w:rPr>
              <w:t>(1)</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76,919</w:t>
            </w:r>
            <w:r>
              <w:rPr>
                <w:rFonts w:ascii="Times New Roman" w:cs="Times New Roman" w:eastAsia="Times New Roman" w:hAnsi="Times New Roman"/>
                <w:sz w:val="21"/>
                <w:szCs w:val="21"/>
                <w:color w:val="008000"/>
                <w:w w:val="91"/>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87"/>
              </w:rPr>
              <w:t>4,069</w:t>
            </w:r>
            <w:r>
              <w:rPr>
                <w:rFonts w:ascii="Times New Roman" w:cs="Times New Roman" w:eastAsia="Times New Roman" w:hAnsi="Times New Roman"/>
                <w:sz w:val="21"/>
                <w:szCs w:val="21"/>
                <w:color w:val="008000"/>
                <w:w w:val="87"/>
                <w:vertAlign w:val="superscript"/>
              </w:rPr>
              <w:t>(3)</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10.78</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72,850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422</w:t>
            </w:r>
          </w:p>
        </w:tc>
        <w:tc>
          <w:tcPr>
            <w:tcW w:w="26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B</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7,969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06/02/2026</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20" w:type="dxa"/>
            <w:vAlign w:val="bottom"/>
          </w:tcPr>
          <w:p>
            <w:pPr>
              <w:ind w:left="380"/>
              <w:spacing w:after="0" w:line="144" w:lineRule="exact"/>
              <w:rPr>
                <w:sz w:val="20"/>
                <w:szCs w:val="20"/>
                <w:color w:val="auto"/>
              </w:rPr>
            </w:pPr>
            <w:r>
              <w:rPr>
                <w:rFonts w:ascii="Times New Roman" w:cs="Times New Roman" w:eastAsia="Times New Roman" w:hAnsi="Times New Roman"/>
                <w:sz w:val="13"/>
                <w:szCs w:val="13"/>
                <w:color w:val="0000FF"/>
              </w:rPr>
              <w:t>7,969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39"/>
              <w:spacing w:after="0" w:line="144" w:lineRule="exact"/>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0.0000</w:t>
            </w:r>
          </w:p>
        </w:tc>
        <w:tc>
          <w:tcPr>
            <w:tcW w:w="62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0000FF"/>
              </w:rPr>
              <w:t>87,659</w:t>
            </w:r>
          </w:p>
        </w:tc>
        <w:tc>
          <w:tcPr>
            <w:tcW w:w="26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4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identified in Table I were issued on June 2, 2026, upon vesting of an installment of Restricted Stock Units ("RSUs") identified in Table II, which were initially granted on March 2, 2026 and generally vest in equal quarterly installments over a three-year period. On June 2, 2026, the closing price of the Class B common stock on The NASDAQ Global Select Market was $10.78 per share.</w:t>
      </w:r>
    </w:p>
    <w:p>
      <w:pPr>
        <w:spacing w:after="0" w:line="15"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periodically pursuant to a dividend reinvestment program meeting the requirements of Rule 16a-11.</w:t>
      </w:r>
    </w:p>
    <w:p>
      <w:pPr>
        <w:spacing w:after="0" w:line="46"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tax liability incident to the vesting of, and delivery of shares underlying, the RSUs, and were not actually sold or otherwise disposed of in an open-market transaction.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Stephanie Kyoko</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6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McKinnon, Attorney-in-Fact</w:t>
            </w: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60" w:type="dxa"/>
            <w:vAlign w:val="bottom"/>
            <w:tcBorders>
              <w:bottom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2602" TargetMode="External"/><Relationship Id="rId14" Type="http://schemas.openxmlformats.org/officeDocument/2006/relationships/hyperlink" Target="http://www.sec.gov/cgi-bin/browse-edgar?action=getcompany&amp;CIK=00020416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2026-06-04T15:58:52Z</dcterms:created>
  <dcterms:modified xsi:type="dcterms:W3CDTF">2026-06-04T15:58:52Z</dcterms:modified>
</cp:coreProperties>
</file>