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3210560</wp:posOffset>
            </wp:positionH>
            <wp:positionV relativeFrom="paragraph">
              <wp:posOffset>149860</wp:posOffset>
            </wp:positionV>
            <wp:extent cx="84455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4455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3210560</wp:posOffset>
            </wp:positionH>
            <wp:positionV relativeFrom="paragraph">
              <wp:posOffset>159385</wp:posOffset>
            </wp:positionV>
            <wp:extent cx="84455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44550" cy="215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1260" w:right="3520" w:hanging="719"/>
        <w:spacing w:after="0" w:line="256" w:lineRule="auto"/>
        <w:tabs>
          <w:tab w:leader="none" w:pos="12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For the fiscal year ended December 31, 2004</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260" w:right="3080" w:hanging="678"/>
        <w:spacing w:after="0" w:line="256" w:lineRule="auto"/>
        <w:tabs>
          <w:tab w:leader="none" w:pos="12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1260"/>
        <w:spacing w:after="0"/>
        <w:tabs>
          <w:tab w:leader="none" w:pos="4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2271395</wp:posOffset>
            </wp:positionH>
            <wp:positionV relativeFrom="paragraph">
              <wp:posOffset>-10160</wp:posOffset>
            </wp:positionV>
            <wp:extent cx="1765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5300" cy="8890"/>
                    </a:xfrm>
                    <a:prstGeom prst="rect">
                      <a:avLst/>
                    </a:prstGeom>
                    <a:noFill/>
                  </pic:spPr>
                </pic:pic>
              </a:graphicData>
            </a:graphic>
          </wp:anchor>
        </w:drawing>
      </w: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001-09553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317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2580" w:type="dxa"/>
        <w:tblCellMar>
          <w:top w:w="0" w:type="dxa"/>
          <w:left w:w="0" w:type="dxa"/>
          <w:bottom w:w="0" w:type="dxa"/>
          <w:right w:w="0" w:type="dxa"/>
        </w:tblCellMar>
      </w:tblPr>
      <w:tr>
        <w:trPr>
          <w:trHeight w:val="216"/>
        </w:trPr>
        <w:tc>
          <w:tcPr>
            <w:tcW w:w="2480" w:type="dxa"/>
            <w:vAlign w:val="bottom"/>
          </w:tcPr>
          <w:p>
            <w:pPr>
              <w:jc w:val="center"/>
              <w:ind w:right="92"/>
              <w:spacing w:after="0"/>
              <w:rPr>
                <w:sz w:val="20"/>
                <w:szCs w:val="20"/>
                <w:color w:val="auto"/>
              </w:rPr>
            </w:pPr>
            <w:r>
              <w:rPr>
                <w:rFonts w:ascii="Arial" w:cs="Arial" w:eastAsia="Arial" w:hAnsi="Arial"/>
                <w:sz w:val="18"/>
                <w:szCs w:val="18"/>
                <w:b w:val="1"/>
                <w:bCs w:val="1"/>
                <w:color w:val="auto"/>
                <w:w w:val="94"/>
              </w:rPr>
              <w:t>DELAWARE</w:t>
            </w:r>
          </w:p>
        </w:tc>
        <w:tc>
          <w:tcPr>
            <w:tcW w:w="3700" w:type="dxa"/>
            <w:vAlign w:val="bottom"/>
            <w:gridSpan w:val="2"/>
          </w:tcPr>
          <w:p>
            <w:pPr>
              <w:jc w:val="center"/>
              <w:ind w:left="1892"/>
              <w:spacing w:after="0"/>
              <w:rPr>
                <w:sz w:val="20"/>
                <w:szCs w:val="20"/>
                <w:color w:val="auto"/>
              </w:rPr>
            </w:pPr>
            <w:r>
              <w:rPr>
                <w:rFonts w:ascii="Arial" w:cs="Arial" w:eastAsia="Arial" w:hAnsi="Arial"/>
                <w:sz w:val="18"/>
                <w:szCs w:val="18"/>
                <w:b w:val="1"/>
                <w:bCs w:val="1"/>
                <w:color w:val="auto"/>
                <w:w w:val="87"/>
              </w:rPr>
              <w:t>04-2949533</w:t>
            </w:r>
          </w:p>
        </w:tc>
      </w:tr>
      <w:tr>
        <w:trPr>
          <w:trHeight w:val="216"/>
        </w:trPr>
        <w:tc>
          <w:tcPr>
            <w:tcW w:w="248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(State or other jurisdiction of</w:t>
            </w:r>
          </w:p>
        </w:tc>
        <w:tc>
          <w:tcPr>
            <w:tcW w:w="1320" w:type="dxa"/>
            <w:vAlign w:val="bottom"/>
          </w:tcPr>
          <w:p>
            <w:pPr>
              <w:spacing w:after="0"/>
              <w:rPr>
                <w:sz w:val="18"/>
                <w:szCs w:val="18"/>
                <w:color w:val="auto"/>
              </w:rPr>
            </w:pPr>
          </w:p>
        </w:tc>
        <w:tc>
          <w:tcPr>
            <w:tcW w:w="2380" w:type="dxa"/>
            <w:vAlign w:val="bottom"/>
          </w:tcPr>
          <w:p>
            <w:pPr>
              <w:jc w:val="center"/>
              <w:ind w:left="552"/>
              <w:spacing w:after="0"/>
              <w:rPr>
                <w:sz w:val="20"/>
                <w:szCs w:val="20"/>
                <w:color w:val="auto"/>
              </w:rPr>
            </w:pPr>
            <w:r>
              <w:rPr>
                <w:rFonts w:ascii="Arial" w:cs="Arial" w:eastAsia="Arial" w:hAnsi="Arial"/>
                <w:sz w:val="18"/>
                <w:szCs w:val="18"/>
                <w:b w:val="1"/>
                <w:bCs w:val="1"/>
                <w:color w:val="auto"/>
                <w:w w:val="91"/>
              </w:rPr>
              <w:t>(I.R.S. Employer</w:t>
            </w:r>
          </w:p>
        </w:tc>
      </w:tr>
      <w:tr>
        <w:trPr>
          <w:trHeight w:val="228"/>
        </w:trPr>
        <w:tc>
          <w:tcPr>
            <w:tcW w:w="2480" w:type="dxa"/>
            <w:vAlign w:val="bottom"/>
          </w:tcPr>
          <w:p>
            <w:pPr>
              <w:jc w:val="center"/>
              <w:ind w:right="92"/>
              <w:spacing w:after="0"/>
              <w:rPr>
                <w:sz w:val="20"/>
                <w:szCs w:val="20"/>
                <w:color w:val="auto"/>
              </w:rPr>
            </w:pPr>
            <w:r>
              <w:rPr>
                <w:rFonts w:ascii="Arial" w:cs="Arial" w:eastAsia="Arial" w:hAnsi="Arial"/>
                <w:sz w:val="18"/>
                <w:szCs w:val="18"/>
                <w:b w:val="1"/>
                <w:bCs w:val="1"/>
                <w:color w:val="auto"/>
                <w:w w:val="89"/>
              </w:rPr>
              <w:t>incorporation or organization)</w:t>
            </w:r>
          </w:p>
        </w:tc>
        <w:tc>
          <w:tcPr>
            <w:tcW w:w="1320" w:type="dxa"/>
            <w:vAlign w:val="bottom"/>
          </w:tcPr>
          <w:p>
            <w:pPr>
              <w:spacing w:after="0"/>
              <w:rPr>
                <w:sz w:val="19"/>
                <w:szCs w:val="19"/>
                <w:color w:val="auto"/>
              </w:rPr>
            </w:pPr>
          </w:p>
        </w:tc>
        <w:tc>
          <w:tcPr>
            <w:tcW w:w="2380" w:type="dxa"/>
            <w:vAlign w:val="bottom"/>
          </w:tcPr>
          <w:p>
            <w:pPr>
              <w:jc w:val="center"/>
              <w:ind w:left="552"/>
              <w:spacing w:after="0"/>
              <w:rPr>
                <w:sz w:val="20"/>
                <w:szCs w:val="20"/>
                <w:color w:val="auto"/>
              </w:rPr>
            </w:pPr>
            <w:r>
              <w:rPr>
                <w:rFonts w:ascii="Arial" w:cs="Arial" w:eastAsia="Arial" w:hAnsi="Arial"/>
                <w:sz w:val="18"/>
                <w:szCs w:val="18"/>
                <w:b w:val="1"/>
                <w:bCs w:val="1"/>
                <w:color w:val="auto"/>
                <w:w w:val="91"/>
              </w:rPr>
              <w:t>Identification Number)</w:t>
            </w:r>
          </w:p>
        </w:tc>
      </w:tr>
      <w:tr>
        <w:trPr>
          <w:trHeight w:val="120"/>
        </w:trPr>
        <w:tc>
          <w:tcPr>
            <w:tcW w:w="248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38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4042410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1515 Broadway</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NY 10036</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(212) 258-6000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including zip code, and telephone number,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3210560</wp:posOffset>
            </wp:positionH>
            <wp:positionV relativeFrom="paragraph">
              <wp:posOffset>142240</wp:posOffset>
            </wp:positionV>
            <wp:extent cx="84455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4455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4"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60" w:type="dxa"/>
            <w:vAlign w:val="bottom"/>
          </w:tcPr>
          <w:p>
            <w:pPr>
              <w:jc w:val="right"/>
              <w:ind w:right="778"/>
              <w:spacing w:after="0"/>
              <w:rPr>
                <w:sz w:val="20"/>
                <w:szCs w:val="20"/>
                <w:color w:val="auto"/>
              </w:rPr>
            </w:pPr>
            <w:r>
              <w:rPr>
                <w:rFonts w:ascii="Arial" w:cs="Arial" w:eastAsia="Arial" w:hAnsi="Arial"/>
                <w:sz w:val="14"/>
                <w:szCs w:val="14"/>
                <w:b w:val="1"/>
                <w:bCs w:val="1"/>
                <w:color w:val="auto"/>
                <w:w w:val="91"/>
              </w:rPr>
              <w:t>Name of Each Exchange on</w:t>
            </w:r>
          </w:p>
        </w:tc>
      </w:tr>
      <w:tr>
        <w:trPr>
          <w:trHeight w:val="174"/>
        </w:trPr>
        <w:tc>
          <w:tcPr>
            <w:tcW w:w="7140" w:type="dxa"/>
            <w:vAlign w:val="bottom"/>
            <w:gridSpan w:val="3"/>
          </w:tcPr>
          <w:p>
            <w:pPr>
              <w:spacing w:after="0"/>
              <w:rPr>
                <w:sz w:val="20"/>
                <w:szCs w:val="20"/>
                <w:color w:val="auto"/>
              </w:rPr>
            </w:pPr>
            <w:r>
              <w:rPr>
                <w:rFonts w:ascii="Arial" w:cs="Arial" w:eastAsia="Arial" w:hAnsi="Arial"/>
                <w:sz w:val="14"/>
                <w:szCs w:val="14"/>
                <w:b w:val="1"/>
                <w:bCs w:val="1"/>
                <w:color w:val="auto"/>
              </w:rPr>
              <w:t>Title of Each Class</w:t>
            </w:r>
          </w:p>
        </w:tc>
        <w:tc>
          <w:tcPr>
            <w:tcW w:w="2560" w:type="dxa"/>
            <w:vAlign w:val="bottom"/>
          </w:tcPr>
          <w:p>
            <w:pPr>
              <w:jc w:val="right"/>
              <w:ind w:right="1058"/>
              <w:spacing w:after="0"/>
              <w:rPr>
                <w:sz w:val="20"/>
                <w:szCs w:val="20"/>
                <w:color w:val="auto"/>
              </w:rPr>
            </w:pPr>
            <w:r>
              <w:rPr>
                <w:rFonts w:ascii="Arial" w:cs="Arial" w:eastAsia="Arial" w:hAnsi="Arial"/>
                <w:sz w:val="14"/>
                <w:szCs w:val="14"/>
                <w:b w:val="1"/>
                <w:bCs w:val="1"/>
                <w:color w:val="auto"/>
              </w:rPr>
              <w:t>Which Registered</w:t>
            </w:r>
          </w:p>
        </w:tc>
      </w:tr>
      <w:tr>
        <w:trPr>
          <w:trHeight w:val="105"/>
        </w:trPr>
        <w:tc>
          <w:tcPr>
            <w:tcW w:w="61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r>
      <w:tr>
        <w:trPr>
          <w:trHeight w:val="313"/>
        </w:trPr>
        <w:tc>
          <w:tcPr>
            <w:tcW w:w="7140" w:type="dxa"/>
            <w:vAlign w:val="bottom"/>
            <w:gridSpan w:val="3"/>
          </w:tcPr>
          <w:p>
            <w:pPr>
              <w:spacing w:after="0"/>
              <w:rPr>
                <w:sz w:val="20"/>
                <w:szCs w:val="20"/>
                <w:color w:val="auto"/>
              </w:rPr>
            </w:pPr>
            <w:r>
              <w:rPr>
                <w:rFonts w:ascii="Arial" w:cs="Arial" w:eastAsia="Arial" w:hAnsi="Arial"/>
                <w:sz w:val="18"/>
                <w:szCs w:val="18"/>
                <w:color w:val="auto"/>
              </w:rPr>
              <w:t>Class A Common Stock, $0.01 par value</w:t>
            </w:r>
          </w:p>
        </w:tc>
        <w:tc>
          <w:tcPr>
            <w:tcW w:w="2560" w:type="dxa"/>
            <w:vAlign w:val="bottom"/>
          </w:tcPr>
          <w:p>
            <w:pPr>
              <w:jc w:val="right"/>
              <w:spacing w:after="0"/>
              <w:rPr>
                <w:sz w:val="20"/>
                <w:szCs w:val="20"/>
                <w:color w:val="auto"/>
              </w:rPr>
            </w:pPr>
            <w:r>
              <w:rPr>
                <w:rFonts w:ascii="Arial" w:cs="Arial" w:eastAsia="Arial" w:hAnsi="Arial"/>
                <w:sz w:val="18"/>
                <w:szCs w:val="18"/>
                <w:color w:val="auto"/>
              </w:rPr>
              <w:t>New York Stock Exchange</w:t>
            </w: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rPr>
              <w:t>Class B Common Stock, $0.01 par value</w:t>
            </w:r>
          </w:p>
        </w:tc>
        <w:tc>
          <w:tcPr>
            <w:tcW w:w="2560" w:type="dxa"/>
            <w:vAlign w:val="bottom"/>
          </w:tcPr>
          <w:p>
            <w:pPr>
              <w:jc w:val="right"/>
              <w:spacing w:after="0"/>
              <w:rPr>
                <w:sz w:val="20"/>
                <w:szCs w:val="20"/>
                <w:color w:val="auto"/>
              </w:rPr>
            </w:pPr>
            <w:r>
              <w:rPr>
                <w:rFonts w:ascii="Arial" w:cs="Arial" w:eastAsia="Arial" w:hAnsi="Arial"/>
                <w:sz w:val="18"/>
                <w:szCs w:val="18"/>
                <w:color w:val="auto"/>
              </w:rPr>
              <w:t>New York Stock Exchange</w:t>
            </w: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rPr>
              <w:t>7.75% Senior Notes due 2005</w:t>
            </w:r>
          </w:p>
        </w:tc>
        <w:tc>
          <w:tcPr>
            <w:tcW w:w="2560" w:type="dxa"/>
            <w:vAlign w:val="bottom"/>
          </w:tcPr>
          <w:p>
            <w:pPr>
              <w:jc w:val="right"/>
              <w:spacing w:after="0"/>
              <w:rPr>
                <w:sz w:val="20"/>
                <w:szCs w:val="20"/>
                <w:color w:val="auto"/>
              </w:rPr>
            </w:pPr>
            <w:r>
              <w:rPr>
                <w:rFonts w:ascii="Arial" w:cs="Arial" w:eastAsia="Arial" w:hAnsi="Arial"/>
                <w:sz w:val="18"/>
                <w:szCs w:val="18"/>
                <w:color w:val="auto"/>
              </w:rPr>
              <w:t>American Stock Exchange</w:t>
            </w: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rPr>
              <w:t>7.625% Senior Debentures due 2016</w:t>
            </w:r>
          </w:p>
        </w:tc>
        <w:tc>
          <w:tcPr>
            <w:tcW w:w="2560" w:type="dxa"/>
            <w:vAlign w:val="bottom"/>
          </w:tcPr>
          <w:p>
            <w:pPr>
              <w:jc w:val="right"/>
              <w:spacing w:after="0"/>
              <w:rPr>
                <w:sz w:val="20"/>
                <w:szCs w:val="20"/>
                <w:color w:val="auto"/>
              </w:rPr>
            </w:pPr>
            <w:r>
              <w:rPr>
                <w:rFonts w:ascii="Arial" w:cs="Arial" w:eastAsia="Arial" w:hAnsi="Arial"/>
                <w:sz w:val="18"/>
                <w:szCs w:val="18"/>
                <w:color w:val="auto"/>
              </w:rPr>
              <w:t>American Stock Exchange</w:t>
            </w:r>
          </w:p>
        </w:tc>
      </w:tr>
      <w:tr>
        <w:trPr>
          <w:trHeight w:val="222"/>
        </w:trPr>
        <w:tc>
          <w:tcPr>
            <w:tcW w:w="7140" w:type="dxa"/>
            <w:vAlign w:val="bottom"/>
            <w:gridSpan w:val="3"/>
          </w:tcPr>
          <w:p>
            <w:pPr>
              <w:spacing w:after="0"/>
              <w:rPr>
                <w:sz w:val="20"/>
                <w:szCs w:val="20"/>
                <w:color w:val="auto"/>
              </w:rPr>
            </w:pPr>
            <w:r>
              <w:rPr>
                <w:rFonts w:ascii="Arial" w:cs="Arial" w:eastAsia="Arial" w:hAnsi="Arial"/>
                <w:sz w:val="18"/>
                <w:szCs w:val="18"/>
                <w:color w:val="auto"/>
              </w:rPr>
              <w:t>7.25% Senior Notes due 2051</w:t>
            </w:r>
          </w:p>
        </w:tc>
        <w:tc>
          <w:tcPr>
            <w:tcW w:w="2560" w:type="dxa"/>
            <w:vAlign w:val="bottom"/>
          </w:tcPr>
          <w:p>
            <w:pPr>
              <w:jc w:val="right"/>
              <w:spacing w:after="0"/>
              <w:rPr>
                <w:sz w:val="20"/>
                <w:szCs w:val="20"/>
                <w:color w:val="auto"/>
              </w:rPr>
            </w:pPr>
            <w:r>
              <w:rPr>
                <w:rFonts w:ascii="Arial" w:cs="Arial" w:eastAsia="Arial" w:hAnsi="Arial"/>
                <w:sz w:val="18"/>
                <w:szCs w:val="18"/>
                <w:color w:val="auto"/>
              </w:rPr>
              <w:t>New York Stock Exchange</w:t>
            </w:r>
          </w:p>
        </w:tc>
      </w:tr>
      <w:tr>
        <w:trPr>
          <w:trHeight w:val="432"/>
        </w:trPr>
        <w:tc>
          <w:tcPr>
            <w:tcW w:w="7140" w:type="dxa"/>
            <w:vAlign w:val="bottom"/>
            <w:gridSpan w:val="3"/>
          </w:tcPr>
          <w:p>
            <w:pPr>
              <w:ind w:left="2680"/>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25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4427855</wp:posOffset>
            </wp:positionH>
            <wp:positionV relativeFrom="paragraph">
              <wp:posOffset>-1040130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-1040130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-1040130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-1040130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None</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w:t>
      </w:r>
    </w:p>
    <w:p>
      <w:pPr>
        <w:spacing w:after="0" w:line="208"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51"/>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62" w:lineRule="exact"/>
        <w:rPr>
          <w:sz w:val="24"/>
          <w:szCs w:val="24"/>
          <w:color w:val="auto"/>
        </w:rPr>
      </w:pPr>
    </w:p>
    <w:p>
      <w:pPr>
        <w:jc w:val="center"/>
        <w:ind w:right="-39"/>
        <w:spacing w:after="0" w:line="207" w:lineRule="exact"/>
        <w:tabs>
          <w:tab w:leader="none" w:pos="140" w:val="left"/>
          <w:tab w:leader="none" w:pos="16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Securities Exchange Act of 1934).</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58" w:lineRule="exact"/>
        <w:rPr>
          <w:sz w:val="24"/>
          <w:szCs w:val="24"/>
          <w:color w:val="auto"/>
        </w:rPr>
      </w:pPr>
    </w:p>
    <w:p>
      <w:pPr>
        <w:jc w:val="both"/>
        <w:ind w:right="280" w:firstLine="341"/>
        <w:spacing w:after="0" w:line="335" w:lineRule="auto"/>
        <w:rPr>
          <w:sz w:val="20"/>
          <w:szCs w:val="20"/>
          <w:color w:val="auto"/>
        </w:rPr>
      </w:pPr>
      <w:r>
        <w:rPr>
          <w:rFonts w:ascii="Arial" w:cs="Arial" w:eastAsia="Arial" w:hAnsi="Arial"/>
          <w:sz w:val="15"/>
          <w:szCs w:val="15"/>
          <w:color w:val="auto"/>
        </w:rPr>
        <w:t>As of June 30, 2004, which was the last business day of the registrant's most recently completed second fiscal quarter, the aggregate market value of the shares of Viacom Inc. Class A Common Stock, $0.01 par value ("Class A Common Stock"), held by non-affiliates was approximately $1,396,419,601 (based upon the closing price of $36.35 per share as reported by the New York Stock Exchange on that date) and the aggregate market value of the shares of the</w:t>
      </w:r>
    </w:p>
    <w:p>
      <w:pPr>
        <w:sectPr>
          <w:pgSz w:w="11900" w:h="16842" w:orient="portrait"/>
          <w:cols w:equalWidth="0" w:num="1">
            <w:col w:w="11320"/>
          </w:cols>
          <w:pgMar w:left="240" w:top="1057" w:right="339" w:bottom="0" w:gutter="0" w:footer="0" w:header="0"/>
        </w:sectPr>
      </w:pPr>
    </w:p>
    <w:bookmarkStart w:id="1" w:name="page2"/>
    <w:bookmarkEnd w:id="1"/>
    <w:p>
      <w:pPr>
        <w:ind w:right="60"/>
        <w:spacing w:after="0" w:line="268" w:lineRule="auto"/>
        <w:rPr>
          <w:sz w:val="20"/>
          <w:szCs w:val="20"/>
          <w:color w:val="auto"/>
        </w:rPr>
      </w:pPr>
      <w:r>
        <w:rPr>
          <w:rFonts w:ascii="Arial" w:cs="Arial" w:eastAsia="Arial" w:hAnsi="Arial"/>
          <w:sz w:val="18"/>
          <w:szCs w:val="18"/>
          <w:color w:val="auto"/>
        </w:rPr>
        <w:t>Viacom Inc. Class B Common Stock, $0.01 par value ("Class B Common Stock"), held by non-affiliates was approximately $53,132,558,671 (based upon the closing price of $35.72 per share as reported by the New York Stock Exchange on that date).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1, 2005, 131,502,564 shares of Class A Common Stock and 1,496,205,266 shares of Class B Common Stock were outstanding.</w:t>
      </w:r>
    </w:p>
    <w:p>
      <w:pPr>
        <w:spacing w:after="0" w:line="24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Portions of Viacom Inc.'s Notice of 2005 Annual Meeting of Stockholders and Proxy Statement to be filed with the Securities and Exchange Commission pursuant to Regulation 14A of the Securities Exchange Act of 1934, as amended (the "Proxy Statement")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right="260" w:firstLine="351"/>
        <w:spacing w:after="0" w:line="255" w:lineRule="auto"/>
        <w:rPr>
          <w:sz w:val="20"/>
          <w:szCs w:val="20"/>
          <w:color w:val="auto"/>
        </w:rPr>
      </w:pPr>
      <w:r>
        <w:rPr>
          <w:rFonts w:ascii="Arial" w:cs="Arial" w:eastAsia="Arial" w:hAnsi="Arial"/>
          <w:sz w:val="18"/>
          <w:szCs w:val="18"/>
          <w:color w:val="auto"/>
        </w:rPr>
        <w:t>On March 16, 2005, Viacom announced that it has been exploring the possible division of its businesses into separate publicly-traded companies, one of which would highlight Viacom's high-growth businesses such as MTV Networks and would be operated by Tom Freston, and one of which would combine its leading CBS broadcast television businesses, growing outdoor business and high free cash flow operations such as radio, which would be operated by Leslie Moonves. Viacom expects to announce further details regarding the possible separation in the second quarter of 2005. No assurance can be given that any transaction will be consummated.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Viacom Inc. (together with its consolidated subsidiaries unless the context otherwise requires, the "Company" or "Viacom") is a diversified worldwide entertainment company with operations in the following segments:</w:t>
      </w:r>
    </w:p>
    <w:p>
      <w:pPr>
        <w:spacing w:after="0" w:line="19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CABLE NETWORKS: The Cable Networks segment consists of </w:t>
      </w:r>
      <w:r>
        <w:rPr>
          <w:rFonts w:ascii="Arial" w:cs="Arial" w:eastAsia="Arial" w:hAnsi="Arial"/>
          <w:sz w:val="16"/>
          <w:szCs w:val="16"/>
          <w:i w:val="1"/>
          <w:iCs w:val="1"/>
          <w:color w:val="auto"/>
        </w:rPr>
        <w:t>MTV Music Television®, Nickelodeon®, Nick at Nite®, VH1®, MTV2™, TV</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i w:val="1"/>
          <w:iCs w:val="1"/>
          <w:color w:val="auto"/>
        </w:rPr>
        <w:t xml:space="preserve">Land®, Spike TV®, CMT®: Country Music Television™, Comedy Central®, BET®, BET Jazz™, </w:t>
      </w:r>
      <w:r>
        <w:rPr>
          <w:rFonts w:ascii="Arial" w:cs="Arial" w:eastAsia="Arial" w:hAnsi="Arial"/>
          <w:sz w:val="16"/>
          <w:szCs w:val="16"/>
          <w:color w:val="auto"/>
        </w:rPr>
        <w:t>and</w:t>
      </w:r>
      <w:r>
        <w:rPr>
          <w:rFonts w:ascii="Arial" w:cs="Arial" w:eastAsia="Arial" w:hAnsi="Arial"/>
          <w:sz w:val="16"/>
          <w:szCs w:val="16"/>
          <w:i w:val="1"/>
          <w:iCs w:val="1"/>
          <w:color w:val="auto"/>
        </w:rPr>
        <w:t xml:space="preserve"> Showtime®, </w:t>
      </w:r>
      <w:r>
        <w:rPr>
          <w:rFonts w:ascii="Arial" w:cs="Arial" w:eastAsia="Arial" w:hAnsi="Arial"/>
          <w:sz w:val="16"/>
          <w:szCs w:val="16"/>
          <w:color w:val="auto"/>
        </w:rPr>
        <w:t>among other program services.</w:t>
      </w:r>
    </w:p>
    <w:p>
      <w:pPr>
        <w:spacing w:after="0" w:line="268" w:lineRule="exact"/>
        <w:rPr>
          <w:rFonts w:ascii="Arial" w:cs="Arial" w:eastAsia="Arial" w:hAnsi="Arial"/>
          <w:sz w:val="16"/>
          <w:szCs w:val="16"/>
          <w:color w:val="auto"/>
        </w:rPr>
      </w:pPr>
    </w:p>
    <w:p>
      <w:pPr>
        <w:ind w:left="1080" w:right="36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TELEVISION: The Television segment consists of the </w:t>
      </w:r>
      <w:r>
        <w:rPr>
          <w:rFonts w:ascii="Arial" w:cs="Arial" w:eastAsia="Arial" w:hAnsi="Arial"/>
          <w:sz w:val="16"/>
          <w:szCs w:val="16"/>
          <w:i w:val="1"/>
          <w:iCs w:val="1"/>
          <w:color w:val="auto"/>
        </w:rPr>
        <w:t>CBS®</w:t>
      </w:r>
      <w:r>
        <w:rPr>
          <w:rFonts w:ascii="Arial" w:cs="Arial" w:eastAsia="Arial" w:hAnsi="Arial"/>
          <w:sz w:val="16"/>
          <w:szCs w:val="16"/>
          <w:color w:val="auto"/>
        </w:rPr>
        <w:t xml:space="preserve"> and </w:t>
      </w:r>
      <w:r>
        <w:rPr>
          <w:rFonts w:ascii="Arial" w:cs="Arial" w:eastAsia="Arial" w:hAnsi="Arial"/>
          <w:sz w:val="16"/>
          <w:szCs w:val="16"/>
          <w:i w:val="1"/>
          <w:iCs w:val="1"/>
          <w:color w:val="auto"/>
        </w:rPr>
        <w:t>UPN®</w:t>
      </w:r>
      <w:r>
        <w:rPr>
          <w:rFonts w:ascii="Arial" w:cs="Arial" w:eastAsia="Arial" w:hAnsi="Arial"/>
          <w:sz w:val="16"/>
          <w:szCs w:val="16"/>
          <w:color w:val="auto"/>
        </w:rPr>
        <w:t xml:space="preserve"> Television Networks, the Company's 39 owned broadcast television stations, and its television production and syndication business, including </w:t>
      </w:r>
      <w:r>
        <w:rPr>
          <w:rFonts w:ascii="Arial" w:cs="Arial" w:eastAsia="Arial" w:hAnsi="Arial"/>
          <w:sz w:val="16"/>
          <w:szCs w:val="16"/>
          <w:i w:val="1"/>
          <w:iCs w:val="1"/>
          <w:color w:val="auto"/>
        </w:rPr>
        <w:t>King World® Productions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Paramount Television™.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RADIO: The Radio segment owns and operates 183 radio stations in 41 United States markets through </w:t>
      </w:r>
      <w:r>
        <w:rPr>
          <w:rFonts w:ascii="Arial" w:cs="Arial" w:eastAsia="Arial" w:hAnsi="Arial"/>
          <w:sz w:val="18"/>
          <w:szCs w:val="18"/>
          <w:i w:val="1"/>
          <w:iCs w:val="1"/>
          <w:color w:val="auto"/>
        </w:rPr>
        <w:t>Infinity Radio®.</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OUTDOOR: The Outdoor segment through </w:t>
      </w:r>
      <w:r>
        <w:rPr>
          <w:rFonts w:ascii="Arial" w:cs="Arial" w:eastAsia="Arial" w:hAnsi="Arial"/>
          <w:sz w:val="18"/>
          <w:szCs w:val="18"/>
          <w:i w:val="1"/>
          <w:iCs w:val="1"/>
          <w:color w:val="auto"/>
        </w:rPr>
        <w:t>Viacom Outdoor®</w:t>
      </w:r>
      <w:r>
        <w:rPr>
          <w:rFonts w:ascii="Arial" w:cs="Arial" w:eastAsia="Arial" w:hAnsi="Arial"/>
          <w:sz w:val="18"/>
          <w:szCs w:val="18"/>
          <w:color w:val="auto"/>
        </w:rPr>
        <w:t xml:space="preserve"> displays advertising on media, including billboards, transit shelters, buses, rail systems (in-car, station platforms and terminals), mall kiosks and stadium signage.</w:t>
      </w:r>
    </w:p>
    <w:p>
      <w:pPr>
        <w:spacing w:after="0" w:line="212"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ENTERTAINMENT: The Entertainment segment includes </w:t>
      </w:r>
      <w:r>
        <w:rPr>
          <w:rFonts w:ascii="Arial" w:cs="Arial" w:eastAsia="Arial" w:hAnsi="Arial"/>
          <w:sz w:val="18"/>
          <w:szCs w:val="18"/>
          <w:i w:val="1"/>
          <w:iCs w:val="1"/>
          <w:color w:val="auto"/>
        </w:rPr>
        <w:t>Paramount Pictures®,</w:t>
      </w:r>
      <w:r>
        <w:rPr>
          <w:rFonts w:ascii="Arial" w:cs="Arial" w:eastAsia="Arial" w:hAnsi="Arial"/>
          <w:sz w:val="18"/>
          <w:szCs w:val="18"/>
          <w:color w:val="auto"/>
        </w:rPr>
        <w:t xml:space="preserve"> which produces and distributes theatrical motion pictures; </w:t>
      </w:r>
      <w:r>
        <w:rPr>
          <w:rFonts w:ascii="Arial" w:cs="Arial" w:eastAsia="Arial" w:hAnsi="Arial"/>
          <w:sz w:val="18"/>
          <w:szCs w:val="18"/>
          <w:i w:val="1"/>
          <w:iCs w:val="1"/>
          <w:color w:val="auto"/>
        </w:rPr>
        <w:t>Simon &amp; Schuster</w:t>
      </w:r>
      <w:r>
        <w:rPr>
          <w:rFonts w:ascii="Arial" w:cs="Arial" w:eastAsia="Arial" w:hAnsi="Arial"/>
          <w:sz w:val="18"/>
          <w:szCs w:val="18"/>
          <w:color w:val="auto"/>
        </w:rPr>
        <w:t>, which publishes and distributes consumer books under imprints such as</w:t>
      </w:r>
      <w:r>
        <w:rPr>
          <w:rFonts w:ascii="Arial" w:cs="Arial" w:eastAsia="Arial" w:hAnsi="Arial"/>
          <w:sz w:val="18"/>
          <w:szCs w:val="18"/>
          <w:i w:val="1"/>
          <w:iCs w:val="1"/>
          <w:color w:val="auto"/>
        </w:rPr>
        <w:t xml:space="preserve"> Simon &amp; Schuster®, Pocket Books®, Scribner®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Free Press™; Paramount Parks®, </w:t>
      </w:r>
      <w:r>
        <w:rPr>
          <w:rFonts w:ascii="Arial" w:cs="Arial" w:eastAsia="Arial" w:hAnsi="Arial"/>
          <w:sz w:val="18"/>
          <w:szCs w:val="18"/>
          <w:color w:val="auto"/>
        </w:rPr>
        <w:t>which is principally engaged in the ownership and operation of five theme parks and a themed attraction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and Canada; and movie theater and music publishing operations.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For the year ended December 31, 2004, contributions to the Company's consolidated revenues from its segments were as follows: Cable Networks 29%, Television 38%, Radio 9%, Outdoor 8% and Entertainment 18%. Intercompany revenue eliminations, as a percentage of total revenues, were 2% for the year ended December 31, 2004. The Company generated approximately 16% of its total revenues from international regions in 2004. For the year ended December 31, 2004, approximately 60% and 23% of total international revenues of $3.7 billion were generated in Europe and Canada, respectively.</w:t>
      </w:r>
    </w:p>
    <w:p>
      <w:pPr>
        <w:spacing w:after="0" w:line="16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During 2004, the Company announced that it would pursue the tax-free split-off of Viacom's approximately 81.5% interest in Blockbuster Inc. ("Blockbuster") (NYSE: BBI) through an exchange offer. In 2004, the Company completed the exchange offer under which Viacom accepted 27,961,165 shares of Viacom common stock in exchange for the 144 million shares of Blockbuster that Viacom owned. Each share of Viacom Class A and Class B Common Stock accepted for exchange by Viacom was exchanged for 5.15 shares of Blockbuster common stock, consisting of 2.575 shares of Blockbuster class A common stock and 2.575 shares of Blockbuster class B common stock. Blockbuster is presented as a discontinued operation for all periods presented herein.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 w:name="page4"/>
    <w:bookmarkEnd w:id="3"/>
    <w:p>
      <w:pPr>
        <w:ind w:left="360"/>
        <w:spacing w:after="0"/>
        <w:rPr>
          <w:sz w:val="20"/>
          <w:szCs w:val="20"/>
          <w:color w:val="auto"/>
        </w:rPr>
      </w:pPr>
      <w:r>
        <w:rPr>
          <w:rFonts w:ascii="Arial" w:cs="Arial" w:eastAsia="Arial" w:hAnsi="Arial"/>
          <w:sz w:val="16"/>
          <w:szCs w:val="16"/>
          <w:color w:val="auto"/>
        </w:rPr>
        <w:t>During 2004, the Company acquired 97.8% of VIVA Media AG, a youth entertainment media company based in Germany, for a total purchase price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$393.6 million. In December 2004, the Company acquired a 10% interest in Spanish Broadcasting System, Inc. ("SBS") and warrants for approximately another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 interest in SBS, in exchange for the Company's 93.3 FM radio station serving the San Francisco market. Also, in December 2004, the Company announced its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agreement to purchase CBS Sacramento, California affiliate, KOVR-TV 13, for $285 million, subject to regulatory approval.</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additional information about significant acquisitions see Note 5 to the Consolidated Financial Statements.</w:t>
      </w:r>
    </w:p>
    <w:p>
      <w:pPr>
        <w:spacing w:after="0" w:line="225"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 xml:space="preserve">As new technologies for delivering content and services evolve, the Company is pursuing opportunities to distribute content to consumers through various media including the Internet, mobile devices, video-on-demand, interactive television and video games. In December 2004, the Company acquired the remaining outstanding interest that it did not already own in SportsLine.com, Inc., a leading online sports media company, and, in January 2005, announced its strategic partnership with Microsoft to extend the reach of </w:t>
      </w:r>
      <w:r>
        <w:rPr>
          <w:rFonts w:ascii="Arial" w:cs="Arial" w:eastAsia="Arial" w:hAnsi="Arial"/>
          <w:sz w:val="18"/>
          <w:szCs w:val="18"/>
          <w:i w:val="1"/>
          <w:iCs w:val="1"/>
          <w:color w:val="auto"/>
        </w:rPr>
        <w:t>MTV Music Television, VH1, CMT: Country Music Television</w:t>
      </w:r>
      <w:r>
        <w:rPr>
          <w:rFonts w:ascii="Arial" w:cs="Arial" w:eastAsia="Arial" w:hAnsi="Arial"/>
          <w:sz w:val="18"/>
          <w:szCs w:val="18"/>
          <w:color w:val="auto"/>
        </w:rPr>
        <w:t xml:space="preserve"> and </w:t>
      </w:r>
      <w:r>
        <w:rPr>
          <w:rFonts w:ascii="Arial" w:cs="Arial" w:eastAsia="Arial" w:hAnsi="Arial"/>
          <w:sz w:val="18"/>
          <w:szCs w:val="18"/>
          <w:i w:val="1"/>
          <w:iCs w:val="1"/>
          <w:color w:val="auto"/>
        </w:rPr>
        <w:t>Comedy Central</w:t>
      </w:r>
      <w:r>
        <w:rPr>
          <w:rFonts w:ascii="Arial" w:cs="Arial" w:eastAsia="Arial" w:hAnsi="Arial"/>
          <w:sz w:val="18"/>
          <w:szCs w:val="18"/>
          <w:color w:val="auto"/>
        </w:rPr>
        <w:t xml:space="preserve"> across a number of digital entertainment products and platforms.</w:t>
      </w:r>
    </w:p>
    <w:p>
      <w:pPr>
        <w:spacing w:after="0" w:line="197"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Company competes with many different entities and media in various markets worldwide. In addition to competition in each business, the Company competes for opportunities in the entertainment business with other diversified international entertainment companies such as Time Warner, News Corporation, Sony Corporation, Clear Channel Communications, The Walt Disney Company and NBC Universal.</w:t>
      </w:r>
    </w:p>
    <w:p>
      <w:pPr>
        <w:spacing w:after="0" w:line="161"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As of March 1, 2005, National Amusements, Inc. ("NAI"), a closely held corporation that owns and operates approximately 1,425 movie screens in the United States ("U.S."), the United Kingdom ("U.K."), South America and Russia and manages 21 movie screens in the U.S. and the U.K., beneficially owned Class A Common Stock of the Company representing approximately 71% of the voting power of all classes of the Company's Common Stock, and approximately 12% of the Company's Class A Common Stock and Class B Common Stock on a combined basis. Owners of the Company's Class A Common Stock are entitled to one vote per share. The Company's Class B Common Stock does not have voting rights. NAI is not subject to the reporting requirements of the Securities Exchange Act of 1934, as amended. Sumner M. Redstone, the controlling shareholder of NAI, is the Chairman of the Board and Chief Executive Officer of the Company.</w:t>
      </w:r>
    </w:p>
    <w:p>
      <w:pPr>
        <w:spacing w:after="0" w:line="20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Company was organized in Delaware in 1986 for the purpose of acquiring the stock of a predecessor. The Company's principal offices are located at 1515 Broadway, New York, New York 10036 (telephone 212/258-6000).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VIACOM BUSINESS SEGMENTS</w:t>
      </w:r>
    </w:p>
    <w:p>
      <w:pPr>
        <w:spacing w:after="0" w:line="225" w:lineRule="exact"/>
        <w:rPr>
          <w:sz w:val="20"/>
          <w:szCs w:val="20"/>
          <w:color w:val="auto"/>
        </w:rPr>
      </w:pPr>
    </w:p>
    <w:p>
      <w:pPr>
        <w:ind w:left="180"/>
        <w:spacing w:after="0"/>
        <w:tabs>
          <w:tab w:leader="none" w:pos="1540" w:val="left"/>
        </w:tabs>
        <w:rPr>
          <w:sz w:val="20"/>
          <w:szCs w:val="20"/>
          <w:color w:val="auto"/>
        </w:rPr>
      </w:pPr>
      <w:r>
        <w:rPr>
          <w:rFonts w:ascii="Arial" w:cs="Arial" w:eastAsia="Arial" w:hAnsi="Arial"/>
          <w:sz w:val="18"/>
          <w:szCs w:val="18"/>
          <w:b w:val="1"/>
          <w:bCs w:val="1"/>
          <w:color w:val="auto"/>
        </w:rPr>
        <w:t>Cable Networks</w:t>
      </w:r>
      <w:r>
        <w:rPr>
          <w:sz w:val="20"/>
          <w:szCs w:val="20"/>
          <w:color w:val="auto"/>
        </w:rPr>
        <w:tab/>
      </w:r>
      <w:r>
        <w:rPr>
          <w:rFonts w:ascii="Arial" w:cs="Arial" w:eastAsia="Arial" w:hAnsi="Arial"/>
          <w:sz w:val="15"/>
          <w:szCs w:val="15"/>
          <w:color w:val="auto"/>
        </w:rPr>
        <w:t>(29%, 27% and 25% of the Company's consolidated revenues in 2004, 2003 and 2002, respectively)</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Company owns and operates advertiser-supported basic cable television program services through MTV Networks ("MTVN") and Black Entertainment Television ("BET") and premium subscription television program services through Showtime Networks Inc. ("SNI") in the U.S. and internationally.</w:t>
      </w:r>
    </w:p>
    <w:p>
      <w:pPr>
        <w:spacing w:after="0" w:line="139"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Generally, the Company's cable networks, which target various demographics, are offered for a fee to cable television operators, distributors of direct-to-home satellite services ("DTH") and other multichannel distributors. Cable television and DTH are currently the predominant means of distribution of the Company's program services in the U.S. Internationally, distribution technology varies region by region.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MTV Networks. </w:t>
      </w:r>
      <w:r>
        <w:rPr>
          <w:rFonts w:ascii="Arial" w:cs="Arial" w:eastAsia="Arial" w:hAnsi="Arial"/>
          <w:sz w:val="18"/>
          <w:szCs w:val="18"/>
          <w:color w:val="auto"/>
        </w:rPr>
        <w:t>In the U.S., MTVN's owned and operated program services include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MTV Music Television ("MTV"), MTV2, Nickelodeon, Nick at Nite, TV</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Land, VH1, Spike TV ("Spike"), CMT: Country Music Television ("CMT"), Comedy Central </w:t>
      </w:r>
      <w:r>
        <w:rPr>
          <w:rFonts w:ascii="Arial" w:cs="Arial" w:eastAsia="Arial" w:hAnsi="Arial"/>
          <w:sz w:val="18"/>
          <w:szCs w:val="18"/>
          <w:color w:val="auto"/>
        </w:rPr>
        <w:t>and</w:t>
      </w:r>
      <w:r>
        <w:rPr>
          <w:rFonts w:ascii="Arial" w:cs="Arial" w:eastAsia="Arial" w:hAnsi="Arial"/>
          <w:sz w:val="18"/>
          <w:szCs w:val="18"/>
          <w:i w:val="1"/>
          <w:iCs w:val="1"/>
          <w:color w:val="auto"/>
        </w:rPr>
        <w:t xml:space="preserve"> MTV U™, </w:t>
      </w:r>
      <w:r>
        <w:rPr>
          <w:rFonts w:ascii="Arial" w:cs="Arial" w:eastAsia="Arial" w:hAnsi="Arial"/>
          <w:sz w:val="18"/>
          <w:szCs w:val="18"/>
          <w:color w:val="auto"/>
        </w:rPr>
        <w:t>among others. Subscriber numbers for MTVN are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Nielsen Media Research® reports.</w:t>
      </w:r>
    </w:p>
    <w:p>
      <w:pPr>
        <w:spacing w:after="0" w:line="194"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MTVN derives revenues principally from two sources: the sale of time on its own networks to advertisers and the receipt of subscription fees from cable television operators, DTH and other distributors. The sale of MTVN advertising time is affected by viewer demographics, viewer ratings and market conditions for advertising time. Adverse changes to any of these factors could have an adverse effect on revenues (see "Viacom Business Segments-Cable Networks Competition"). MTVN programming is comprised of programs that are acquired or originally produced by the Company.</w:t>
      </w:r>
    </w:p>
    <w:p>
      <w:pPr>
        <w:spacing w:after="0" w:line="16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MTV's </w:t>
      </w:r>
      <w:r>
        <w:rPr>
          <w:rFonts w:ascii="Arial" w:cs="Arial" w:eastAsia="Arial" w:hAnsi="Arial"/>
          <w:sz w:val="16"/>
          <w:szCs w:val="16"/>
          <w:color w:val="auto"/>
        </w:rPr>
        <w:t>programming consists of youth-oriented programs including music videos, music-based programming, music and general lifestyle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reality-based programming, comedy and dramatic series, animated programs, news specials, interviews and documentaries. Recent programming highlights include </w:t>
      </w:r>
      <w:r>
        <w:rPr>
          <w:rFonts w:ascii="Arial" w:cs="Arial" w:eastAsia="Arial" w:hAnsi="Arial"/>
          <w:sz w:val="16"/>
          <w:szCs w:val="16"/>
          <w:i w:val="1"/>
          <w:iCs w:val="1"/>
          <w:color w:val="auto"/>
        </w:rPr>
        <w:t>The MTV Video Music Awards, Real World</w:t>
      </w:r>
      <w:r>
        <w:rPr>
          <w:rFonts w:ascii="Arial" w:cs="Arial" w:eastAsia="Arial" w:hAnsi="Arial"/>
          <w:sz w:val="16"/>
          <w:szCs w:val="16"/>
          <w:color w:val="auto"/>
        </w:rPr>
        <w:t xml:space="preserve"> and </w:t>
      </w:r>
      <w:r>
        <w:rPr>
          <w:rFonts w:ascii="Arial" w:cs="Arial" w:eastAsia="Arial" w:hAnsi="Arial"/>
          <w:sz w:val="16"/>
          <w:szCs w:val="16"/>
          <w:i w:val="1"/>
          <w:iCs w:val="1"/>
          <w:color w:val="auto"/>
        </w:rPr>
        <w:t>Punk'd</w:t>
      </w:r>
      <w:r>
        <w:rPr>
          <w:rFonts w:ascii="Arial" w:cs="Arial" w:eastAsia="Arial" w:hAnsi="Arial"/>
          <w:sz w:val="16"/>
          <w:szCs w:val="16"/>
          <w:color w:val="auto"/>
        </w:rPr>
        <w:t xml:space="preserve">. At December 31, 2004, </w:t>
      </w:r>
      <w:r>
        <w:rPr>
          <w:rFonts w:ascii="Arial" w:cs="Arial" w:eastAsia="Arial" w:hAnsi="Arial"/>
          <w:sz w:val="16"/>
          <w:szCs w:val="16"/>
          <w:i w:val="1"/>
          <w:iCs w:val="1"/>
          <w:color w:val="auto"/>
        </w:rPr>
        <w:t>MTV</w:t>
      </w:r>
      <w:r>
        <w:rPr>
          <w:rFonts w:ascii="Arial" w:cs="Arial" w:eastAsia="Arial" w:hAnsi="Arial"/>
          <w:sz w:val="16"/>
          <w:szCs w:val="16"/>
          <w:color w:val="auto"/>
        </w:rPr>
        <w:t xml:space="preserve"> reached approximately 87.5 million domestic subscriber households. </w:t>
      </w:r>
      <w:r>
        <w:rPr>
          <w:rFonts w:ascii="Arial" w:cs="Arial" w:eastAsia="Arial" w:hAnsi="Arial"/>
          <w:sz w:val="16"/>
          <w:szCs w:val="16"/>
          <w:i w:val="1"/>
          <w:iCs w:val="1"/>
          <w:color w:val="auto"/>
        </w:rPr>
        <w:t>MTV2</w:t>
      </w:r>
      <w:r>
        <w:rPr>
          <w:rFonts w:ascii="Arial" w:cs="Arial" w:eastAsia="Arial" w:hAnsi="Arial"/>
          <w:sz w:val="16"/>
          <w:szCs w:val="16"/>
          <w:color w:val="auto"/>
        </w:rPr>
        <w:t>, a spin-off of</w:t>
      </w:r>
      <w:r>
        <w:rPr>
          <w:rFonts w:ascii="Arial" w:cs="Arial" w:eastAsia="Arial" w:hAnsi="Arial"/>
          <w:sz w:val="16"/>
          <w:szCs w:val="16"/>
          <w:i w:val="1"/>
          <w:iCs w:val="1"/>
          <w:color w:val="auto"/>
        </w:rPr>
        <w:t xml:space="preserve"> MTV</w:t>
      </w:r>
      <w:r>
        <w:rPr>
          <w:rFonts w:ascii="Arial" w:cs="Arial" w:eastAsia="Arial" w:hAnsi="Arial"/>
          <w:sz w:val="16"/>
          <w:szCs w:val="16"/>
          <w:color w:val="auto"/>
        </w:rPr>
        <w:t>, features music videos from a broad range of musical genres. At December 31, 2004,</w:t>
      </w:r>
      <w:r>
        <w:rPr>
          <w:rFonts w:ascii="Arial" w:cs="Arial" w:eastAsia="Arial" w:hAnsi="Arial"/>
          <w:sz w:val="16"/>
          <w:szCs w:val="16"/>
          <w:i w:val="1"/>
          <w:iCs w:val="1"/>
          <w:color w:val="auto"/>
        </w:rPr>
        <w:t xml:space="preserve"> MTV2 </w:t>
      </w:r>
      <w:r>
        <w:rPr>
          <w:rFonts w:ascii="Arial" w:cs="Arial" w:eastAsia="Arial" w:hAnsi="Arial"/>
          <w:sz w:val="16"/>
          <w:szCs w:val="16"/>
          <w:color w:val="auto"/>
        </w:rPr>
        <w:t>reached approximately 53.8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domestic subscriber households. MTVN also operates "The Suite from MTV Networks" ("The Suite"), a package containing </w:t>
      </w:r>
      <w:r>
        <w:rPr>
          <w:rFonts w:ascii="Arial" w:cs="Arial" w:eastAsia="Arial" w:hAnsi="Arial"/>
          <w:sz w:val="16"/>
          <w:szCs w:val="16"/>
          <w:i w:val="1"/>
          <w:iCs w:val="1"/>
          <w:color w:val="auto"/>
        </w:rPr>
        <w:t>MTV2</w:t>
      </w:r>
      <w:r>
        <w:rPr>
          <w:rFonts w:ascii="Arial" w:cs="Arial" w:eastAsia="Arial" w:hAnsi="Arial"/>
          <w:sz w:val="16"/>
          <w:szCs w:val="16"/>
          <w:color w:val="auto"/>
        </w:rPr>
        <w:t xml:space="preserve"> and several digital television program services, including </w:t>
      </w:r>
      <w:r>
        <w:rPr>
          <w:rFonts w:ascii="Arial" w:cs="Arial" w:eastAsia="Arial" w:hAnsi="Arial"/>
          <w:sz w:val="16"/>
          <w:szCs w:val="16"/>
          <w:i w:val="1"/>
          <w:iCs w:val="1"/>
          <w:color w:val="auto"/>
        </w:rPr>
        <w:t>VH1 Classic</w:t>
      </w:r>
      <w:r>
        <w:rPr>
          <w:rFonts w:ascii="Arial" w:cs="Arial" w:eastAsia="Arial" w:hAnsi="Arial"/>
          <w:sz w:val="16"/>
          <w:szCs w:val="16"/>
          <w:color w:val="auto"/>
        </w:rPr>
        <w:t xml:space="preserve"> and other music-related services including two Spanish-language music services. The Suite is available through DTH distributors and cable operators offering digital technology. </w:t>
      </w:r>
      <w:r>
        <w:rPr>
          <w:rFonts w:ascii="Arial" w:cs="Arial" w:eastAsia="Arial" w:hAnsi="Arial"/>
          <w:sz w:val="16"/>
          <w:szCs w:val="16"/>
          <w:i w:val="1"/>
          <w:iCs w:val="1"/>
          <w:color w:val="auto"/>
        </w:rPr>
        <w:t>VH1</w:t>
      </w:r>
      <w:r>
        <w:rPr>
          <w:rFonts w:ascii="Arial" w:cs="Arial" w:eastAsia="Arial" w:hAnsi="Arial"/>
          <w:sz w:val="16"/>
          <w:szCs w:val="16"/>
          <w:color w:val="auto"/>
        </w:rPr>
        <w:t xml:space="preserve"> presents music programming including music videos, long form programming, live music events, reality series, documentaries and other pop culture and lifestyle programming. At December 31, 2004, VH1 reached approximately 86.9 million domestic subscriber households. </w:t>
      </w:r>
      <w:r>
        <w:rPr>
          <w:rFonts w:ascii="Arial" w:cs="Arial" w:eastAsia="Arial" w:hAnsi="Arial"/>
          <w:sz w:val="16"/>
          <w:szCs w:val="16"/>
          <w:i w:val="1"/>
          <w:iCs w:val="1"/>
          <w:color w:val="auto"/>
        </w:rPr>
        <w:t>CMT</w:t>
      </w:r>
      <w:r>
        <w:rPr>
          <w:rFonts w:ascii="Arial" w:cs="Arial" w:eastAsia="Arial" w:hAnsi="Arial"/>
          <w:sz w:val="16"/>
          <w:szCs w:val="16"/>
          <w:color w:val="auto"/>
        </w:rPr>
        <w:t xml:space="preserve"> presents country music-related original programming, live concerts and events, as well as country music videos. At December 31, 2004, CMT reached approximately 76.5 million domestic subscriber households. </w:t>
      </w:r>
      <w:r>
        <w:rPr>
          <w:rFonts w:ascii="Arial" w:cs="Arial" w:eastAsia="Arial" w:hAnsi="Arial"/>
          <w:sz w:val="16"/>
          <w:szCs w:val="16"/>
          <w:i w:val="1"/>
          <w:iCs w:val="1"/>
          <w:color w:val="auto"/>
        </w:rPr>
        <w:t>MTV U</w:t>
      </w:r>
      <w:r>
        <w:rPr>
          <w:rFonts w:ascii="Arial" w:cs="Arial" w:eastAsia="Arial" w:hAnsi="Arial"/>
          <w:sz w:val="16"/>
          <w:szCs w:val="16"/>
          <w:color w:val="auto"/>
        </w:rPr>
        <w:t xml:space="preserve"> offers to students on U.S. college campuses a blend of music, news, sports and college-specific programming.</w:t>
      </w:r>
    </w:p>
    <w:p>
      <w:pPr>
        <w:spacing w:after="0" w:line="18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Nickelodeon </w:t>
      </w:r>
      <w:r>
        <w:rPr>
          <w:rFonts w:ascii="Arial" w:cs="Arial" w:eastAsia="Arial" w:hAnsi="Arial"/>
          <w:sz w:val="16"/>
          <w:szCs w:val="16"/>
          <w:color w:val="auto"/>
        </w:rPr>
        <w:t>programming consists primarily of originally produced programs appealing to audiences ages 2 to 11, which includes</w:t>
      </w:r>
      <w:r>
        <w:rPr>
          <w:rFonts w:ascii="Arial" w:cs="Arial" w:eastAsia="Arial" w:hAnsi="Arial"/>
          <w:sz w:val="16"/>
          <w:szCs w:val="16"/>
          <w:i w:val="1"/>
          <w:iCs w:val="1"/>
          <w:color w:val="auto"/>
        </w:rPr>
        <w:t xml:space="preserve"> Nick Jr®</w:t>
      </w:r>
      <w:r>
        <w:rPr>
          <w:rFonts w:ascii="Arial" w:cs="Arial" w:eastAsia="Arial" w:hAnsi="Arial"/>
          <w:sz w:val="16"/>
          <w:szCs w:val="16"/>
          <w:color w:val="auto"/>
        </w:rPr>
        <w:t>, a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block designed for 2 to 5 year olds, and popular shows such as </w:t>
      </w:r>
      <w:r>
        <w:rPr>
          <w:rFonts w:ascii="Arial" w:cs="Arial" w:eastAsia="Arial" w:hAnsi="Arial"/>
          <w:sz w:val="16"/>
          <w:szCs w:val="16"/>
          <w:i w:val="1"/>
          <w:iCs w:val="1"/>
          <w:color w:val="auto"/>
        </w:rPr>
        <w:t>Dora the Explorer, The Fairly OddParents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SpongeBob SquarePants</w:t>
      </w:r>
      <w:r>
        <w:rPr>
          <w:rFonts w:ascii="Arial" w:cs="Arial" w:eastAsia="Arial" w:hAnsi="Arial"/>
          <w:sz w:val="16"/>
          <w:szCs w:val="16"/>
          <w:color w:val="auto"/>
        </w:rPr>
        <w:t xml:space="preserve">. </w:t>
      </w:r>
      <w:r>
        <w:rPr>
          <w:rFonts w:ascii="Arial" w:cs="Arial" w:eastAsia="Arial" w:hAnsi="Arial"/>
          <w:sz w:val="16"/>
          <w:szCs w:val="16"/>
          <w:i w:val="1"/>
          <w:iCs w:val="1"/>
          <w:color w:val="auto"/>
        </w:rPr>
        <w:t>Nick at Nite</w:t>
      </w:r>
      <w:r>
        <w:rPr>
          <w:rFonts w:ascii="Arial" w:cs="Arial" w:eastAsia="Arial" w:hAnsi="Arial"/>
          <w:sz w:val="16"/>
          <w:szCs w:val="16"/>
          <w:color w:val="auto"/>
        </w:rPr>
        <w:t xml:space="preserve"> is telecast in the evening and night-time hours, appeals primarily to audiences ages 18 to 49 and offers mostly situation comedies from various eras and original programming. At December 31, 2004, each of </w:t>
      </w:r>
      <w:r>
        <w:rPr>
          <w:rFonts w:ascii="Arial" w:cs="Arial" w:eastAsia="Arial" w:hAnsi="Arial"/>
          <w:sz w:val="16"/>
          <w:szCs w:val="16"/>
          <w:i w:val="1"/>
          <w:iCs w:val="1"/>
          <w:color w:val="auto"/>
        </w:rPr>
        <w:t>Nickelodeon</w:t>
      </w:r>
      <w:r>
        <w:rPr>
          <w:rFonts w:ascii="Arial" w:cs="Arial" w:eastAsia="Arial" w:hAnsi="Arial"/>
          <w:sz w:val="16"/>
          <w:szCs w:val="16"/>
          <w:color w:val="auto"/>
        </w:rPr>
        <w:t xml:space="preserve"> and </w:t>
      </w:r>
      <w:r>
        <w:rPr>
          <w:rFonts w:ascii="Arial" w:cs="Arial" w:eastAsia="Arial" w:hAnsi="Arial"/>
          <w:sz w:val="16"/>
          <w:szCs w:val="16"/>
          <w:i w:val="1"/>
          <w:iCs w:val="1"/>
          <w:color w:val="auto"/>
        </w:rPr>
        <w:t>Nick at Nite</w:t>
      </w:r>
      <w:r>
        <w:rPr>
          <w:rFonts w:ascii="Arial" w:cs="Arial" w:eastAsia="Arial" w:hAnsi="Arial"/>
          <w:sz w:val="16"/>
          <w:szCs w:val="16"/>
          <w:color w:val="auto"/>
        </w:rPr>
        <w:t xml:space="preserve"> reached approximately 88.5 million domestic subscriber households. </w:t>
      </w:r>
      <w:r>
        <w:rPr>
          <w:rFonts w:ascii="Arial" w:cs="Arial" w:eastAsia="Arial" w:hAnsi="Arial"/>
          <w:sz w:val="16"/>
          <w:szCs w:val="16"/>
          <w:i w:val="1"/>
          <w:iCs w:val="1"/>
          <w:color w:val="auto"/>
        </w:rPr>
        <w:t>Nickelodeon</w:t>
      </w:r>
      <w:r>
        <w:rPr>
          <w:rFonts w:ascii="Arial" w:cs="Arial" w:eastAsia="Arial" w:hAnsi="Arial"/>
          <w:sz w:val="16"/>
          <w:szCs w:val="16"/>
          <w:color w:val="auto"/>
        </w:rPr>
        <w:t xml:space="preserve"> licenses its brands and characters for and in connection with merchandise, home video and publishing worldwide.</w:t>
      </w:r>
    </w:p>
    <w:p>
      <w:pPr>
        <w:spacing w:after="0" w:line="170"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i w:val="1"/>
          <w:iCs w:val="1"/>
          <w:color w:val="auto"/>
        </w:rPr>
        <w:t xml:space="preserve">Comedy Central </w:t>
      </w:r>
      <w:r>
        <w:rPr>
          <w:rFonts w:ascii="Arial" w:cs="Arial" w:eastAsia="Arial" w:hAnsi="Arial"/>
          <w:sz w:val="16"/>
          <w:szCs w:val="16"/>
          <w:color w:val="auto"/>
        </w:rPr>
        <w:t>features comedy programming including</w:t>
      </w:r>
      <w:r>
        <w:rPr>
          <w:rFonts w:ascii="Arial" w:cs="Arial" w:eastAsia="Arial" w:hAnsi="Arial"/>
          <w:sz w:val="16"/>
          <w:szCs w:val="16"/>
          <w:i w:val="1"/>
          <w:iCs w:val="1"/>
          <w:color w:val="auto"/>
        </w:rPr>
        <w:t xml:space="preserve"> The Daily Show with Jon Stewart </w:t>
      </w:r>
      <w:r>
        <w:rPr>
          <w:rFonts w:ascii="Arial" w:cs="Arial" w:eastAsia="Arial" w:hAnsi="Arial"/>
          <w:sz w:val="16"/>
          <w:szCs w:val="16"/>
          <w:color w:val="auto"/>
        </w:rPr>
        <w:t>and</w:t>
      </w:r>
      <w:r>
        <w:rPr>
          <w:rFonts w:ascii="Arial" w:cs="Arial" w:eastAsia="Arial" w:hAnsi="Arial"/>
          <w:sz w:val="16"/>
          <w:szCs w:val="16"/>
          <w:i w:val="1"/>
          <w:iCs w:val="1"/>
          <w:color w:val="auto"/>
        </w:rPr>
        <w:t xml:space="preserve"> Chappelle's Show</w:t>
      </w:r>
      <w:r>
        <w:rPr>
          <w:rFonts w:ascii="Arial" w:cs="Arial" w:eastAsia="Arial" w:hAnsi="Arial"/>
          <w:sz w:val="16"/>
          <w:szCs w:val="16"/>
          <w:color w:val="auto"/>
        </w:rPr>
        <w:t>. At December 31, 2004,</w:t>
      </w:r>
      <w:r>
        <w:rPr>
          <w:rFonts w:ascii="Arial" w:cs="Arial" w:eastAsia="Arial" w:hAnsi="Arial"/>
          <w:sz w:val="16"/>
          <w:szCs w:val="16"/>
          <w:i w:val="1"/>
          <w:iCs w:val="1"/>
          <w:color w:val="auto"/>
        </w:rPr>
        <w:t xml:space="preserve"> Comedy Central </w:t>
      </w:r>
      <w:r>
        <w:rPr>
          <w:rFonts w:ascii="Arial" w:cs="Arial" w:eastAsia="Arial" w:hAnsi="Arial"/>
          <w:sz w:val="16"/>
          <w:szCs w:val="16"/>
          <w:color w:val="auto"/>
        </w:rPr>
        <w:t xml:space="preserve">reached approximately 86.3 million domestic subscriber households. </w:t>
      </w:r>
      <w:r>
        <w:rPr>
          <w:rFonts w:ascii="Arial" w:cs="Arial" w:eastAsia="Arial" w:hAnsi="Arial"/>
          <w:sz w:val="16"/>
          <w:szCs w:val="16"/>
          <w:i w:val="1"/>
          <w:iCs w:val="1"/>
          <w:color w:val="auto"/>
        </w:rPr>
        <w:t>TV Land</w:t>
      </w:r>
      <w:r>
        <w:rPr>
          <w:rFonts w:ascii="Arial" w:cs="Arial" w:eastAsia="Arial" w:hAnsi="Arial"/>
          <w:sz w:val="16"/>
          <w:szCs w:val="16"/>
          <w:color w:val="auto"/>
        </w:rPr>
        <w:t xml:space="preserve"> is comprised of a broad range of well-known television programs including comedies, dramas, westerns, variety, other formats from the 50s through today and original programming. At December 31, 2004, </w:t>
      </w:r>
      <w:r>
        <w:rPr>
          <w:rFonts w:ascii="Arial" w:cs="Arial" w:eastAsia="Arial" w:hAnsi="Arial"/>
          <w:sz w:val="16"/>
          <w:szCs w:val="16"/>
          <w:i w:val="1"/>
          <w:iCs w:val="1"/>
          <w:color w:val="auto"/>
        </w:rPr>
        <w:t>TV Land</w:t>
      </w:r>
      <w:r>
        <w:rPr>
          <w:rFonts w:ascii="Arial" w:cs="Arial" w:eastAsia="Arial" w:hAnsi="Arial"/>
          <w:sz w:val="16"/>
          <w:szCs w:val="16"/>
          <w:color w:val="auto"/>
        </w:rPr>
        <w:t xml:space="preserve"> reached approximately 84.9 million domestic subscriber households. </w:t>
      </w:r>
      <w:r>
        <w:rPr>
          <w:rFonts w:ascii="Arial" w:cs="Arial" w:eastAsia="Arial" w:hAnsi="Arial"/>
          <w:sz w:val="16"/>
          <w:szCs w:val="16"/>
          <w:i w:val="1"/>
          <w:iCs w:val="1"/>
          <w:color w:val="auto"/>
        </w:rPr>
        <w:t>Spike</w:t>
      </w:r>
      <w:r>
        <w:rPr>
          <w:rFonts w:ascii="Arial" w:cs="Arial" w:eastAsia="Arial" w:hAnsi="Arial"/>
          <w:sz w:val="16"/>
          <w:szCs w:val="16"/>
          <w:color w:val="auto"/>
        </w:rPr>
        <w:t xml:space="preserve"> is the first entertainment network for men, appealing primarily to male audiences with a focus on original series, sports entertainment and animated series. At December 31, 2004, </w:t>
      </w:r>
      <w:r>
        <w:rPr>
          <w:rFonts w:ascii="Arial" w:cs="Arial" w:eastAsia="Arial" w:hAnsi="Arial"/>
          <w:sz w:val="16"/>
          <w:szCs w:val="16"/>
          <w:i w:val="1"/>
          <w:iCs w:val="1"/>
          <w:color w:val="auto"/>
        </w:rPr>
        <w:t>Spike</w:t>
      </w:r>
      <w:r>
        <w:rPr>
          <w:rFonts w:ascii="Arial" w:cs="Arial" w:eastAsia="Arial" w:hAnsi="Arial"/>
          <w:sz w:val="16"/>
          <w:szCs w:val="16"/>
          <w:color w:val="auto"/>
        </w:rPr>
        <w:t xml:space="preserve"> reached approximately 88.1 million domestic subscriber households. In 2005, the Company plans to launch </w:t>
      </w:r>
      <w:r>
        <w:rPr>
          <w:rFonts w:ascii="Arial" w:cs="Arial" w:eastAsia="Arial" w:hAnsi="Arial"/>
          <w:sz w:val="16"/>
          <w:szCs w:val="16"/>
          <w:i w:val="1"/>
          <w:iCs w:val="1"/>
          <w:color w:val="auto"/>
        </w:rPr>
        <w:t>LOGO™</w:t>
      </w:r>
      <w:r>
        <w:rPr>
          <w:rFonts w:ascii="Arial" w:cs="Arial" w:eastAsia="Arial" w:hAnsi="Arial"/>
          <w:sz w:val="16"/>
          <w:szCs w:val="16"/>
          <w:color w:val="auto"/>
        </w:rPr>
        <w:t xml:space="preserve">, a gay and lesbian themed network, and </w:t>
      </w:r>
      <w:r>
        <w:rPr>
          <w:rFonts w:ascii="Arial" w:cs="Arial" w:eastAsia="Arial" w:hAnsi="Arial"/>
          <w:sz w:val="16"/>
          <w:szCs w:val="16"/>
          <w:i w:val="1"/>
          <w:iCs w:val="1"/>
          <w:color w:val="auto"/>
        </w:rPr>
        <w:t>MTV World™</w:t>
      </w:r>
      <w:r>
        <w:rPr>
          <w:rFonts w:ascii="Arial" w:cs="Arial" w:eastAsia="Arial" w:hAnsi="Arial"/>
          <w:sz w:val="16"/>
          <w:szCs w:val="16"/>
          <w:color w:val="auto"/>
        </w:rPr>
        <w:t xml:space="preserve">, a domestic program service with channels comprised of programming that is originally produced and programming derived from </w:t>
      </w:r>
      <w:r>
        <w:rPr>
          <w:rFonts w:ascii="Arial" w:cs="Arial" w:eastAsia="Arial" w:hAnsi="Arial"/>
          <w:sz w:val="16"/>
          <w:szCs w:val="16"/>
          <w:i w:val="1"/>
          <w:iCs w:val="1"/>
          <w:color w:val="auto"/>
        </w:rPr>
        <w:t>MTV's</w:t>
      </w:r>
      <w:r>
        <w:rPr>
          <w:rFonts w:ascii="Arial" w:cs="Arial" w:eastAsia="Arial" w:hAnsi="Arial"/>
          <w:sz w:val="16"/>
          <w:szCs w:val="16"/>
          <w:color w:val="auto"/>
        </w:rPr>
        <w:t xml:space="preserve"> international program services. </w:t>
      </w:r>
      <w:r>
        <w:rPr>
          <w:rFonts w:ascii="Arial" w:cs="Arial" w:eastAsia="Arial" w:hAnsi="Arial"/>
          <w:sz w:val="16"/>
          <w:szCs w:val="16"/>
          <w:i w:val="1"/>
          <w:iCs w:val="1"/>
          <w:color w:val="auto"/>
        </w:rPr>
        <w:t>MTV Films®</w:t>
      </w:r>
      <w:r>
        <w:rPr>
          <w:rFonts w:ascii="Arial" w:cs="Arial" w:eastAsia="Arial" w:hAnsi="Arial"/>
          <w:sz w:val="16"/>
          <w:szCs w:val="16"/>
          <w:color w:val="auto"/>
        </w:rPr>
        <w:t xml:space="preserve"> and </w:t>
      </w:r>
      <w:r>
        <w:rPr>
          <w:rFonts w:ascii="Arial" w:cs="Arial" w:eastAsia="Arial" w:hAnsi="Arial"/>
          <w:sz w:val="16"/>
          <w:szCs w:val="16"/>
          <w:i w:val="1"/>
          <w:iCs w:val="1"/>
          <w:color w:val="auto"/>
        </w:rPr>
        <w:t>Nickelodeon Movies™</w:t>
      </w:r>
      <w:r>
        <w:rPr>
          <w:rFonts w:ascii="Arial" w:cs="Arial" w:eastAsia="Arial" w:hAnsi="Arial"/>
          <w:sz w:val="16"/>
          <w:szCs w:val="16"/>
          <w:color w:val="auto"/>
        </w:rPr>
        <w:t xml:space="preserve"> produce and acquire the rights to feature films, all of which were released by Paramount Pictures during 2004. Generally, Paramount Pictures incurs the production and marketing costs of films produced by </w:t>
      </w:r>
      <w:r>
        <w:rPr>
          <w:rFonts w:ascii="Arial" w:cs="Arial" w:eastAsia="Arial" w:hAnsi="Arial"/>
          <w:sz w:val="16"/>
          <w:szCs w:val="16"/>
          <w:i w:val="1"/>
          <w:iCs w:val="1"/>
          <w:color w:val="auto"/>
        </w:rPr>
        <w:t>MTV Films</w:t>
      </w:r>
      <w:r>
        <w:rPr>
          <w:rFonts w:ascii="Arial" w:cs="Arial" w:eastAsia="Arial" w:hAnsi="Arial"/>
          <w:sz w:val="16"/>
          <w:szCs w:val="16"/>
          <w:color w:val="auto"/>
        </w:rPr>
        <w:t xml:space="preserve"> or </w:t>
      </w:r>
      <w:r>
        <w:rPr>
          <w:rFonts w:ascii="Arial" w:cs="Arial" w:eastAsia="Arial" w:hAnsi="Arial"/>
          <w:sz w:val="16"/>
          <w:szCs w:val="16"/>
          <w:i w:val="1"/>
          <w:iCs w:val="1"/>
          <w:color w:val="auto"/>
        </w:rPr>
        <w:t>Nickelodeon Movies</w:t>
      </w:r>
      <w:r>
        <w:rPr>
          <w:rFonts w:ascii="Arial" w:cs="Arial" w:eastAsia="Arial" w:hAnsi="Arial"/>
          <w:sz w:val="16"/>
          <w:szCs w:val="16"/>
          <w:color w:val="auto"/>
        </w:rPr>
        <w:t xml:space="preserve"> and released by Paramount Pictures. </w:t>
      </w:r>
      <w:r>
        <w:rPr>
          <w:rFonts w:ascii="Arial" w:cs="Arial" w:eastAsia="Arial" w:hAnsi="Arial"/>
          <w:sz w:val="16"/>
          <w:szCs w:val="16"/>
          <w:i w:val="1"/>
          <w:iCs w:val="1"/>
          <w:color w:val="auto"/>
        </w:rPr>
        <w:t>MTV Films</w:t>
      </w:r>
      <w:r>
        <w:rPr>
          <w:rFonts w:ascii="Arial" w:cs="Arial" w:eastAsia="Arial" w:hAnsi="Arial"/>
          <w:sz w:val="16"/>
          <w:szCs w:val="16"/>
          <w:color w:val="auto"/>
        </w:rPr>
        <w:t xml:space="preserve"> or </w:t>
      </w:r>
      <w:r>
        <w:rPr>
          <w:rFonts w:ascii="Arial" w:cs="Arial" w:eastAsia="Arial" w:hAnsi="Arial"/>
          <w:sz w:val="16"/>
          <w:szCs w:val="16"/>
          <w:i w:val="1"/>
          <w:iCs w:val="1"/>
          <w:color w:val="auto"/>
        </w:rPr>
        <w:t>Nickelodeon Movies</w:t>
      </w:r>
      <w:r>
        <w:rPr>
          <w:rFonts w:ascii="Arial" w:cs="Arial" w:eastAsia="Arial" w:hAnsi="Arial"/>
          <w:sz w:val="16"/>
          <w:szCs w:val="16"/>
          <w:color w:val="auto"/>
        </w:rPr>
        <w:t xml:space="preserve"> receives a participation based on the performance of these films and producer fees.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ind w:firstLine="351"/>
        <w:spacing w:after="0" w:line="283" w:lineRule="auto"/>
        <w:rPr>
          <w:sz w:val="20"/>
          <w:szCs w:val="20"/>
          <w:color w:val="auto"/>
        </w:rPr>
      </w:pPr>
      <w:r>
        <w:rPr>
          <w:rFonts w:ascii="Arial" w:cs="Arial" w:eastAsia="Arial" w:hAnsi="Arial"/>
          <w:sz w:val="16"/>
          <w:szCs w:val="16"/>
          <w:color w:val="auto"/>
        </w:rPr>
        <w:t xml:space="preserve">Internationally, MTVN owns and operates, participates in as a joint venturer, and licenses third parties to operate, approximately 80 MTVN program services including </w:t>
      </w:r>
      <w:r>
        <w:rPr>
          <w:rFonts w:ascii="Arial" w:cs="Arial" w:eastAsia="Arial" w:hAnsi="Arial"/>
          <w:sz w:val="16"/>
          <w:szCs w:val="16"/>
          <w:i w:val="1"/>
          <w:iCs w:val="1"/>
          <w:color w:val="auto"/>
        </w:rPr>
        <w:t>MTV, VH1, Nickelodeon, Spike, Paramount Comedy™, The Box™, CMT, Game One™, Viva™, TMF™</w:t>
      </w:r>
      <w:r>
        <w:rPr>
          <w:rFonts w:ascii="Arial" w:cs="Arial" w:eastAsia="Arial" w:hAnsi="Arial"/>
          <w:sz w:val="16"/>
          <w:szCs w:val="16"/>
          <w:color w:val="auto"/>
        </w:rPr>
        <w:t xml:space="preserve"> and </w:t>
      </w:r>
      <w:r>
        <w:rPr>
          <w:rFonts w:ascii="Arial" w:cs="Arial" w:eastAsia="Arial" w:hAnsi="Arial"/>
          <w:sz w:val="16"/>
          <w:szCs w:val="16"/>
          <w:i w:val="1"/>
          <w:iCs w:val="1"/>
          <w:color w:val="auto"/>
        </w:rPr>
        <w:t>TV Land</w:t>
      </w:r>
      <w:r>
        <w:rPr>
          <w:rFonts w:ascii="Arial" w:cs="Arial" w:eastAsia="Arial" w:hAnsi="Arial"/>
          <w:sz w:val="16"/>
          <w:szCs w:val="16"/>
          <w:color w:val="auto"/>
        </w:rPr>
        <w:t xml:space="preserve">. These program services reach audiences in Canada, Asia, Europe, Australia, Latin America, the Caribbean and Africa. Most of the </w:t>
      </w:r>
      <w:r>
        <w:rPr>
          <w:rFonts w:ascii="Arial" w:cs="Arial" w:eastAsia="Arial" w:hAnsi="Arial"/>
          <w:sz w:val="16"/>
          <w:szCs w:val="16"/>
          <w:i w:val="1"/>
          <w:iCs w:val="1"/>
          <w:color w:val="auto"/>
        </w:rPr>
        <w:t>MTV</w:t>
      </w:r>
      <w:r>
        <w:rPr>
          <w:rFonts w:ascii="Arial" w:cs="Arial" w:eastAsia="Arial" w:hAnsi="Arial"/>
          <w:sz w:val="16"/>
          <w:szCs w:val="16"/>
          <w:color w:val="auto"/>
        </w:rPr>
        <w:t xml:space="preserve"> international program services are regionally customized for the particular youth viewers through the inclusion of local music, programming and on-air personalities, and use of the local language. </w:t>
      </w:r>
      <w:r>
        <w:rPr>
          <w:rFonts w:ascii="Arial" w:cs="Arial" w:eastAsia="Arial" w:hAnsi="Arial"/>
          <w:sz w:val="16"/>
          <w:szCs w:val="16"/>
          <w:i w:val="1"/>
          <w:iCs w:val="1"/>
          <w:color w:val="auto"/>
        </w:rPr>
        <w:t>MTV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Networks Europe </w:t>
      </w:r>
      <w:r>
        <w:rPr>
          <w:rFonts w:ascii="Arial" w:cs="Arial" w:eastAsia="Arial" w:hAnsi="Arial"/>
          <w:sz w:val="16"/>
          <w:szCs w:val="16"/>
          <w:color w:val="auto"/>
        </w:rPr>
        <w:t>is Europe's most widely distributed cable and satellite network comprising 49 individual music, kids and comedy channels. As of</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November 2004, the leading MTVN program services reached more than 151 million households and 144 million households in Europe and Asia, respectively, and approximately 121 million households in the rest of the world (including the U.S.) through a combination of DTH, cable, and terrestrial distribution. The Company actively pursues the development or acquisition of program services in international markets. During 2004, the Company acquired 97.8% of Viva Media AG, a German-based television company with six channels across Europe; launched </w:t>
      </w:r>
      <w:r>
        <w:rPr>
          <w:rFonts w:ascii="Arial" w:cs="Arial" w:eastAsia="Arial" w:hAnsi="Arial"/>
          <w:sz w:val="16"/>
          <w:szCs w:val="16"/>
          <w:i w:val="1"/>
          <w:iCs w:val="1"/>
          <w:color w:val="auto"/>
        </w:rPr>
        <w:t>VH1</w:t>
      </w:r>
      <w:r>
        <w:rPr>
          <w:rFonts w:ascii="Arial" w:cs="Arial" w:eastAsia="Arial" w:hAnsi="Arial"/>
          <w:sz w:val="16"/>
          <w:szCs w:val="16"/>
          <w:color w:val="auto"/>
        </w:rPr>
        <w:t xml:space="preserve"> in Latin America, and </w:t>
      </w:r>
      <w:r>
        <w:rPr>
          <w:rFonts w:ascii="Arial" w:cs="Arial" w:eastAsia="Arial" w:hAnsi="Arial"/>
          <w:sz w:val="16"/>
          <w:szCs w:val="16"/>
          <w:i w:val="1"/>
          <w:iCs w:val="1"/>
          <w:color w:val="auto"/>
        </w:rPr>
        <w:t>Nickelodeon</w:t>
      </w:r>
      <w:r>
        <w:rPr>
          <w:rFonts w:ascii="Arial" w:cs="Arial" w:eastAsia="Arial" w:hAnsi="Arial"/>
          <w:sz w:val="16"/>
          <w:szCs w:val="16"/>
          <w:color w:val="auto"/>
        </w:rPr>
        <w:t xml:space="preserve"> in Italy; expanded </w:t>
      </w:r>
      <w:r>
        <w:rPr>
          <w:rFonts w:ascii="Arial" w:cs="Arial" w:eastAsia="Arial" w:hAnsi="Arial"/>
          <w:sz w:val="16"/>
          <w:szCs w:val="16"/>
          <w:i w:val="1"/>
          <w:iCs w:val="1"/>
          <w:color w:val="auto"/>
        </w:rPr>
        <w:t>MTV's</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Nickelodeon's </w:t>
      </w:r>
      <w:r>
        <w:rPr>
          <w:rFonts w:ascii="Arial" w:cs="Arial" w:eastAsia="Arial" w:hAnsi="Arial"/>
          <w:sz w:val="16"/>
          <w:szCs w:val="16"/>
          <w:color w:val="auto"/>
        </w:rPr>
        <w:t>presence in China; and, in February 2005, launched</w:t>
      </w:r>
      <w:r>
        <w:rPr>
          <w:rFonts w:ascii="Arial" w:cs="Arial" w:eastAsia="Arial" w:hAnsi="Arial"/>
          <w:sz w:val="16"/>
          <w:szCs w:val="16"/>
          <w:i w:val="1"/>
          <w:iCs w:val="1"/>
          <w:color w:val="auto"/>
        </w:rPr>
        <w:t xml:space="preserve"> MTV base™</w:t>
      </w:r>
      <w:r>
        <w:rPr>
          <w:rFonts w:ascii="Arial" w:cs="Arial" w:eastAsia="Arial" w:hAnsi="Arial"/>
          <w:sz w:val="16"/>
          <w:szCs w:val="16"/>
          <w:color w:val="auto"/>
        </w:rPr>
        <w:t>, a pan-African music television channel.</w:t>
      </w:r>
    </w:p>
    <w:p>
      <w:pPr>
        <w:spacing w:after="0" w:line="17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MTVN, in exchange for cash and advertising time or for promotional consideration only, licenses from record companies music videos for exhibition on </w:t>
      </w:r>
      <w:r>
        <w:rPr>
          <w:rFonts w:ascii="Arial" w:cs="Arial" w:eastAsia="Arial" w:hAnsi="Arial"/>
          <w:sz w:val="18"/>
          <w:szCs w:val="18"/>
          <w:i w:val="1"/>
          <w:iCs w:val="1"/>
          <w:color w:val="auto"/>
        </w:rPr>
        <w:t xml:space="preserve">MTV, MTV2, VH1, CMT </w:t>
      </w:r>
      <w:r>
        <w:rPr>
          <w:rFonts w:ascii="Arial" w:cs="Arial" w:eastAsia="Arial" w:hAnsi="Arial"/>
          <w:sz w:val="18"/>
          <w:szCs w:val="18"/>
          <w:color w:val="auto"/>
        </w:rPr>
        <w:t>and other MTVN programming services. MTVN has entered into global music video licensing agreements with certain major record</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MTVN also has entered into global or regional license agreements with certain independent record companies. MTVN expects to renew or initiate additional global or regional license agreements with these and other record companies. However, there can be no assurance that such renewals or agreements can be concluded and, if so, on favorable terms.</w:t>
      </w:r>
    </w:p>
    <w:p>
      <w:pPr>
        <w:spacing w:after="0" w:line="197"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MTVN operates Internet sites that appeal to the current audiences of its various television program services, as well as to other online audiences, including numerous music Web site destinations around the world. These Web sites provide entertainment and information and serve as an additional outlet for sales of Company-licensed and third-party merchandise. In January 2005, MTVN's Web sites attracted over 17.8 million U.S. monthly unique visitors according to Comscore Media Metrix, a leading online audience research measurement service. These Internet sites derive revenue from a combination of advertising and sponsorships, subscription services and e-commerce. MTVN currently obtains much of its Web site content from record labels, music publishers and artists. Certain of these providers have started charging fees for their content. If providers charge significant fees for their content, or otherwise alter or discontinue their relationship with MTVN's Web sites, then the respective Web site's content offering and business could be adversely affected. In 2005, the Company plans to launch a digital music service that may offer permanent digital downloads, interactive subscription radio, conditional downloads and on-demand streaming, among other features.</w:t>
      </w:r>
    </w:p>
    <w:p>
      <w:pPr>
        <w:spacing w:after="0" w:line="17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BET: Black Entertainment Television. </w:t>
      </w:r>
      <w:r>
        <w:rPr>
          <w:rFonts w:ascii="Arial" w:cs="Arial" w:eastAsia="Arial" w:hAnsi="Arial"/>
          <w:sz w:val="18"/>
          <w:szCs w:val="18"/>
          <w:color w:val="auto"/>
        </w:rPr>
        <w:t>BET's owned and operated cable program services include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BET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BET Jazz™</w:t>
      </w:r>
      <w:r>
        <w:rPr>
          <w:rFonts w:ascii="Arial" w:cs="Arial" w:eastAsia="Arial" w:hAnsi="Arial"/>
          <w:sz w:val="18"/>
          <w:szCs w:val="18"/>
          <w:color w:val="auto"/>
        </w:rPr>
        <w:t>, and its digital services include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BET Gospel® </w:t>
      </w:r>
      <w:r>
        <w:rPr>
          <w:rFonts w:ascii="Arial" w:cs="Arial" w:eastAsia="Arial" w:hAnsi="Arial"/>
          <w:sz w:val="18"/>
          <w:szCs w:val="18"/>
          <w:color w:val="auto"/>
        </w:rPr>
        <w:t>and</w:t>
      </w:r>
      <w:r>
        <w:rPr>
          <w:rFonts w:ascii="Arial" w:cs="Arial" w:eastAsia="Arial" w:hAnsi="Arial"/>
          <w:sz w:val="18"/>
          <w:szCs w:val="18"/>
          <w:i w:val="1"/>
          <w:iCs w:val="1"/>
          <w:color w:val="auto"/>
        </w:rPr>
        <w:t xml:space="preserve"> BET Hip Hop®.</w:t>
      </w:r>
    </w:p>
    <w:p>
      <w:pPr>
        <w:spacing w:after="0" w:line="18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i w:val="1"/>
          <w:iCs w:val="1"/>
          <w:color w:val="auto"/>
        </w:rPr>
        <w:t xml:space="preserve">BET </w:t>
      </w:r>
      <w:r>
        <w:rPr>
          <w:rFonts w:ascii="Arial" w:cs="Arial" w:eastAsia="Arial" w:hAnsi="Arial"/>
          <w:sz w:val="18"/>
          <w:szCs w:val="18"/>
          <w:color w:val="auto"/>
        </w:rPr>
        <w:t>targets the African-American viewing audience by providing a broad mix of music, entertainment, sports, religious, news and public affairs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programming, consisting of both original and acquired programs including </w:t>
      </w:r>
      <w:r>
        <w:rPr>
          <w:rFonts w:ascii="Arial" w:cs="Arial" w:eastAsia="Arial" w:hAnsi="Arial"/>
          <w:sz w:val="18"/>
          <w:szCs w:val="18"/>
          <w:i w:val="1"/>
          <w:iCs w:val="1"/>
          <w:color w:val="auto"/>
        </w:rPr>
        <w:t>106 &amp; Park: BET Top Ten Live</w:t>
      </w:r>
      <w:r>
        <w:rPr>
          <w:rFonts w:ascii="Arial" w:cs="Arial" w:eastAsia="Arial" w:hAnsi="Arial"/>
          <w:sz w:val="18"/>
          <w:szCs w:val="18"/>
          <w:color w:val="auto"/>
        </w:rPr>
        <w:t xml:space="preserve"> and </w:t>
      </w:r>
      <w:r>
        <w:rPr>
          <w:rFonts w:ascii="Arial" w:cs="Arial" w:eastAsia="Arial" w:hAnsi="Arial"/>
          <w:sz w:val="18"/>
          <w:szCs w:val="18"/>
          <w:i w:val="1"/>
          <w:iCs w:val="1"/>
          <w:color w:val="auto"/>
        </w:rPr>
        <w:t>Club Comic View. BET Jazz</w:t>
      </w:r>
      <w:r>
        <w:rPr>
          <w:rFonts w:ascii="Arial" w:cs="Arial" w:eastAsia="Arial" w:hAnsi="Arial"/>
          <w:sz w:val="18"/>
          <w:szCs w:val="18"/>
          <w:color w:val="auto"/>
        </w:rPr>
        <w:t xml:space="preserve">, the only U.S. cable network devoted solely to jazz music, includes programming that consists of a mixture of in-studio performances, festivals, concerts, celebrity interviews and documentaries such as </w:t>
      </w:r>
      <w:r>
        <w:rPr>
          <w:rFonts w:ascii="Arial" w:cs="Arial" w:eastAsia="Arial" w:hAnsi="Arial"/>
          <w:sz w:val="18"/>
          <w:szCs w:val="18"/>
          <w:i w:val="1"/>
          <w:iCs w:val="1"/>
          <w:color w:val="auto"/>
        </w:rPr>
        <w:t>Journey With Jazz At Lincoln Center.</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BET </w:t>
      </w:r>
      <w:r>
        <w:rPr>
          <w:rFonts w:ascii="Arial" w:cs="Arial" w:eastAsia="Arial" w:hAnsi="Arial"/>
          <w:sz w:val="16"/>
          <w:szCs w:val="16"/>
          <w:color w:val="auto"/>
        </w:rPr>
        <w:t>derives its revenue from the sale of advertising time on the networks and from subscription fees generated by license of the network to cable television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operators, DTH and other distributors. As of December 31, 2004, according to the Nielsen Media Research report, </w:t>
      </w:r>
      <w:r>
        <w:rPr>
          <w:rFonts w:ascii="Arial" w:cs="Arial" w:eastAsia="Arial" w:hAnsi="Arial"/>
          <w:sz w:val="16"/>
          <w:szCs w:val="16"/>
          <w:i w:val="1"/>
          <w:iCs w:val="1"/>
          <w:color w:val="auto"/>
        </w:rPr>
        <w:t>BET</w:t>
      </w:r>
      <w:r>
        <w:rPr>
          <w:rFonts w:ascii="Arial" w:cs="Arial" w:eastAsia="Arial" w:hAnsi="Arial"/>
          <w:sz w:val="16"/>
          <w:szCs w:val="16"/>
          <w:color w:val="auto"/>
        </w:rPr>
        <w:t xml:space="preserve"> reached approximately 79.4 million domestic subscriber households. </w:t>
      </w:r>
      <w:r>
        <w:rPr>
          <w:rFonts w:ascii="Arial" w:cs="Arial" w:eastAsia="Arial" w:hAnsi="Arial"/>
          <w:sz w:val="16"/>
          <w:szCs w:val="16"/>
          <w:i w:val="1"/>
          <w:iCs w:val="1"/>
          <w:color w:val="auto"/>
        </w:rPr>
        <w:t>BET Jazz</w:t>
      </w:r>
      <w:r>
        <w:rPr>
          <w:rFonts w:ascii="Arial" w:cs="Arial" w:eastAsia="Arial" w:hAnsi="Arial"/>
          <w:sz w:val="16"/>
          <w:szCs w:val="16"/>
          <w:color w:val="auto"/>
        </w:rPr>
        <w:t xml:space="preserve"> derives its revenue principally from subscription fees generated by license of its network to cable television operators, DTH and other distributors. As of December 31, 2004, </w:t>
      </w:r>
      <w:r>
        <w:rPr>
          <w:rFonts w:ascii="Arial" w:cs="Arial" w:eastAsia="Arial" w:hAnsi="Arial"/>
          <w:sz w:val="16"/>
          <w:szCs w:val="16"/>
          <w:i w:val="1"/>
          <w:iCs w:val="1"/>
          <w:color w:val="auto"/>
        </w:rPr>
        <w:t>BET Jazz</w:t>
      </w:r>
      <w:r>
        <w:rPr>
          <w:rFonts w:ascii="Arial" w:cs="Arial" w:eastAsia="Arial" w:hAnsi="Arial"/>
          <w:sz w:val="16"/>
          <w:szCs w:val="16"/>
          <w:color w:val="auto"/>
        </w:rPr>
        <w:t>, billed approximately 9.7 million domestic subscriber households. Certain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line="268" w:lineRule="auto"/>
        <w:rPr>
          <w:sz w:val="20"/>
          <w:szCs w:val="20"/>
          <w:color w:val="auto"/>
        </w:rPr>
      </w:pPr>
      <w:r>
        <w:rPr>
          <w:rFonts w:ascii="Arial" w:cs="Arial" w:eastAsia="Arial" w:hAnsi="Arial"/>
          <w:sz w:val="18"/>
          <w:szCs w:val="18"/>
          <w:i w:val="1"/>
          <w:iCs w:val="1"/>
          <w:color w:val="auto"/>
        </w:rPr>
        <w:t xml:space="preserve">BET </w:t>
      </w:r>
      <w:r>
        <w:rPr>
          <w:rFonts w:ascii="Arial" w:cs="Arial" w:eastAsia="Arial" w:hAnsi="Arial"/>
          <w:sz w:val="18"/>
          <w:szCs w:val="18"/>
          <w:color w:val="auto"/>
        </w:rPr>
        <w:t>and</w:t>
      </w:r>
      <w:r>
        <w:rPr>
          <w:rFonts w:ascii="Arial" w:cs="Arial" w:eastAsia="Arial" w:hAnsi="Arial"/>
          <w:sz w:val="18"/>
          <w:szCs w:val="18"/>
          <w:i w:val="1"/>
          <w:iCs w:val="1"/>
          <w:color w:val="auto"/>
        </w:rPr>
        <w:t xml:space="preserve"> BET Jazz </w:t>
      </w:r>
      <w:r>
        <w:rPr>
          <w:rFonts w:ascii="Arial" w:cs="Arial" w:eastAsia="Arial" w:hAnsi="Arial"/>
          <w:sz w:val="18"/>
          <w:szCs w:val="18"/>
          <w:color w:val="auto"/>
        </w:rPr>
        <w:t>distribution agreements expired at the end of 2004. BET expects all of these agreements to be renewed or extended through multi-year carriage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deals in 2005. If agreement renewals are not completed, </w:t>
      </w:r>
      <w:r>
        <w:rPr>
          <w:rFonts w:ascii="Arial" w:cs="Arial" w:eastAsia="Arial" w:hAnsi="Arial"/>
          <w:sz w:val="18"/>
          <w:szCs w:val="18"/>
          <w:i w:val="1"/>
          <w:iCs w:val="1"/>
          <w:color w:val="auto"/>
        </w:rPr>
        <w:t>BET</w:t>
      </w:r>
      <w:r>
        <w:rPr>
          <w:rFonts w:ascii="Arial" w:cs="Arial" w:eastAsia="Arial" w:hAnsi="Arial"/>
          <w:sz w:val="18"/>
          <w:szCs w:val="18"/>
          <w:color w:val="auto"/>
        </w:rPr>
        <w:t xml:space="preserve"> and/or </w:t>
      </w:r>
      <w:r>
        <w:rPr>
          <w:rFonts w:ascii="Arial" w:cs="Arial" w:eastAsia="Arial" w:hAnsi="Arial"/>
          <w:sz w:val="18"/>
          <w:szCs w:val="18"/>
          <w:i w:val="1"/>
          <w:iCs w:val="1"/>
          <w:color w:val="auto"/>
        </w:rPr>
        <w:t>BET Jazz</w:t>
      </w:r>
      <w:r>
        <w:rPr>
          <w:rFonts w:ascii="Arial" w:cs="Arial" w:eastAsia="Arial" w:hAnsi="Arial"/>
          <w:sz w:val="18"/>
          <w:szCs w:val="18"/>
          <w:color w:val="auto"/>
        </w:rPr>
        <w:t xml:space="preserve"> could lose subscribers.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BET Gospel </w:t>
      </w:r>
      <w:r>
        <w:rPr>
          <w:rFonts w:ascii="Arial" w:cs="Arial" w:eastAsia="Arial" w:hAnsi="Arial"/>
          <w:sz w:val="16"/>
          <w:szCs w:val="16"/>
          <w:color w:val="auto"/>
        </w:rPr>
        <w:t>and</w:t>
      </w:r>
      <w:r>
        <w:rPr>
          <w:rFonts w:ascii="Arial" w:cs="Arial" w:eastAsia="Arial" w:hAnsi="Arial"/>
          <w:sz w:val="16"/>
          <w:szCs w:val="16"/>
          <w:i w:val="1"/>
          <w:iCs w:val="1"/>
          <w:color w:val="auto"/>
        </w:rPr>
        <w:t xml:space="preserve"> BET Hip Hop </w:t>
      </w:r>
      <w:r>
        <w:rPr>
          <w:rFonts w:ascii="Arial" w:cs="Arial" w:eastAsia="Arial" w:hAnsi="Arial"/>
          <w:sz w:val="16"/>
          <w:szCs w:val="16"/>
          <w:color w:val="auto"/>
        </w:rPr>
        <w:t>are BET's digital services.</w:t>
      </w:r>
      <w:r>
        <w:rPr>
          <w:rFonts w:ascii="Arial" w:cs="Arial" w:eastAsia="Arial" w:hAnsi="Arial"/>
          <w:sz w:val="16"/>
          <w:szCs w:val="16"/>
          <w:i w:val="1"/>
          <w:iCs w:val="1"/>
          <w:color w:val="auto"/>
        </w:rPr>
        <w:t xml:space="preserve"> BET Gospel </w:t>
      </w:r>
      <w:r>
        <w:rPr>
          <w:rFonts w:ascii="Arial" w:cs="Arial" w:eastAsia="Arial" w:hAnsi="Arial"/>
          <w:sz w:val="16"/>
          <w:szCs w:val="16"/>
          <w:color w:val="auto"/>
        </w:rPr>
        <w:t>features gospel music programming, gospel artist performances and interviews,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religious ministries, family programming and programming fare designed to provide spiritual fulfillment. </w:t>
      </w:r>
      <w:r>
        <w:rPr>
          <w:rFonts w:ascii="Arial" w:cs="Arial" w:eastAsia="Arial" w:hAnsi="Arial"/>
          <w:sz w:val="16"/>
          <w:szCs w:val="16"/>
          <w:i w:val="1"/>
          <w:iCs w:val="1"/>
          <w:color w:val="auto"/>
        </w:rPr>
        <w:t>BET Hip Hop</w:t>
      </w:r>
      <w:r>
        <w:rPr>
          <w:rFonts w:ascii="Arial" w:cs="Arial" w:eastAsia="Arial" w:hAnsi="Arial"/>
          <w:sz w:val="16"/>
          <w:szCs w:val="16"/>
          <w:color w:val="auto"/>
        </w:rPr>
        <w:t xml:space="preserve"> features hip-hop and rap music videos, artists and performances. BET Event Productions® produces special musical events and festivals featuring various music genres. Its services include event management, venue selection, talent recruitment and sound, light and stage production including supporting the production needs of </w:t>
      </w:r>
      <w:r>
        <w:rPr>
          <w:rFonts w:ascii="Arial" w:cs="Arial" w:eastAsia="Arial" w:hAnsi="Arial"/>
          <w:sz w:val="16"/>
          <w:szCs w:val="16"/>
          <w:i w:val="1"/>
          <w:iCs w:val="1"/>
          <w:color w:val="auto"/>
        </w:rPr>
        <w:t>BET Jazz</w:t>
      </w:r>
      <w:r>
        <w:rPr>
          <w:rFonts w:ascii="Arial" w:cs="Arial" w:eastAsia="Arial" w:hAnsi="Arial"/>
          <w:sz w:val="16"/>
          <w:szCs w:val="16"/>
          <w:color w:val="auto"/>
        </w:rPr>
        <w:t>. BET Books, BET's book publishing division, publishes romance, inspirational and mainstream fiction books targeted to the African-American market. Its revenues are generated by book sales through a subscriber book club, retail outlets, discount stores and online book merchants.</w:t>
      </w:r>
    </w:p>
    <w:p>
      <w:pPr>
        <w:spacing w:after="0" w:line="174"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 xml:space="preserve">BET has an approximately 42% interest in BET Interactive, LLC, a company which, through its Web site, </w:t>
      </w:r>
      <w:r>
        <w:rPr>
          <w:rFonts w:ascii="Arial" w:cs="Arial" w:eastAsia="Arial" w:hAnsi="Arial"/>
          <w:sz w:val="16"/>
          <w:szCs w:val="16"/>
          <w:i w:val="1"/>
          <w:iCs w:val="1"/>
          <w:color w:val="auto"/>
        </w:rPr>
        <w:t>BET.com</w:t>
      </w:r>
      <w:r>
        <w:rPr>
          <w:rFonts w:ascii="Arial" w:cs="Arial" w:eastAsia="Arial" w:hAnsi="Arial"/>
          <w:sz w:val="16"/>
          <w:szCs w:val="16"/>
          <w:color w:val="auto"/>
        </w:rPr>
        <w:t xml:space="preserve">, offers users content and interactive features for news, entertainment, community and other areas tailored to the unique interests and issues of African Americans. </w:t>
      </w:r>
      <w:r>
        <w:rPr>
          <w:rFonts w:ascii="Arial" w:cs="Arial" w:eastAsia="Arial" w:hAnsi="Arial"/>
          <w:sz w:val="16"/>
          <w:szCs w:val="16"/>
          <w:i w:val="1"/>
          <w:iCs w:val="1"/>
          <w:color w:val="auto"/>
        </w:rPr>
        <w:t>BET.com</w:t>
      </w:r>
      <w:r>
        <w:rPr>
          <w:rFonts w:ascii="Arial" w:cs="Arial" w:eastAsia="Arial" w:hAnsi="Arial"/>
          <w:sz w:val="16"/>
          <w:szCs w:val="16"/>
          <w:color w:val="auto"/>
        </w:rPr>
        <w:t xml:space="preserve"> also provides program schedules for </w:t>
      </w:r>
      <w:r>
        <w:rPr>
          <w:rFonts w:ascii="Arial" w:cs="Arial" w:eastAsia="Arial" w:hAnsi="Arial"/>
          <w:sz w:val="16"/>
          <w:szCs w:val="16"/>
          <w:i w:val="1"/>
          <w:iCs w:val="1"/>
          <w:color w:val="auto"/>
        </w:rPr>
        <w:t>BET</w:t>
      </w:r>
      <w:r>
        <w:rPr>
          <w:rFonts w:ascii="Arial" w:cs="Arial" w:eastAsia="Arial" w:hAnsi="Arial"/>
          <w:sz w:val="16"/>
          <w:szCs w:val="16"/>
          <w:color w:val="auto"/>
        </w:rPr>
        <w:t xml:space="preserve"> and </w:t>
      </w:r>
      <w:r>
        <w:rPr>
          <w:rFonts w:ascii="Arial" w:cs="Arial" w:eastAsia="Arial" w:hAnsi="Arial"/>
          <w:sz w:val="16"/>
          <w:szCs w:val="16"/>
          <w:i w:val="1"/>
          <w:iCs w:val="1"/>
          <w:color w:val="auto"/>
        </w:rPr>
        <w:t>BET Jazz</w:t>
      </w:r>
      <w:r>
        <w:rPr>
          <w:rFonts w:ascii="Arial" w:cs="Arial" w:eastAsia="Arial" w:hAnsi="Arial"/>
          <w:sz w:val="16"/>
          <w:szCs w:val="16"/>
          <w:color w:val="auto"/>
        </w:rPr>
        <w:t xml:space="preserve">, the latest music news, artist information, music offerings and interactive entertainment for BET's programs. In 2004, </w:t>
      </w:r>
      <w:r>
        <w:rPr>
          <w:rFonts w:ascii="Arial" w:cs="Arial" w:eastAsia="Arial" w:hAnsi="Arial"/>
          <w:sz w:val="16"/>
          <w:szCs w:val="16"/>
          <w:i w:val="1"/>
          <w:iCs w:val="1"/>
          <w:color w:val="auto"/>
        </w:rPr>
        <w:t>BET.com</w:t>
      </w:r>
      <w:r>
        <w:rPr>
          <w:rFonts w:ascii="Arial" w:cs="Arial" w:eastAsia="Arial" w:hAnsi="Arial"/>
          <w:sz w:val="16"/>
          <w:szCs w:val="16"/>
          <w:color w:val="auto"/>
        </w:rPr>
        <w:t xml:space="preserve"> attracted approximately 750,000 U.S. monthly unique visitors, according to Nielsen/NetRatings.</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Showtime Networks Inc. </w:t>
      </w:r>
      <w:r>
        <w:rPr>
          <w:rFonts w:ascii="Arial" w:cs="Arial" w:eastAsia="Arial" w:hAnsi="Arial"/>
          <w:sz w:val="16"/>
          <w:szCs w:val="16"/>
          <w:color w:val="auto"/>
        </w:rPr>
        <w:t>SNI owns and operates three commercial-free, premium subscription television program services in the U.S.: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Showtime</w:t>
      </w:r>
      <w:r>
        <w:rPr>
          <w:rFonts w:ascii="Arial" w:cs="Arial" w:eastAsia="Arial" w:hAnsi="Arial"/>
          <w:sz w:val="16"/>
          <w:szCs w:val="16"/>
          <w:color w:val="auto"/>
        </w:rPr>
        <w:t>, offering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recently released theatrical feature films, original series, original motion pictures, documentaries, boxing, concerts and other special events; </w:t>
      </w:r>
      <w:r>
        <w:rPr>
          <w:rFonts w:ascii="Arial" w:cs="Arial" w:eastAsia="Arial" w:hAnsi="Arial"/>
          <w:sz w:val="16"/>
          <w:szCs w:val="16"/>
          <w:i w:val="1"/>
          <w:iCs w:val="1"/>
          <w:color w:val="auto"/>
        </w:rPr>
        <w:t>The Movie Channel™</w:t>
      </w:r>
      <w:r>
        <w:rPr>
          <w:rFonts w:ascii="Arial" w:cs="Arial" w:eastAsia="Arial" w:hAnsi="Arial"/>
          <w:sz w:val="16"/>
          <w:szCs w:val="16"/>
          <w:color w:val="auto"/>
        </w:rPr>
        <w:t xml:space="preserve"> offering recently released theatrical feature films and related programming; and </w:t>
      </w:r>
      <w:r>
        <w:rPr>
          <w:rFonts w:ascii="Arial" w:cs="Arial" w:eastAsia="Arial" w:hAnsi="Arial"/>
          <w:sz w:val="16"/>
          <w:szCs w:val="16"/>
          <w:i w:val="1"/>
          <w:iCs w:val="1"/>
          <w:color w:val="auto"/>
        </w:rPr>
        <w:t>Flix®</w:t>
      </w:r>
      <w:r>
        <w:rPr>
          <w:rFonts w:ascii="Arial" w:cs="Arial" w:eastAsia="Arial" w:hAnsi="Arial"/>
          <w:sz w:val="16"/>
          <w:szCs w:val="16"/>
          <w:color w:val="auto"/>
        </w:rPr>
        <w:t xml:space="preserve">, offering theatrical feature films primarily from the 70s, 80s and 90s, as well as selected other titles. At December 31, 2004, </w:t>
      </w:r>
      <w:r>
        <w:rPr>
          <w:rFonts w:ascii="Arial" w:cs="Arial" w:eastAsia="Arial" w:hAnsi="Arial"/>
          <w:sz w:val="16"/>
          <w:szCs w:val="16"/>
          <w:i w:val="1"/>
          <w:iCs w:val="1"/>
          <w:color w:val="auto"/>
        </w:rPr>
        <w:t>Showtime, The Movie Channel</w:t>
      </w:r>
      <w:r>
        <w:rPr>
          <w:rFonts w:ascii="Arial" w:cs="Arial" w:eastAsia="Arial" w:hAnsi="Arial"/>
          <w:sz w:val="16"/>
          <w:szCs w:val="16"/>
          <w:color w:val="auto"/>
        </w:rPr>
        <w:t xml:space="preserve"> and </w:t>
      </w:r>
      <w:r>
        <w:rPr>
          <w:rFonts w:ascii="Arial" w:cs="Arial" w:eastAsia="Arial" w:hAnsi="Arial"/>
          <w:sz w:val="16"/>
          <w:szCs w:val="16"/>
          <w:i w:val="1"/>
          <w:iCs w:val="1"/>
          <w:color w:val="auto"/>
        </w:rPr>
        <w:t>Flix</w:t>
      </w:r>
      <w:r>
        <w:rPr>
          <w:rFonts w:ascii="Arial" w:cs="Arial" w:eastAsia="Arial" w:hAnsi="Arial"/>
          <w:sz w:val="16"/>
          <w:szCs w:val="16"/>
          <w:color w:val="auto"/>
        </w:rPr>
        <w:t xml:space="preserve">, in the aggregate, had approximately 39.5 million subscriptions in the 50 states, certain U.S. territories and Bermuda. </w:t>
      </w:r>
      <w:r>
        <w:rPr>
          <w:rFonts w:ascii="Arial" w:cs="Arial" w:eastAsia="Arial" w:hAnsi="Arial"/>
          <w:sz w:val="16"/>
          <w:szCs w:val="16"/>
          <w:i w:val="1"/>
          <w:iCs w:val="1"/>
          <w:color w:val="auto"/>
        </w:rPr>
        <w:t>Sundance Channel®</w:t>
      </w:r>
      <w:r>
        <w:rPr>
          <w:rFonts w:ascii="Arial" w:cs="Arial" w:eastAsia="Arial" w:hAnsi="Arial"/>
          <w:sz w:val="16"/>
          <w:szCs w:val="16"/>
          <w:color w:val="auto"/>
        </w:rPr>
        <w:t>, a venture among SNI, which owns a 30% interest, an affiliate of Robert Redford and NBC Universal, is a commercial-free premium subscription television program service in the U.S., dedicated to independent film, featuring original programming, American independent films, documentaries, foreign and classic art films, shorts and animation, with an emphasis on recently released titles.</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 xml:space="preserve">SNI also owns and operates several different channels of </w:t>
      </w:r>
      <w:r>
        <w:rPr>
          <w:rFonts w:ascii="Arial" w:cs="Arial" w:eastAsia="Arial" w:hAnsi="Arial"/>
          <w:sz w:val="16"/>
          <w:szCs w:val="16"/>
          <w:i w:val="1"/>
          <w:iCs w:val="1"/>
          <w:color w:val="auto"/>
        </w:rPr>
        <w:t>Showtime</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Movie Channel</w:t>
      </w:r>
      <w:r>
        <w:rPr>
          <w:rFonts w:ascii="Arial" w:cs="Arial" w:eastAsia="Arial" w:hAnsi="Arial"/>
          <w:sz w:val="16"/>
          <w:szCs w:val="16"/>
          <w:color w:val="auto"/>
        </w:rPr>
        <w:t xml:space="preserve"> in the U.S. which offer more and varied programming choices. In addition, SNI transmits high definition television feeds of </w:t>
      </w:r>
      <w:r>
        <w:rPr>
          <w:rFonts w:ascii="Arial" w:cs="Arial" w:eastAsia="Arial" w:hAnsi="Arial"/>
          <w:sz w:val="16"/>
          <w:szCs w:val="16"/>
          <w:i w:val="1"/>
          <w:iCs w:val="1"/>
          <w:color w:val="auto"/>
        </w:rPr>
        <w:t>Showtime</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Movie Channel</w:t>
      </w:r>
      <w:r>
        <w:rPr>
          <w:rFonts w:ascii="Arial" w:cs="Arial" w:eastAsia="Arial" w:hAnsi="Arial"/>
          <w:sz w:val="16"/>
          <w:szCs w:val="16"/>
          <w:color w:val="auto"/>
        </w:rPr>
        <w:t xml:space="preserve"> and also makes versions of </w:t>
      </w:r>
      <w:r>
        <w:rPr>
          <w:rFonts w:ascii="Arial" w:cs="Arial" w:eastAsia="Arial" w:hAnsi="Arial"/>
          <w:sz w:val="16"/>
          <w:szCs w:val="16"/>
          <w:i w:val="1"/>
          <w:iCs w:val="1"/>
          <w:color w:val="auto"/>
        </w:rPr>
        <w:t>Showtime</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Movie Channel</w:t>
      </w:r>
      <w:r>
        <w:rPr>
          <w:rFonts w:ascii="Arial" w:cs="Arial" w:eastAsia="Arial" w:hAnsi="Arial"/>
          <w:sz w:val="16"/>
          <w:szCs w:val="16"/>
          <w:color w:val="auto"/>
        </w:rPr>
        <w:t xml:space="preserve"> available on demand, enabling subscribers to watch individual programs at their convenience. SNI also provides special events, such as high-profile boxing events, to licensees on a pay-per-view basis through </w:t>
      </w:r>
      <w:r>
        <w:rPr>
          <w:rFonts w:ascii="Arial" w:cs="Arial" w:eastAsia="Arial" w:hAnsi="Arial"/>
          <w:sz w:val="16"/>
          <w:szCs w:val="16"/>
          <w:i w:val="1"/>
          <w:iCs w:val="1"/>
          <w:color w:val="auto"/>
        </w:rPr>
        <w:t>Showtime PPV™</w:t>
      </w:r>
      <w:r>
        <w:rPr>
          <w:rFonts w:ascii="Arial" w:cs="Arial" w:eastAsia="Arial" w:hAnsi="Arial"/>
          <w:sz w:val="16"/>
          <w:szCs w:val="16"/>
          <w:color w:val="auto"/>
        </w:rPr>
        <w:t xml:space="preserve">. SNI also operates Web site </w:t>
      </w:r>
      <w:r>
        <w:rPr>
          <w:rFonts w:ascii="Arial" w:cs="Arial" w:eastAsia="Arial" w:hAnsi="Arial"/>
          <w:sz w:val="16"/>
          <w:szCs w:val="16"/>
          <w:i w:val="1"/>
          <w:iCs w:val="1"/>
          <w:color w:val="auto"/>
        </w:rPr>
        <w:t>SHO.com</w:t>
      </w:r>
      <w:r>
        <w:rPr>
          <w:rFonts w:ascii="Arial" w:cs="Arial" w:eastAsia="Arial" w:hAnsi="Arial"/>
          <w:sz w:val="16"/>
          <w:szCs w:val="16"/>
          <w:color w:val="auto"/>
        </w:rPr>
        <w:t xml:space="preserve"> which promotes </w:t>
      </w:r>
      <w:r>
        <w:rPr>
          <w:rFonts w:ascii="Arial" w:cs="Arial" w:eastAsia="Arial" w:hAnsi="Arial"/>
          <w:sz w:val="16"/>
          <w:szCs w:val="16"/>
          <w:i w:val="1"/>
          <w:iCs w:val="1"/>
          <w:color w:val="auto"/>
        </w:rPr>
        <w:t>Showtime, The Movie Channel</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Flix </w:t>
      </w:r>
      <w:r>
        <w:rPr>
          <w:rFonts w:ascii="Arial" w:cs="Arial" w:eastAsia="Arial" w:hAnsi="Arial"/>
          <w:sz w:val="16"/>
          <w:szCs w:val="16"/>
          <w:color w:val="auto"/>
        </w:rPr>
        <w:t>programming, and provides information and entertainment and other services.</w:t>
      </w:r>
    </w:p>
    <w:p>
      <w:pPr>
        <w:spacing w:after="0" w:line="170" w:lineRule="exact"/>
        <w:rPr>
          <w:sz w:val="20"/>
          <w:szCs w:val="20"/>
          <w:color w:val="auto"/>
        </w:rPr>
      </w:pPr>
    </w:p>
    <w:p>
      <w:pPr>
        <w:ind w:right="160" w:firstLine="351"/>
        <w:spacing w:after="0" w:line="288" w:lineRule="auto"/>
        <w:rPr>
          <w:sz w:val="20"/>
          <w:szCs w:val="20"/>
          <w:color w:val="auto"/>
        </w:rPr>
      </w:pPr>
      <w:r>
        <w:rPr>
          <w:rFonts w:ascii="Arial" w:cs="Arial" w:eastAsia="Arial" w:hAnsi="Arial"/>
          <w:sz w:val="16"/>
          <w:szCs w:val="16"/>
          <w:color w:val="auto"/>
        </w:rPr>
        <w:t xml:space="preserve">SNI derives revenue principally from the license of its networks to cable television operators, DTH and other distributors. The costs of acquiring premium television rights to programming and producing original motion pictures and series are the principal expenses of SNI. SNI enters into commitments to acquire rights, with an emphasis on acquiring exclusive rights for </w:t>
      </w:r>
      <w:r>
        <w:rPr>
          <w:rFonts w:ascii="Arial" w:cs="Arial" w:eastAsia="Arial" w:hAnsi="Arial"/>
          <w:sz w:val="16"/>
          <w:szCs w:val="16"/>
          <w:i w:val="1"/>
          <w:iCs w:val="1"/>
          <w:color w:val="auto"/>
        </w:rPr>
        <w:t>Showtime</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Movie Channel</w:t>
      </w:r>
      <w:r>
        <w:rPr>
          <w:rFonts w:ascii="Arial" w:cs="Arial" w:eastAsia="Arial" w:hAnsi="Arial"/>
          <w:sz w:val="16"/>
          <w:szCs w:val="16"/>
          <w:color w:val="auto"/>
        </w:rPr>
        <w:t xml:space="preserve">, from major or independent motion picture producers and other distributors typically covering the U.S. and Bermuda for varying durations. For example, for Paramount Pictures' feature films theatrically released beginning January 1, 1998, SNI has had the exclusive U.S. premium subscription television rights for certain windows (see "Viacom Business Segments-Entertainment"). SNI also arranges for the development, production and acquisition of original programs, series, documentaries and motion pictures. SNI's original series include </w:t>
      </w:r>
      <w:r>
        <w:rPr>
          <w:rFonts w:ascii="Arial" w:cs="Arial" w:eastAsia="Arial" w:hAnsi="Arial"/>
          <w:sz w:val="16"/>
          <w:szCs w:val="16"/>
          <w:i w:val="1"/>
          <w:iCs w:val="1"/>
          <w:color w:val="auto"/>
        </w:rPr>
        <w:t xml:space="preserve">Huff, Fat Actress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L Word</w:t>
      </w:r>
      <w:r>
        <w:rPr>
          <w:rFonts w:ascii="Arial" w:cs="Arial" w:eastAsia="Arial" w:hAnsi="Arial"/>
          <w:sz w:val="16"/>
          <w:szCs w:val="16"/>
          <w:color w:val="auto"/>
        </w:rPr>
        <w:t>, among others. SNI has entered into and may from time to time enter into co-financing, co-production and/or co-distribution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with other parties to reduce the net cost to SNI for its original programming. In addition, SNI has established a distribution arm to maximize revenue from the rights it retains in certain of its original programming.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ind w:left="540"/>
        <w:spacing w:after="0"/>
        <w:rPr>
          <w:sz w:val="20"/>
          <w:szCs w:val="20"/>
          <w:color w:val="auto"/>
        </w:rPr>
      </w:pPr>
      <w:r>
        <w:rPr>
          <w:rFonts w:ascii="Arial" w:cs="Arial" w:eastAsia="Arial" w:hAnsi="Arial"/>
          <w:sz w:val="18"/>
          <w:szCs w:val="18"/>
          <w:b w:val="1"/>
          <w:bCs w:val="1"/>
          <w:color w:val="auto"/>
        </w:rPr>
        <w:t>Cable Networks Competition.</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MTV Networks. </w:t>
      </w:r>
      <w:r>
        <w:rPr>
          <w:rFonts w:ascii="Arial" w:cs="Arial" w:eastAsia="Arial" w:hAnsi="Arial"/>
          <w:sz w:val="16"/>
          <w:szCs w:val="16"/>
          <w:color w:val="auto"/>
        </w:rPr>
        <w:t>MTVN competes for advertising revenue with other basic cable and broadcast television networks, radio, online and print media. For basic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cable television networks such as the MTVN services, advertising revenues derived by each program service depend on the number of households subscribing to the service through local cable operators and other distributors, in addition to household and demographic viewership as determined by research companies such as Nielsen Media Research. MTVN's strategy is generally to differentiate its services to provide advertising buyers with an efficient way to reach viewers in particular demographic categories. For example, </w:t>
      </w:r>
      <w:r>
        <w:rPr>
          <w:rFonts w:ascii="Arial" w:cs="Arial" w:eastAsia="Arial" w:hAnsi="Arial"/>
          <w:sz w:val="16"/>
          <w:szCs w:val="16"/>
          <w:i w:val="1"/>
          <w:iCs w:val="1"/>
          <w:color w:val="auto"/>
        </w:rPr>
        <w:t>Nickelodeon</w:t>
      </w:r>
      <w:r>
        <w:rPr>
          <w:rFonts w:ascii="Arial" w:cs="Arial" w:eastAsia="Arial" w:hAnsi="Arial"/>
          <w:sz w:val="16"/>
          <w:szCs w:val="16"/>
          <w:color w:val="auto"/>
        </w:rPr>
        <w:t xml:space="preserve"> generally provides advertisers with an efficient way to reach viewers 2 to 11 years old.</w:t>
      </w:r>
    </w:p>
    <w:p>
      <w:pPr>
        <w:spacing w:after="0" w:line="170"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MTVN services compete with other cable services and broadcast television for the acquisition of popular programming. For example, programming blocks for children exhibited on broadcast television networks, including "Fox Kids," "Kids' WB," a Saturday morning block on ABC, and cable television program services specifically providing children-oriented programming, including the Cartoon Network, Disney Channel and ABC Family Channel, all compete with </w:t>
      </w:r>
      <w:r>
        <w:rPr>
          <w:rFonts w:ascii="Arial" w:cs="Arial" w:eastAsia="Arial" w:hAnsi="Arial"/>
          <w:sz w:val="16"/>
          <w:szCs w:val="16"/>
          <w:i w:val="1"/>
          <w:iCs w:val="1"/>
          <w:color w:val="auto"/>
        </w:rPr>
        <w:t xml:space="preserve">Nickelodeon </w:t>
      </w:r>
      <w:r>
        <w:rPr>
          <w:rFonts w:ascii="Arial" w:cs="Arial" w:eastAsia="Arial" w:hAnsi="Arial"/>
          <w:sz w:val="16"/>
          <w:szCs w:val="16"/>
          <w:color w:val="auto"/>
        </w:rPr>
        <w:t>for advertising revenue. In addition,</w:t>
      </w:r>
      <w:r>
        <w:rPr>
          <w:rFonts w:ascii="Arial" w:cs="Arial" w:eastAsia="Arial" w:hAnsi="Arial"/>
          <w:sz w:val="16"/>
          <w:szCs w:val="16"/>
          <w:i w:val="1"/>
          <w:iCs w:val="1"/>
          <w:color w:val="auto"/>
        </w:rPr>
        <w:t xml:space="preserve"> Nickelodeon </w:t>
      </w:r>
      <w:r>
        <w:rPr>
          <w:rFonts w:ascii="Arial" w:cs="Arial" w:eastAsia="Arial" w:hAnsi="Arial"/>
          <w:sz w:val="16"/>
          <w:szCs w:val="16"/>
          <w:color w:val="auto"/>
        </w:rPr>
        <w:t>competes internationally with other television program services and blocks targeted at children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over-the-air or by cable, DTH and other systems, and for distribution license fees and advertising revenue.</w:t>
      </w:r>
    </w:p>
    <w:p>
      <w:pPr>
        <w:spacing w:after="0" w:line="170"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MTVN services compete for carriage by cable television operators, DTH and other distributors with other program services, as well as other uses of bandwidth, such as retransmission of free over-the-air broadcast networks, telephony and data transmission. A principal focus of competition is for distribution of MTVN's services that are not already distributed within a particular cable or DTH system. For such program services, distributors make decisions on the use of bandwidth based on various considerations, including amounts paid by programmers for launches, subscription fees payable by distributors, and appeal to the distributors' subscribers.</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Certain major record companies that supply music content to various MTVN program services also operate music-based program services, including Viewsic, which is owned by Sony Music Japan. The Universal Music Group has announced its intention to launch three music channels in 2005 to be carried on the EchoStar direct broadcast satellite platform. These music-based program services, as well as general entertainment and other program services, compete with MTVN's program services for distribution by cable, DTH and other systems, and for distribution license fees and advertising revenues.</w:t>
      </w:r>
    </w:p>
    <w:p>
      <w:pPr>
        <w:spacing w:after="0" w:line="16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BET: Black Entertainment Television. </w:t>
      </w:r>
      <w:r>
        <w:rPr>
          <w:rFonts w:ascii="Arial" w:cs="Arial" w:eastAsia="Arial" w:hAnsi="Arial"/>
          <w:sz w:val="18"/>
          <w:szCs w:val="18"/>
          <w:color w:val="auto"/>
        </w:rPr>
        <w:t>BET properties generally face competition for advertising revenue from other African-American targeted media,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other cable networks that target BET's African-American audience such as TV One, African-American-oriented radio stations, magazines such as Ebony, Black Enterprise, Jet and Essence, and African-American-oriented broadcast television as well as with other media, generally. In addition, </w:t>
      </w:r>
      <w:r>
        <w:rPr>
          <w:rFonts w:ascii="Arial" w:cs="Arial" w:eastAsia="Arial" w:hAnsi="Arial"/>
          <w:sz w:val="18"/>
          <w:szCs w:val="18"/>
          <w:i w:val="1"/>
          <w:iCs w:val="1"/>
          <w:color w:val="auto"/>
        </w:rPr>
        <w:t>BET, BET Jazz,</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BET Gospel </w:t>
      </w:r>
      <w:r>
        <w:rPr>
          <w:rFonts w:ascii="Arial" w:cs="Arial" w:eastAsia="Arial" w:hAnsi="Arial"/>
          <w:sz w:val="18"/>
          <w:szCs w:val="18"/>
          <w:color w:val="auto"/>
        </w:rPr>
        <w:t>and</w:t>
      </w:r>
      <w:r>
        <w:rPr>
          <w:rFonts w:ascii="Arial" w:cs="Arial" w:eastAsia="Arial" w:hAnsi="Arial"/>
          <w:sz w:val="18"/>
          <w:szCs w:val="18"/>
          <w:i w:val="1"/>
          <w:iCs w:val="1"/>
          <w:color w:val="auto"/>
        </w:rPr>
        <w:t xml:space="preserve"> BET Hip Hop </w:t>
      </w:r>
      <w:r>
        <w:rPr>
          <w:rFonts w:ascii="Arial" w:cs="Arial" w:eastAsia="Arial" w:hAnsi="Arial"/>
          <w:sz w:val="18"/>
          <w:szCs w:val="18"/>
          <w:color w:val="auto"/>
        </w:rPr>
        <w:t>compete with other cable programming services for available channel space as well as other uses of bandwidth and for subscriber</w:t>
      </w:r>
      <w:r>
        <w:rPr>
          <w:rFonts w:ascii="Arial" w:cs="Arial" w:eastAsia="Arial" w:hAnsi="Arial"/>
          <w:sz w:val="18"/>
          <w:szCs w:val="18"/>
          <w:i w:val="1"/>
          <w:iCs w:val="1"/>
          <w:color w:val="auto"/>
        </w:rPr>
        <w:t xml:space="preserve"> </w:t>
      </w:r>
      <w:r>
        <w:rPr>
          <w:rFonts w:ascii="Arial" w:cs="Arial" w:eastAsia="Arial" w:hAnsi="Arial"/>
          <w:sz w:val="18"/>
          <w:szCs w:val="18"/>
          <w:color w:val="auto"/>
        </w:rPr>
        <w:t>fees from cable, DTH and other distributors.</w:t>
      </w:r>
    </w:p>
    <w:p>
      <w:pPr>
        <w:spacing w:after="0" w:line="197"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For 2004, according to information from the Nielsen Media Research report (December 28, 2003-December 26, 2004), the Company's basic cable networks had the following percentage shares in the total day ad supported cable networks category: approximately 42% (for viewers ages 2-24), 36% (for viewers ages 2-34), 30% (for viewers ages 12-34) and 21% (for viewers ages 18-49).</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ind w:firstLine="351"/>
        <w:spacing w:after="0" w:line="289" w:lineRule="auto"/>
        <w:rPr>
          <w:sz w:val="20"/>
          <w:szCs w:val="20"/>
          <w:color w:val="auto"/>
        </w:rPr>
      </w:pPr>
      <w:r>
        <w:rPr>
          <w:rFonts w:ascii="Arial" w:cs="Arial" w:eastAsia="Arial" w:hAnsi="Arial"/>
          <w:sz w:val="16"/>
          <w:szCs w:val="16"/>
          <w:i w:val="1"/>
          <w:iCs w:val="1"/>
          <w:color w:val="auto"/>
        </w:rPr>
        <w:t xml:space="preserve">Showtime Networks Inc. </w:t>
      </w:r>
      <w:r>
        <w:rPr>
          <w:rFonts w:ascii="Arial" w:cs="Arial" w:eastAsia="Arial" w:hAnsi="Arial"/>
          <w:sz w:val="16"/>
          <w:szCs w:val="16"/>
          <w:color w:val="auto"/>
        </w:rPr>
        <w:t>Competition among premium subscription television program services in the U.S. is primarily dependent on: (i) the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packaging of an adequate number of recently released theatrical motion pictures and the production, acquisition and packaging of original series, original motion pictures and other original programs; and (ii) the offering of prices, marketing and advertising support and other incentives to cable, DTH and other distributors for carriage so as to favorably position and package SNI's premium subscription television program services to subscribers. Home Box Office, Inc. is the dominant company in the U.S. premium subscription television category, offering two premium subscription television program services, HBO and Cinemax. SNI competes with Home Box Office, Inc. but has a significantly smaller share of the premium subscription television category. Starz Entertainment Group, L.L.C. owns Starz!, another premium subscription television program service, which features recently released theatrical motion pictures and competes with SNI's and Home Box Office, Inc.'s premium program services.</w:t>
      </w:r>
    </w:p>
    <w:p>
      <w:pPr>
        <w:spacing w:after="0" w:line="172" w:lineRule="exact"/>
        <w:rPr>
          <w:sz w:val="20"/>
          <w:szCs w:val="20"/>
          <w:color w:val="auto"/>
        </w:rPr>
      </w:pPr>
    </w:p>
    <w:p>
      <w:pPr>
        <w:ind w:right="160" w:firstLine="348"/>
        <w:spacing w:after="0" w:line="289" w:lineRule="auto"/>
        <w:rPr>
          <w:sz w:val="20"/>
          <w:szCs w:val="20"/>
          <w:color w:val="auto"/>
        </w:rPr>
      </w:pPr>
      <w:r>
        <w:rPr>
          <w:rFonts w:ascii="Arial" w:cs="Arial" w:eastAsia="Arial" w:hAnsi="Arial"/>
          <w:sz w:val="16"/>
          <w:szCs w:val="16"/>
          <w:color w:val="auto"/>
        </w:rPr>
        <w:t>The terms and favorable renewal of agreements with distributors for the distribution of the Company's basic and premium cable networks are important to the Company. Consolidation among multichannel video programming distributors makes it more difficult to reach favorable terms and could have an adverse effect on revenues. In addition, consolidation among distributors has increased the intensity of competition among program suppliers for carriage at favorable rates, terms and conditions. Companies that are vertically integrated (and accordingly, own both cable programming networks and multichannel video program distributors, such as Time Warner, Comcast Corporation and News Corporation, among others) may put the Company in a competitively disadvantaged position with respect to distributing the Company's cable networks, particularly regarding subscriber fees, channel placement or availability, and marketing and promotional activities, which can have an adverse impact on revenues. These companies can use their distribution platforms to immediately establish market presence for their own programming.</w:t>
      </w:r>
    </w:p>
    <w:p>
      <w:pPr>
        <w:spacing w:after="0" w:line="166" w:lineRule="exact"/>
        <w:rPr>
          <w:sz w:val="20"/>
          <w:szCs w:val="20"/>
          <w:color w:val="auto"/>
        </w:rPr>
      </w:pPr>
    </w:p>
    <w:p>
      <w:pPr>
        <w:ind w:left="180"/>
        <w:spacing w:after="0"/>
        <w:tabs>
          <w:tab w:leader="none" w:pos="1080" w:val="left"/>
        </w:tabs>
        <w:rPr>
          <w:sz w:val="20"/>
          <w:szCs w:val="20"/>
          <w:color w:val="auto"/>
        </w:rPr>
      </w:pPr>
      <w:r>
        <w:rPr>
          <w:rFonts w:ascii="Arial" w:cs="Arial" w:eastAsia="Arial" w:hAnsi="Arial"/>
          <w:sz w:val="18"/>
          <w:szCs w:val="18"/>
          <w:b w:val="1"/>
          <w:bCs w:val="1"/>
          <w:color w:val="auto"/>
        </w:rPr>
        <w:t>Television</w:t>
      </w:r>
      <w:r>
        <w:rPr>
          <w:sz w:val="20"/>
          <w:szCs w:val="20"/>
          <w:color w:val="auto"/>
        </w:rPr>
        <w:tab/>
      </w:r>
      <w:r>
        <w:rPr>
          <w:rFonts w:ascii="Arial" w:cs="Arial" w:eastAsia="Arial" w:hAnsi="Arial"/>
          <w:sz w:val="15"/>
          <w:szCs w:val="15"/>
          <w:color w:val="auto"/>
        </w:rPr>
        <w:t>(38%, 37% and 39% of the Company's consolidated revenues in 2004, 2003 and 2002, respectively)</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Television segment consists of the CBS and UPN Television Networks, the Company's owned broadcast television stations, and its television production and syndication businesses.</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Television Networks. </w:t>
      </w:r>
      <w:r>
        <w:rPr>
          <w:rFonts w:ascii="Arial" w:cs="Arial" w:eastAsia="Arial" w:hAnsi="Arial"/>
          <w:sz w:val="16"/>
          <w:szCs w:val="16"/>
          <w:color w:val="auto"/>
        </w:rPr>
        <w:t>The CBS Television Network™ through CBS Entertainment™, CBS News™ and CBS Sports™ distributes a comprehensive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schedule of news and public affairs broadcasts, sports and entertainment programming, and feature films to more than 200 domestic affiliates reaching throughout the U.S., including 20 of the Company's owned and operated television stations, and to certain overseas affiliated stations. The CBS Television Network primarily derives revenues from the sales of advertising time for its network broadcasts.</w:t>
      </w:r>
    </w:p>
    <w:p>
      <w:pPr>
        <w:spacing w:after="0" w:line="16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CBS Entertainment is responsible for acquiring or developing and scheduling the entertainment programming presented on the CBS Television Network, which includes primetime comedy and drama series, reality-based programming, made-for-television movies and miniseries, theatrical films, specials, children's programs, daytime dramas, game shows and late-night programs. CBS News operates a worldwide news organization, providing the CBS Television Network and the CBS Radio Network™ with regularly scheduled news and public affairs broadcasts, including </w:t>
      </w:r>
      <w:r>
        <w:rPr>
          <w:rFonts w:ascii="Arial" w:cs="Arial" w:eastAsia="Arial" w:hAnsi="Arial"/>
          <w:sz w:val="16"/>
          <w:szCs w:val="16"/>
          <w:i w:val="1"/>
          <w:iCs w:val="1"/>
          <w:color w:val="auto"/>
        </w:rPr>
        <w:t>60 Minutes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Early Show</w:t>
      </w:r>
      <w:r>
        <w:rPr>
          <w:rFonts w:ascii="Arial" w:cs="Arial" w:eastAsia="Arial" w:hAnsi="Arial"/>
          <w:sz w:val="16"/>
          <w:szCs w:val="16"/>
          <w:color w:val="auto"/>
        </w:rPr>
        <w:t xml:space="preserve">, as well as special reports. CBS News Productions, the off-network production company created by CBS News, produces original nonfiction programming for domestic and international outlets, including the CBS and UPN Television Networks, cable television, home video, CD-ROM, audio-book and in-flight markets, as well as schools and libraries. CBS News also provides CBS Newspath, a television news syndication service that offers daily news coverage, sports highlights and news features to CBS affiliates and other subscribers worldwide. CBS News also produces </w:t>
      </w:r>
      <w:r>
        <w:rPr>
          <w:rFonts w:ascii="Arial" w:cs="Arial" w:eastAsia="Arial" w:hAnsi="Arial"/>
          <w:sz w:val="16"/>
          <w:szCs w:val="16"/>
          <w:i w:val="1"/>
          <w:iCs w:val="1"/>
          <w:color w:val="auto"/>
        </w:rPr>
        <w:t>BET Nightly News</w:t>
      </w:r>
      <w:r>
        <w:rPr>
          <w:rFonts w:ascii="Arial" w:cs="Arial" w:eastAsia="Arial" w:hAnsi="Arial"/>
          <w:sz w:val="16"/>
          <w:szCs w:val="16"/>
          <w:color w:val="auto"/>
        </w:rPr>
        <w:t xml:space="preserve"> for BET and news inserts for </w:t>
      </w:r>
      <w:r>
        <w:rPr>
          <w:rFonts w:ascii="Arial" w:cs="Arial" w:eastAsia="Arial" w:hAnsi="Arial"/>
          <w:sz w:val="16"/>
          <w:szCs w:val="16"/>
          <w:i w:val="1"/>
          <w:iCs w:val="1"/>
          <w:color w:val="auto"/>
        </w:rPr>
        <w:t>MTV U, MTV's</w:t>
      </w:r>
      <w:r>
        <w:rPr>
          <w:rFonts w:ascii="Arial" w:cs="Arial" w:eastAsia="Arial" w:hAnsi="Arial"/>
          <w:sz w:val="16"/>
          <w:szCs w:val="16"/>
          <w:color w:val="auto"/>
        </w:rPr>
        <w:t xml:space="preserve"> college network. CBS Sports broadcasts include </w:t>
      </w:r>
      <w:r>
        <w:rPr>
          <w:rFonts w:ascii="Arial" w:cs="Arial" w:eastAsia="Arial" w:hAnsi="Arial"/>
          <w:sz w:val="16"/>
          <w:szCs w:val="16"/>
          <w:i w:val="1"/>
          <w:iCs w:val="1"/>
          <w:color w:val="auto"/>
        </w:rPr>
        <w:t>The NFL Today</w:t>
      </w:r>
      <w:r>
        <w:rPr>
          <w:rFonts w:ascii="Arial" w:cs="Arial" w:eastAsia="Arial" w:hAnsi="Arial"/>
          <w:sz w:val="16"/>
          <w:szCs w:val="16"/>
          <w:color w:val="auto"/>
        </w:rPr>
        <w:t>, certain NCAA championships, including the Final Four, golf, including the Masters Tournament and the PGA Championship, the U.S. Open Tennis Championships, regular-season golf and college football and basketball line-ups on network television, 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ind w:right="20"/>
        <w:spacing w:after="0" w:line="298" w:lineRule="auto"/>
        <w:rPr>
          <w:sz w:val="20"/>
          <w:szCs w:val="20"/>
          <w:color w:val="auto"/>
        </w:rPr>
      </w:pPr>
      <w:r>
        <w:rPr>
          <w:rFonts w:ascii="Arial" w:cs="Arial" w:eastAsia="Arial" w:hAnsi="Arial"/>
          <w:sz w:val="16"/>
          <w:szCs w:val="16"/>
          <w:color w:val="auto"/>
        </w:rPr>
        <w:t>addition to the NFL's American Football Conference regular season schedule, the Post Season Divisional Playoff games and the AFC championship game. In November 2004, CBS Sports entered into a six-year rights extension with the NFL to broadcast the AFC beginning in 2006 and including two Super Bowls. Extending its franchises off the field and court, CBS Sports has activated its marketing rights for the 2003-2013 NCAA Championships, including coordination of licensing, merchandising, related multimedia and television, and other related business opportunities.</w:t>
      </w:r>
    </w:p>
    <w:p>
      <w:pPr>
        <w:spacing w:after="0" w:line="167" w:lineRule="exact"/>
        <w:rPr>
          <w:sz w:val="20"/>
          <w:szCs w:val="20"/>
          <w:color w:val="auto"/>
        </w:rPr>
      </w:pPr>
    </w:p>
    <w:p>
      <w:pPr>
        <w:ind w:right="260" w:firstLine="341"/>
        <w:spacing w:after="0" w:line="259" w:lineRule="auto"/>
        <w:rPr>
          <w:sz w:val="20"/>
          <w:szCs w:val="20"/>
          <w:color w:val="auto"/>
        </w:rPr>
      </w:pPr>
      <w:r>
        <w:rPr>
          <w:rFonts w:ascii="Arial" w:cs="Arial" w:eastAsia="Arial" w:hAnsi="Arial"/>
          <w:sz w:val="18"/>
          <w:szCs w:val="18"/>
          <w:color w:val="auto"/>
        </w:rPr>
        <w:t>At December 31, 2004, the UPN Television Network provided to its affiliates 13 hours of programming a week. UPN's programming is provided to its affiliates in 182 U.S. television markets which comprise approximately 96.2% of all U.S. television households, including secondary affiliates. Eighteen of the Company's owned television stations are affiliates of UPN.</w:t>
      </w:r>
    </w:p>
    <w:p>
      <w:pPr>
        <w:spacing w:after="0" w:line="194" w:lineRule="exact"/>
        <w:rPr>
          <w:sz w:val="20"/>
          <w:szCs w:val="20"/>
          <w:color w:val="auto"/>
        </w:rPr>
      </w:pPr>
    </w:p>
    <w:p>
      <w:pPr>
        <w:jc w:val="both"/>
        <w:ind w:firstLine="348"/>
        <w:spacing w:after="0" w:line="284" w:lineRule="auto"/>
        <w:rPr>
          <w:sz w:val="20"/>
          <w:szCs w:val="20"/>
          <w:color w:val="auto"/>
        </w:rPr>
      </w:pPr>
      <w:r>
        <w:rPr>
          <w:rFonts w:ascii="Arial" w:cs="Arial" w:eastAsia="Arial" w:hAnsi="Arial"/>
          <w:sz w:val="16"/>
          <w:szCs w:val="16"/>
          <w:color w:val="auto"/>
        </w:rPr>
        <w:t xml:space="preserve">Through </w:t>
      </w:r>
      <w:r>
        <w:rPr>
          <w:rFonts w:ascii="Arial" w:cs="Arial" w:eastAsia="Arial" w:hAnsi="Arial"/>
          <w:sz w:val="16"/>
          <w:szCs w:val="16"/>
          <w:i w:val="1"/>
          <w:iCs w:val="1"/>
          <w:color w:val="auto"/>
        </w:rPr>
        <w:t>CBS.com</w:t>
      </w:r>
      <w:r>
        <w:rPr>
          <w:rFonts w:ascii="Arial" w:cs="Arial" w:eastAsia="Arial" w:hAnsi="Arial"/>
          <w:sz w:val="16"/>
          <w:szCs w:val="16"/>
          <w:color w:val="auto"/>
        </w:rPr>
        <w:t xml:space="preserve"> and </w:t>
      </w:r>
      <w:r>
        <w:rPr>
          <w:rFonts w:ascii="Arial" w:cs="Arial" w:eastAsia="Arial" w:hAnsi="Arial"/>
          <w:sz w:val="16"/>
          <w:szCs w:val="16"/>
          <w:i w:val="1"/>
          <w:iCs w:val="1"/>
          <w:color w:val="auto"/>
        </w:rPr>
        <w:t>CBSNews.com</w:t>
      </w:r>
      <w:r>
        <w:rPr>
          <w:rFonts w:ascii="Arial" w:cs="Arial" w:eastAsia="Arial" w:hAnsi="Arial"/>
          <w:sz w:val="16"/>
          <w:szCs w:val="16"/>
          <w:color w:val="auto"/>
        </w:rPr>
        <w:t xml:space="preserve">, the Company operates Web sites that collectively received more than 1.5 billion pageviews in 2004 and, according to Nielsen/NetRatings, attracted an average audience of 7.7 million U.S. monthly unique visitors. </w:t>
      </w:r>
      <w:r>
        <w:rPr>
          <w:rFonts w:ascii="Arial" w:cs="Arial" w:eastAsia="Arial" w:hAnsi="Arial"/>
          <w:sz w:val="16"/>
          <w:szCs w:val="16"/>
          <w:i w:val="1"/>
          <w:iCs w:val="1"/>
          <w:color w:val="auto"/>
        </w:rPr>
        <w:t>CBS.com</w:t>
      </w:r>
      <w:r>
        <w:rPr>
          <w:rFonts w:ascii="Arial" w:cs="Arial" w:eastAsia="Arial" w:hAnsi="Arial"/>
          <w:sz w:val="16"/>
          <w:szCs w:val="16"/>
          <w:color w:val="auto"/>
        </w:rPr>
        <w:t xml:space="preserve"> produces Web sites for CBS Entertainment programs and is responsible for the CBS Television Network's promotional Web sites, online subscription services, fantasy leagues and interactive voting technology.</w:t>
      </w:r>
    </w:p>
    <w:p>
      <w:pPr>
        <w:spacing w:after="0" w:line="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i w:val="1"/>
          <w:iCs w:val="1"/>
          <w:color w:val="auto"/>
        </w:rPr>
        <w:t xml:space="preserve">CBSNews.com </w:t>
      </w:r>
      <w:r>
        <w:rPr>
          <w:rFonts w:ascii="Arial" w:cs="Arial" w:eastAsia="Arial" w:hAnsi="Arial"/>
          <w:sz w:val="18"/>
          <w:szCs w:val="18"/>
          <w:color w:val="auto"/>
        </w:rPr>
        <w:t>is a multimedia provider of continuous, in-depth news and information and produces Web sites for all CBS News programs. Both sites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links to </w:t>
      </w:r>
      <w:r>
        <w:rPr>
          <w:rFonts w:ascii="Arial" w:cs="Arial" w:eastAsia="Arial" w:hAnsi="Arial"/>
          <w:sz w:val="18"/>
          <w:szCs w:val="18"/>
          <w:i w:val="1"/>
          <w:iCs w:val="1"/>
          <w:color w:val="auto"/>
        </w:rPr>
        <w:t>CBS.SportsLine.com</w:t>
      </w:r>
      <w:r>
        <w:rPr>
          <w:rFonts w:ascii="Arial" w:cs="Arial" w:eastAsia="Arial" w:hAnsi="Arial"/>
          <w:sz w:val="18"/>
          <w:szCs w:val="18"/>
          <w:color w:val="auto"/>
        </w:rPr>
        <w:t>, a provider of online sports content, services and merchandise on a domestic and international basis, operated by SportsLine.com, Inc., which was acquired by the Company in December 2004. These Company Internet sites derive revenue from a combination of advertising and sponsorships, subscription services and e-commerce.</w:t>
      </w:r>
    </w:p>
    <w:p>
      <w:pPr>
        <w:spacing w:after="0" w:line="19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i w:val="1"/>
          <w:iCs w:val="1"/>
          <w:color w:val="auto"/>
        </w:rPr>
        <w:t xml:space="preserve">Television Stations. </w:t>
      </w:r>
      <w:r>
        <w:rPr>
          <w:rFonts w:ascii="Arial" w:cs="Arial" w:eastAsia="Arial" w:hAnsi="Arial"/>
          <w:sz w:val="16"/>
          <w:szCs w:val="16"/>
          <w:color w:val="auto"/>
        </w:rPr>
        <w:t>The Company owns 39 broadcast television stations, all of which operate under licenses granted by the Federal Communications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Commission ("FCC") pursuant to the Communications Act of 1934, as amended (the "Communications Act"). The licenses are renewable every eight years. The Company's television stations are located in the 7 largest, and 15 of the top 20, television markets in the U.S. The Company owns two television stations within the same designated market area in eight major markets. Such duopolies are in: Los Angeles (market #2), Philadelphia (market #4), Boston (market #5), San Francisco-Oakland-San Jose (market #6), Dallas-Fort Worth (market #7), Detroit (market #10), Miami (market #17) and Pittsburgh (market #22). The stations produce news and broadcast public affairs, sports and other programming to serve their local markets and offer CBS or UPN Television Network and syndicated programming. Many of the Company's television stations currently operate Web sites, which promote the stations' programming, and provide news, information and entertainment, as well as other services. In December 2004, the Company announced that it agreed to purchase, subject to regulatory approval, CBS affiliate, KOVR-TV in Sacramento, California, which, along with its owned UPN affiliate in that market, KMAX-TV, would create its ninth duopoly. In February 2005, the Company announced the sale of its UPN affiliates, WNDY-TV</w:t>
      </w:r>
      <w:r>
        <w:rPr>
          <w:rFonts w:ascii="Arial" w:cs="Arial" w:eastAsia="Arial" w:hAnsi="Arial"/>
          <w:sz w:val="16"/>
          <w:szCs w:val="16"/>
          <w:i w:val="1"/>
          <w:iCs w:val="1"/>
          <w:color w:val="auto"/>
        </w:rPr>
        <w:t>,</w:t>
      </w:r>
      <w:r>
        <w:rPr>
          <w:rFonts w:ascii="Arial" w:cs="Arial" w:eastAsia="Arial" w:hAnsi="Arial"/>
          <w:sz w:val="16"/>
          <w:szCs w:val="16"/>
          <w:color w:val="auto"/>
        </w:rPr>
        <w:t xml:space="preserve"> serving Indianapolis, Indiana, and WWHO-TV</w:t>
      </w:r>
      <w:r>
        <w:rPr>
          <w:rFonts w:ascii="Arial" w:cs="Arial" w:eastAsia="Arial" w:hAnsi="Arial"/>
          <w:sz w:val="16"/>
          <w:szCs w:val="16"/>
          <w:i w:val="1"/>
          <w:iCs w:val="1"/>
          <w:color w:val="auto"/>
        </w:rPr>
        <w:t>,</w:t>
      </w:r>
      <w:r>
        <w:rPr>
          <w:rFonts w:ascii="Arial" w:cs="Arial" w:eastAsia="Arial" w:hAnsi="Arial"/>
          <w:sz w:val="16"/>
          <w:szCs w:val="16"/>
          <w:color w:val="auto"/>
        </w:rPr>
        <w:t xml:space="preserve"> serving Columbus, Ohio, subject to regulatory approval.</w:t>
      </w:r>
    </w:p>
    <w:p>
      <w:pPr>
        <w:spacing w:after="0" w:line="18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Company's owned and operated television stations reach approximately 45% of all U.S. television households and approximately 39% of U.S. television households as measured by the FCC's television national audience reach limitation under which a VHF television station is deemed to reach 100% of the television households in its market and a UHF television station is deemed to reach 50% of the television households in its market. The FCC's ownership rules limit the Company's national audience reach to 39% of all U.S. television households. (See "Viacom Business Segments-Regulation-Broadcasting-Ownership Regulation").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Television Stations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the broadcast television stations owned by the Company as of March 1, 2005.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Market</w:t>
            </w: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7"/>
              </w:rPr>
              <w:t>Type/</w:t>
            </w:r>
          </w:p>
        </w:tc>
        <w:tc>
          <w:tcPr>
            <w:tcW w:w="2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Network</w:t>
            </w:r>
          </w:p>
        </w:tc>
        <w:tc>
          <w:tcPr>
            <w:tcW w:w="0" w:type="dxa"/>
            <w:vAlign w:val="bottom"/>
          </w:tcPr>
          <w:p>
            <w:pPr>
              <w:spacing w:after="0"/>
              <w:rPr>
                <w:sz w:val="1"/>
                <w:szCs w:val="1"/>
                <w:color w:val="auto"/>
              </w:rPr>
            </w:pPr>
          </w:p>
        </w:tc>
      </w:tr>
      <w:tr>
        <w:trPr>
          <w:trHeight w:val="174"/>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Station and Metropolitan Area Served (1)</w:t>
            </w:r>
          </w:p>
        </w:tc>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Rank (2)</w:t>
            </w:r>
          </w:p>
        </w:tc>
        <w:tc>
          <w:tcPr>
            <w:tcW w:w="2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Channel</w:t>
            </w:r>
          </w:p>
        </w:tc>
        <w:tc>
          <w:tcPr>
            <w:tcW w:w="24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2"/>
              </w:rPr>
              <w:t>Affiliation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0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WCBS-TV</w:t>
            </w:r>
          </w:p>
        </w:tc>
        <w:tc>
          <w:tcPr>
            <w:tcW w:w="3920" w:type="dxa"/>
            <w:vAlign w:val="bottom"/>
            <w:gridSpan w:val="3"/>
            <w:shd w:val="clear" w:color="auto" w:fill="CCEEFF"/>
          </w:tcPr>
          <w:p>
            <w:pPr>
              <w:jc w:val="center"/>
              <w:ind w:left="2612"/>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VHF/2</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York, New York</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KCAL-TV</w:t>
            </w:r>
          </w:p>
        </w:tc>
        <w:tc>
          <w:tcPr>
            <w:tcW w:w="3920" w:type="dxa"/>
            <w:vAlign w:val="bottom"/>
            <w:gridSpan w:val="3"/>
          </w:tcPr>
          <w:p>
            <w:pPr>
              <w:jc w:val="center"/>
              <w:ind w:left="2612"/>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VHF/9</w:t>
            </w:r>
          </w:p>
        </w:tc>
        <w:tc>
          <w:tcPr>
            <w:tcW w:w="2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5"/>
              </w:rPr>
              <w:t>Independent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Los Angeles, CA</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KCBS-TV</w:t>
            </w:r>
          </w:p>
        </w:tc>
        <w:tc>
          <w:tcPr>
            <w:tcW w:w="3920" w:type="dxa"/>
            <w:vAlign w:val="bottom"/>
            <w:gridSpan w:val="3"/>
            <w:shd w:val="clear" w:color="auto" w:fill="CCEEFF"/>
          </w:tcPr>
          <w:p>
            <w:pPr>
              <w:jc w:val="center"/>
              <w:ind w:left="2612"/>
              <w:spacing w:after="0"/>
              <w:rPr>
                <w:sz w:val="20"/>
                <w:szCs w:val="20"/>
                <w:color w:val="auto"/>
              </w:rPr>
            </w:pPr>
            <w:r>
              <w:rPr>
                <w:rFonts w:ascii="Arial" w:cs="Arial" w:eastAsia="Arial" w:hAnsi="Arial"/>
                <w:sz w:val="18"/>
                <w:szCs w:val="18"/>
                <w:color w:val="auto"/>
                <w:w w:val="99"/>
              </w:rPr>
              <w:t>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VHF/2</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 Angeles, CA</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WBBM-TV</w:t>
            </w:r>
          </w:p>
        </w:tc>
        <w:tc>
          <w:tcPr>
            <w:tcW w:w="3920" w:type="dxa"/>
            <w:vAlign w:val="bottom"/>
            <w:gridSpan w:val="3"/>
          </w:tcPr>
          <w:p>
            <w:pPr>
              <w:jc w:val="center"/>
              <w:ind w:left="2612"/>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VHF/2</w:t>
            </w:r>
          </w:p>
        </w:tc>
        <w:tc>
          <w:tcPr>
            <w:tcW w:w="2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CBS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Chicago, IL</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KYW-TV</w:t>
            </w:r>
          </w:p>
        </w:tc>
        <w:tc>
          <w:tcPr>
            <w:tcW w:w="3920" w:type="dxa"/>
            <w:vAlign w:val="bottom"/>
            <w:gridSpan w:val="3"/>
            <w:shd w:val="clear" w:color="auto" w:fill="CCEEFF"/>
          </w:tcPr>
          <w:p>
            <w:pPr>
              <w:jc w:val="center"/>
              <w:ind w:left="2612"/>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VHF/3</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Philadelphia, PA</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WPSG-TV</w:t>
            </w:r>
          </w:p>
        </w:tc>
        <w:tc>
          <w:tcPr>
            <w:tcW w:w="3920" w:type="dxa"/>
            <w:vAlign w:val="bottom"/>
            <w:gridSpan w:val="3"/>
          </w:tcPr>
          <w:p>
            <w:pPr>
              <w:jc w:val="center"/>
              <w:ind w:left="2612"/>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UHF/57</w:t>
            </w:r>
          </w:p>
        </w:tc>
        <w:tc>
          <w:tcPr>
            <w:tcW w:w="2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UPN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Philadelphia, PA</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WBZ-TV</w:t>
            </w:r>
          </w:p>
        </w:tc>
        <w:tc>
          <w:tcPr>
            <w:tcW w:w="3920" w:type="dxa"/>
            <w:vAlign w:val="bottom"/>
            <w:gridSpan w:val="3"/>
            <w:shd w:val="clear" w:color="auto" w:fill="CCEEFF"/>
          </w:tcPr>
          <w:p>
            <w:pPr>
              <w:jc w:val="center"/>
              <w:ind w:left="2612"/>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VHF/4</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Boston, MA</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WSBK-TV</w:t>
            </w:r>
          </w:p>
        </w:tc>
        <w:tc>
          <w:tcPr>
            <w:tcW w:w="3920" w:type="dxa"/>
            <w:vAlign w:val="bottom"/>
            <w:gridSpan w:val="3"/>
          </w:tcPr>
          <w:p>
            <w:pPr>
              <w:jc w:val="center"/>
              <w:ind w:left="2612"/>
              <w:spacing w:after="0"/>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UHF/38</w:t>
            </w:r>
          </w:p>
        </w:tc>
        <w:tc>
          <w:tcPr>
            <w:tcW w:w="2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UPN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Boston, MA</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KPIX-TV</w:t>
            </w:r>
          </w:p>
        </w:tc>
        <w:tc>
          <w:tcPr>
            <w:tcW w:w="3920" w:type="dxa"/>
            <w:vAlign w:val="bottom"/>
            <w:gridSpan w:val="3"/>
            <w:shd w:val="clear" w:color="auto" w:fill="CCEEFF"/>
          </w:tcPr>
          <w:p>
            <w:pPr>
              <w:jc w:val="center"/>
              <w:ind w:left="2612"/>
              <w:spacing w:after="0"/>
              <w:rPr>
                <w:sz w:val="20"/>
                <w:szCs w:val="20"/>
                <w:color w:val="auto"/>
              </w:rPr>
            </w:pPr>
            <w:r>
              <w:rPr>
                <w:rFonts w:ascii="Arial" w:cs="Arial" w:eastAsia="Arial" w:hAnsi="Arial"/>
                <w:sz w:val="18"/>
                <w:szCs w:val="18"/>
                <w:color w:val="auto"/>
                <w:w w:val="99"/>
              </w:rPr>
              <w:t>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VHF/5</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San Francisco-Oakland-San Jose, CA</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KBHK-TV</w:t>
            </w:r>
          </w:p>
        </w:tc>
        <w:tc>
          <w:tcPr>
            <w:tcW w:w="3920" w:type="dxa"/>
            <w:vAlign w:val="bottom"/>
            <w:gridSpan w:val="3"/>
          </w:tcPr>
          <w:p>
            <w:pPr>
              <w:jc w:val="center"/>
              <w:ind w:left="2612"/>
              <w:spacing w:after="0"/>
              <w:rPr>
                <w:sz w:val="20"/>
                <w:szCs w:val="20"/>
                <w:color w:val="auto"/>
              </w:rPr>
            </w:pPr>
            <w:r>
              <w:rPr>
                <w:rFonts w:ascii="Arial" w:cs="Arial" w:eastAsia="Arial" w:hAnsi="Arial"/>
                <w:sz w:val="18"/>
                <w:szCs w:val="18"/>
                <w:color w:val="auto"/>
                <w:w w:val="99"/>
              </w:rPr>
              <w:t>6</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UHF/44</w:t>
            </w:r>
          </w:p>
        </w:tc>
        <w:tc>
          <w:tcPr>
            <w:tcW w:w="2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UPN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San Francisco-Oakland-San Jose, CA</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KTVT-TV</w:t>
            </w:r>
          </w:p>
        </w:tc>
        <w:tc>
          <w:tcPr>
            <w:tcW w:w="3920" w:type="dxa"/>
            <w:vAlign w:val="bottom"/>
            <w:gridSpan w:val="3"/>
            <w:shd w:val="clear" w:color="auto" w:fill="CCEEFF"/>
          </w:tcPr>
          <w:p>
            <w:pPr>
              <w:jc w:val="center"/>
              <w:ind w:left="2612"/>
              <w:spacing w:after="0"/>
              <w:rPr>
                <w:sz w:val="20"/>
                <w:szCs w:val="20"/>
                <w:color w:val="auto"/>
              </w:rPr>
            </w:pPr>
            <w:r>
              <w:rPr>
                <w:rFonts w:ascii="Arial" w:cs="Arial" w:eastAsia="Arial" w:hAnsi="Arial"/>
                <w:sz w:val="18"/>
                <w:szCs w:val="18"/>
                <w:color w:val="auto"/>
                <w:w w:val="99"/>
              </w:rPr>
              <w:t>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VHF/11</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Dallas-Fort Worth, TX</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KTXA-TV</w:t>
            </w:r>
          </w:p>
        </w:tc>
        <w:tc>
          <w:tcPr>
            <w:tcW w:w="3920" w:type="dxa"/>
            <w:vAlign w:val="bottom"/>
            <w:gridSpan w:val="3"/>
          </w:tcPr>
          <w:p>
            <w:pPr>
              <w:jc w:val="center"/>
              <w:ind w:left="2612"/>
              <w:spacing w:after="0"/>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UHF/21</w:t>
            </w:r>
          </w:p>
        </w:tc>
        <w:tc>
          <w:tcPr>
            <w:tcW w:w="2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UPN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Dallas-Fort Worth, TX</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WUPA-TV</w:t>
            </w:r>
          </w:p>
        </w:tc>
        <w:tc>
          <w:tcPr>
            <w:tcW w:w="3920" w:type="dxa"/>
            <w:vAlign w:val="bottom"/>
            <w:gridSpan w:val="3"/>
            <w:shd w:val="clear" w:color="auto" w:fill="CCEEFF"/>
          </w:tcPr>
          <w:p>
            <w:pPr>
              <w:jc w:val="center"/>
              <w:ind w:left="2612"/>
              <w:spacing w:after="0"/>
              <w:rPr>
                <w:sz w:val="20"/>
                <w:szCs w:val="20"/>
                <w:color w:val="auto"/>
              </w:rPr>
            </w:pPr>
            <w:r>
              <w:rPr>
                <w:rFonts w:ascii="Arial" w:cs="Arial" w:eastAsia="Arial" w:hAnsi="Arial"/>
                <w:sz w:val="18"/>
                <w:szCs w:val="18"/>
                <w:color w:val="auto"/>
                <w:w w:val="99"/>
              </w:rPr>
              <w:t>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UHF/69</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UPN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Atlanta, GA</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WKBD-TV</w:t>
            </w:r>
          </w:p>
        </w:tc>
        <w:tc>
          <w:tcPr>
            <w:tcW w:w="3920" w:type="dxa"/>
            <w:vAlign w:val="bottom"/>
            <w:gridSpan w:val="3"/>
          </w:tcPr>
          <w:p>
            <w:pPr>
              <w:jc w:val="center"/>
              <w:ind w:left="2612"/>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UHF/50</w:t>
            </w:r>
          </w:p>
        </w:tc>
        <w:tc>
          <w:tcPr>
            <w:tcW w:w="2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UPN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Detroit, MI</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WWJ-TV</w:t>
            </w:r>
          </w:p>
        </w:tc>
        <w:tc>
          <w:tcPr>
            <w:tcW w:w="3920" w:type="dxa"/>
            <w:vAlign w:val="bottom"/>
            <w:gridSpan w:val="3"/>
            <w:shd w:val="clear" w:color="auto" w:fill="CCEEFF"/>
          </w:tcPr>
          <w:p>
            <w:pPr>
              <w:jc w:val="center"/>
              <w:ind w:left="2612"/>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UHF/62</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Detroit, MI</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KSTW-TV</w:t>
            </w:r>
          </w:p>
        </w:tc>
        <w:tc>
          <w:tcPr>
            <w:tcW w:w="3920" w:type="dxa"/>
            <w:vAlign w:val="bottom"/>
            <w:gridSpan w:val="3"/>
          </w:tcPr>
          <w:p>
            <w:pPr>
              <w:jc w:val="center"/>
              <w:ind w:left="2612"/>
              <w:spacing w:after="0"/>
              <w:rPr>
                <w:sz w:val="20"/>
                <w:szCs w:val="20"/>
                <w:color w:val="auto"/>
              </w:rPr>
            </w:pPr>
            <w:r>
              <w:rPr>
                <w:rFonts w:ascii="Arial" w:cs="Arial" w:eastAsia="Arial" w:hAnsi="Arial"/>
                <w:sz w:val="18"/>
                <w:szCs w:val="18"/>
                <w:color w:val="auto"/>
                <w:w w:val="89"/>
              </w:rPr>
              <w:t>12</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VHF/11</w:t>
            </w:r>
          </w:p>
        </w:tc>
        <w:tc>
          <w:tcPr>
            <w:tcW w:w="2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UPN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Seattle-Tacoma, WA</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WTOG-TV</w:t>
            </w:r>
          </w:p>
        </w:tc>
        <w:tc>
          <w:tcPr>
            <w:tcW w:w="3920" w:type="dxa"/>
            <w:vAlign w:val="bottom"/>
            <w:gridSpan w:val="3"/>
            <w:shd w:val="clear" w:color="auto" w:fill="CCEEFF"/>
          </w:tcPr>
          <w:p>
            <w:pPr>
              <w:jc w:val="center"/>
              <w:ind w:left="2612"/>
              <w:spacing w:after="0"/>
              <w:rPr>
                <w:sz w:val="20"/>
                <w:szCs w:val="20"/>
                <w:color w:val="auto"/>
              </w:rPr>
            </w:pPr>
            <w:r>
              <w:rPr>
                <w:rFonts w:ascii="Arial" w:cs="Arial" w:eastAsia="Arial" w:hAnsi="Arial"/>
                <w:sz w:val="18"/>
                <w:szCs w:val="18"/>
                <w:color w:val="auto"/>
                <w:w w:val="89"/>
              </w:rPr>
              <w:t>13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UHF/44</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UPN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Tampa-St. Petersburg-Sarasota, FL</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WCCO-TV</w:t>
            </w:r>
          </w:p>
        </w:tc>
        <w:tc>
          <w:tcPr>
            <w:tcW w:w="3920" w:type="dxa"/>
            <w:vAlign w:val="bottom"/>
            <w:gridSpan w:val="3"/>
          </w:tcPr>
          <w:p>
            <w:pPr>
              <w:jc w:val="center"/>
              <w:ind w:left="2612"/>
              <w:spacing w:after="0"/>
              <w:rPr>
                <w:sz w:val="20"/>
                <w:szCs w:val="20"/>
                <w:color w:val="auto"/>
              </w:rPr>
            </w:pPr>
            <w:r>
              <w:rPr>
                <w:rFonts w:ascii="Arial" w:cs="Arial" w:eastAsia="Arial" w:hAnsi="Arial"/>
                <w:sz w:val="18"/>
                <w:szCs w:val="18"/>
                <w:color w:val="auto"/>
                <w:w w:val="89"/>
              </w:rPr>
              <w:t>14</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VHF/4</w:t>
            </w:r>
          </w:p>
        </w:tc>
        <w:tc>
          <w:tcPr>
            <w:tcW w:w="2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CBS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Minneapolis-St. Paul, MN</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Satellites:</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tcPr>
          <w:p>
            <w:pPr>
              <w:ind w:left="700"/>
              <w:spacing w:after="0"/>
              <w:rPr>
                <w:sz w:val="20"/>
                <w:szCs w:val="20"/>
                <w:color w:val="auto"/>
              </w:rPr>
            </w:pPr>
            <w:r>
              <w:rPr>
                <w:rFonts w:ascii="Arial" w:cs="Arial" w:eastAsia="Arial" w:hAnsi="Arial"/>
                <w:sz w:val="18"/>
                <w:szCs w:val="18"/>
                <w:color w:val="auto"/>
              </w:rPr>
              <w:t>KCCO-TV(3)</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CBS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860"/>
              <w:spacing w:after="0"/>
              <w:rPr>
                <w:sz w:val="20"/>
                <w:szCs w:val="20"/>
                <w:color w:val="auto"/>
              </w:rPr>
            </w:pPr>
            <w:r>
              <w:rPr>
                <w:rFonts w:ascii="Arial" w:cs="Arial" w:eastAsia="Arial" w:hAnsi="Arial"/>
                <w:sz w:val="18"/>
                <w:szCs w:val="18"/>
                <w:color w:val="auto"/>
              </w:rPr>
              <w:t>Alexandria, MN</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KCCW-TV(4)</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Walker, MN</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WFOR-TV</w:t>
            </w:r>
          </w:p>
        </w:tc>
        <w:tc>
          <w:tcPr>
            <w:tcW w:w="3920" w:type="dxa"/>
            <w:vAlign w:val="bottom"/>
            <w:gridSpan w:val="3"/>
          </w:tcPr>
          <w:p>
            <w:pPr>
              <w:jc w:val="center"/>
              <w:ind w:left="2612"/>
              <w:spacing w:after="0"/>
              <w:rPr>
                <w:sz w:val="20"/>
                <w:szCs w:val="20"/>
                <w:color w:val="auto"/>
              </w:rPr>
            </w:pPr>
            <w:r>
              <w:rPr>
                <w:rFonts w:ascii="Arial" w:cs="Arial" w:eastAsia="Arial" w:hAnsi="Arial"/>
                <w:sz w:val="18"/>
                <w:szCs w:val="18"/>
                <w:color w:val="auto"/>
                <w:w w:val="89"/>
              </w:rPr>
              <w:t>17</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VHF/4</w:t>
            </w:r>
          </w:p>
        </w:tc>
        <w:tc>
          <w:tcPr>
            <w:tcW w:w="2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CBS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Miami-Ft. Lauderdale, FL</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WBFS-TV</w:t>
            </w:r>
          </w:p>
        </w:tc>
        <w:tc>
          <w:tcPr>
            <w:tcW w:w="3920" w:type="dxa"/>
            <w:vAlign w:val="bottom"/>
            <w:gridSpan w:val="3"/>
            <w:shd w:val="clear" w:color="auto" w:fill="CCEEFF"/>
          </w:tcPr>
          <w:p>
            <w:pPr>
              <w:jc w:val="center"/>
              <w:ind w:left="2612"/>
              <w:spacing w:after="0"/>
              <w:rPr>
                <w:sz w:val="20"/>
                <w:szCs w:val="20"/>
                <w:color w:val="auto"/>
              </w:rPr>
            </w:pPr>
            <w:r>
              <w:rPr>
                <w:rFonts w:ascii="Arial" w:cs="Arial" w:eastAsia="Arial" w:hAnsi="Arial"/>
                <w:sz w:val="18"/>
                <w:szCs w:val="18"/>
                <w:color w:val="auto"/>
                <w:w w:val="89"/>
              </w:rPr>
              <w:t>17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UHF/33</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UPN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Miami-Ft. Lauderdale, FL</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73"/>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920" w:type="dxa"/>
            <w:vAlign w:val="bottom"/>
            <w:gridSpan w:val="3"/>
          </w:tcPr>
          <w:p>
            <w:pPr>
              <w:ind w:left="1400"/>
              <w:spacing w:after="0"/>
              <w:rPr>
                <w:sz w:val="20"/>
                <w:szCs w:val="20"/>
                <w:color w:val="auto"/>
              </w:rPr>
            </w:pPr>
            <w:r>
              <w:rPr>
                <w:rFonts w:ascii="Arial" w:cs="Arial" w:eastAsia="Arial" w:hAnsi="Arial"/>
                <w:sz w:val="18"/>
                <w:szCs w:val="18"/>
                <w:color w:val="auto"/>
              </w:rPr>
              <w:t>I-9</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-6840855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-6840855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-6840855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-6840855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-6840855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-6840855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-6840855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-6840855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8"/>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KCNC-TV</w:t>
            </w:r>
          </w:p>
        </w:tc>
        <w:tc>
          <w:tcPr>
            <w:tcW w:w="2920" w:type="dxa"/>
            <w:vAlign w:val="bottom"/>
            <w:shd w:val="clear" w:color="auto" w:fill="CCEEFF"/>
          </w:tcPr>
          <w:p>
            <w:pPr>
              <w:jc w:val="center"/>
              <w:ind w:left="1612"/>
              <w:spacing w:after="0"/>
              <w:rPr>
                <w:sz w:val="20"/>
                <w:szCs w:val="20"/>
                <w:color w:val="auto"/>
              </w:rPr>
            </w:pPr>
            <w:r>
              <w:rPr>
                <w:rFonts w:ascii="Arial" w:cs="Arial" w:eastAsia="Arial" w:hAnsi="Arial"/>
                <w:sz w:val="18"/>
                <w:szCs w:val="18"/>
                <w:color w:val="auto"/>
                <w:w w:val="89"/>
              </w:rPr>
              <w:t>18</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VHF/4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r>
      <w:tr>
        <w:trPr>
          <w:trHeight w:val="224"/>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Denver, CO</w:t>
            </w:r>
          </w:p>
        </w:tc>
        <w:tc>
          <w:tcPr>
            <w:tcW w:w="29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8"/>
        </w:trPr>
        <w:tc>
          <w:tcPr>
            <w:tcW w:w="5220" w:type="dxa"/>
            <w:vAlign w:val="bottom"/>
            <w:gridSpan w:val="2"/>
          </w:tcPr>
          <w:p>
            <w:pPr>
              <w:spacing w:after="0"/>
              <w:rPr>
                <w:sz w:val="20"/>
                <w:szCs w:val="20"/>
                <w:color w:val="auto"/>
              </w:rPr>
            </w:pPr>
            <w:r>
              <w:rPr>
                <w:rFonts w:ascii="Arial" w:cs="Arial" w:eastAsia="Arial" w:hAnsi="Arial"/>
                <w:sz w:val="18"/>
                <w:szCs w:val="18"/>
                <w:color w:val="auto"/>
              </w:rPr>
              <w:t>KMAX-TV</w:t>
            </w:r>
          </w:p>
        </w:tc>
        <w:tc>
          <w:tcPr>
            <w:tcW w:w="2920" w:type="dxa"/>
            <w:vAlign w:val="bottom"/>
          </w:tcPr>
          <w:p>
            <w:pPr>
              <w:jc w:val="center"/>
              <w:ind w:left="1612"/>
              <w:spacing w:after="0"/>
              <w:rPr>
                <w:sz w:val="20"/>
                <w:szCs w:val="20"/>
                <w:color w:val="auto"/>
              </w:rPr>
            </w:pPr>
            <w:r>
              <w:rPr>
                <w:rFonts w:ascii="Arial" w:cs="Arial" w:eastAsia="Arial" w:hAnsi="Arial"/>
                <w:sz w:val="18"/>
                <w:szCs w:val="18"/>
                <w:color w:val="auto"/>
                <w:w w:val="89"/>
              </w:rPr>
              <w:t>19</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UHF/31</w:t>
            </w: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UPN</w:t>
            </w:r>
          </w:p>
        </w:tc>
      </w:tr>
      <w:tr>
        <w:trPr>
          <w:trHeight w:val="222"/>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Sacramento-Stockton-Modesto, CA</w:t>
            </w:r>
          </w:p>
        </w:tc>
        <w:tc>
          <w:tcPr>
            <w:tcW w:w="2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KDKA-TV</w:t>
            </w:r>
          </w:p>
        </w:tc>
        <w:tc>
          <w:tcPr>
            <w:tcW w:w="2920" w:type="dxa"/>
            <w:vAlign w:val="bottom"/>
            <w:shd w:val="clear" w:color="auto" w:fill="CCEEFF"/>
          </w:tcPr>
          <w:p>
            <w:pPr>
              <w:jc w:val="center"/>
              <w:ind w:left="1612"/>
              <w:spacing w:after="0"/>
              <w:rPr>
                <w:sz w:val="20"/>
                <w:szCs w:val="20"/>
                <w:color w:val="auto"/>
              </w:rPr>
            </w:pPr>
            <w:r>
              <w:rPr>
                <w:rFonts w:ascii="Arial" w:cs="Arial" w:eastAsia="Arial" w:hAnsi="Arial"/>
                <w:sz w:val="18"/>
                <w:szCs w:val="18"/>
                <w:color w:val="auto"/>
                <w:w w:val="89"/>
              </w:rPr>
              <w:t>22</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VHF/2</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r>
      <w:tr>
        <w:trPr>
          <w:trHeight w:val="224"/>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Pittsburgh, PA</w:t>
            </w:r>
          </w:p>
        </w:tc>
        <w:tc>
          <w:tcPr>
            <w:tcW w:w="29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8"/>
        </w:trPr>
        <w:tc>
          <w:tcPr>
            <w:tcW w:w="5220" w:type="dxa"/>
            <w:vAlign w:val="bottom"/>
            <w:gridSpan w:val="2"/>
          </w:tcPr>
          <w:p>
            <w:pPr>
              <w:spacing w:after="0"/>
              <w:rPr>
                <w:sz w:val="20"/>
                <w:szCs w:val="20"/>
                <w:color w:val="auto"/>
              </w:rPr>
            </w:pPr>
            <w:r>
              <w:rPr>
                <w:rFonts w:ascii="Arial" w:cs="Arial" w:eastAsia="Arial" w:hAnsi="Arial"/>
                <w:sz w:val="18"/>
                <w:szCs w:val="18"/>
                <w:color w:val="auto"/>
              </w:rPr>
              <w:t>WNPA-TV</w:t>
            </w:r>
          </w:p>
        </w:tc>
        <w:tc>
          <w:tcPr>
            <w:tcW w:w="2920" w:type="dxa"/>
            <w:vAlign w:val="bottom"/>
          </w:tcPr>
          <w:p>
            <w:pPr>
              <w:jc w:val="center"/>
              <w:ind w:left="1612"/>
              <w:spacing w:after="0"/>
              <w:rPr>
                <w:sz w:val="20"/>
                <w:szCs w:val="20"/>
                <w:color w:val="auto"/>
              </w:rPr>
            </w:pPr>
            <w:r>
              <w:rPr>
                <w:rFonts w:ascii="Arial" w:cs="Arial" w:eastAsia="Arial" w:hAnsi="Arial"/>
                <w:sz w:val="18"/>
                <w:szCs w:val="18"/>
                <w:color w:val="auto"/>
                <w:w w:val="89"/>
              </w:rPr>
              <w:t>22</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UHF/19</w:t>
            </w: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UPN</w:t>
            </w:r>
          </w:p>
        </w:tc>
      </w:tr>
      <w:tr>
        <w:trPr>
          <w:trHeight w:val="222"/>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Pittsburgh, PA</w:t>
            </w:r>
          </w:p>
        </w:tc>
        <w:tc>
          <w:tcPr>
            <w:tcW w:w="2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WJZ-TV</w:t>
            </w:r>
          </w:p>
        </w:tc>
        <w:tc>
          <w:tcPr>
            <w:tcW w:w="2920" w:type="dxa"/>
            <w:vAlign w:val="bottom"/>
            <w:shd w:val="clear" w:color="auto" w:fill="CCEEFF"/>
          </w:tcPr>
          <w:p>
            <w:pPr>
              <w:jc w:val="center"/>
              <w:ind w:left="1612"/>
              <w:spacing w:after="0"/>
              <w:rPr>
                <w:sz w:val="20"/>
                <w:szCs w:val="20"/>
                <w:color w:val="auto"/>
              </w:rPr>
            </w:pPr>
            <w:r>
              <w:rPr>
                <w:rFonts w:ascii="Arial" w:cs="Arial" w:eastAsia="Arial" w:hAnsi="Arial"/>
                <w:sz w:val="18"/>
                <w:szCs w:val="18"/>
                <w:color w:val="auto"/>
                <w:w w:val="89"/>
              </w:rPr>
              <w:t>23</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VHF/13</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r>
      <w:tr>
        <w:trPr>
          <w:trHeight w:val="224"/>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Baltimore, MD</w:t>
            </w:r>
          </w:p>
        </w:tc>
        <w:tc>
          <w:tcPr>
            <w:tcW w:w="29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8"/>
        </w:trPr>
        <w:tc>
          <w:tcPr>
            <w:tcW w:w="5220" w:type="dxa"/>
            <w:vAlign w:val="bottom"/>
            <w:gridSpan w:val="2"/>
          </w:tcPr>
          <w:p>
            <w:pPr>
              <w:spacing w:after="0"/>
              <w:rPr>
                <w:sz w:val="20"/>
                <w:szCs w:val="20"/>
                <w:color w:val="auto"/>
              </w:rPr>
            </w:pPr>
            <w:r>
              <w:rPr>
                <w:rFonts w:ascii="Arial" w:cs="Arial" w:eastAsia="Arial" w:hAnsi="Arial"/>
                <w:sz w:val="18"/>
                <w:szCs w:val="18"/>
                <w:color w:val="auto"/>
              </w:rPr>
              <w:t>WNDY-TV</w:t>
            </w:r>
          </w:p>
        </w:tc>
        <w:tc>
          <w:tcPr>
            <w:tcW w:w="2920" w:type="dxa"/>
            <w:vAlign w:val="bottom"/>
          </w:tcPr>
          <w:p>
            <w:pPr>
              <w:jc w:val="center"/>
              <w:ind w:left="1612"/>
              <w:spacing w:after="0"/>
              <w:rPr>
                <w:sz w:val="20"/>
                <w:szCs w:val="20"/>
                <w:color w:val="auto"/>
              </w:rPr>
            </w:pPr>
            <w:r>
              <w:rPr>
                <w:rFonts w:ascii="Arial" w:cs="Arial" w:eastAsia="Arial" w:hAnsi="Arial"/>
                <w:sz w:val="18"/>
                <w:szCs w:val="18"/>
                <w:color w:val="auto"/>
                <w:w w:val="89"/>
              </w:rPr>
              <w:t>25</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UHF/23</w:t>
            </w: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UPN</w:t>
            </w:r>
          </w:p>
        </w:tc>
      </w:tr>
      <w:tr>
        <w:trPr>
          <w:trHeight w:val="222"/>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Indianapolis, IN</w:t>
            </w:r>
          </w:p>
        </w:tc>
        <w:tc>
          <w:tcPr>
            <w:tcW w:w="2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WWHO-TV</w:t>
            </w:r>
          </w:p>
        </w:tc>
        <w:tc>
          <w:tcPr>
            <w:tcW w:w="2920" w:type="dxa"/>
            <w:vAlign w:val="bottom"/>
            <w:shd w:val="clear" w:color="auto" w:fill="CCEEFF"/>
          </w:tcPr>
          <w:p>
            <w:pPr>
              <w:jc w:val="center"/>
              <w:ind w:left="1612"/>
              <w:spacing w:after="0"/>
              <w:rPr>
                <w:sz w:val="20"/>
                <w:szCs w:val="20"/>
                <w:color w:val="auto"/>
              </w:rPr>
            </w:pPr>
            <w:r>
              <w:rPr>
                <w:rFonts w:ascii="Arial" w:cs="Arial" w:eastAsia="Arial" w:hAnsi="Arial"/>
                <w:sz w:val="18"/>
                <w:szCs w:val="18"/>
                <w:color w:val="auto"/>
                <w:w w:val="89"/>
              </w:rPr>
              <w:t>34</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UHF/53</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UPN/WB(5)</w:t>
            </w:r>
          </w:p>
        </w:tc>
      </w:tr>
      <w:tr>
        <w:trPr>
          <w:trHeight w:val="224"/>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Columbus, OH</w:t>
            </w:r>
          </w:p>
        </w:tc>
        <w:tc>
          <w:tcPr>
            <w:tcW w:w="29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8"/>
        </w:trPr>
        <w:tc>
          <w:tcPr>
            <w:tcW w:w="5220" w:type="dxa"/>
            <w:vAlign w:val="bottom"/>
            <w:gridSpan w:val="2"/>
          </w:tcPr>
          <w:p>
            <w:pPr>
              <w:spacing w:after="0"/>
              <w:rPr>
                <w:sz w:val="20"/>
                <w:szCs w:val="20"/>
                <w:color w:val="auto"/>
              </w:rPr>
            </w:pPr>
            <w:r>
              <w:rPr>
                <w:rFonts w:ascii="Arial" w:cs="Arial" w:eastAsia="Arial" w:hAnsi="Arial"/>
                <w:sz w:val="18"/>
                <w:szCs w:val="18"/>
                <w:color w:val="auto"/>
              </w:rPr>
              <w:t>KUTV-TV</w:t>
            </w:r>
          </w:p>
        </w:tc>
        <w:tc>
          <w:tcPr>
            <w:tcW w:w="2920" w:type="dxa"/>
            <w:vAlign w:val="bottom"/>
          </w:tcPr>
          <w:p>
            <w:pPr>
              <w:jc w:val="center"/>
              <w:ind w:left="1612"/>
              <w:spacing w:after="0"/>
              <w:rPr>
                <w:sz w:val="20"/>
                <w:szCs w:val="20"/>
                <w:color w:val="auto"/>
              </w:rPr>
            </w:pPr>
            <w:r>
              <w:rPr>
                <w:rFonts w:ascii="Arial" w:cs="Arial" w:eastAsia="Arial" w:hAnsi="Arial"/>
                <w:sz w:val="18"/>
                <w:szCs w:val="18"/>
                <w:color w:val="auto"/>
                <w:w w:val="89"/>
              </w:rPr>
              <w:t>36</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VHF/2</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CBS</w:t>
            </w:r>
          </w:p>
        </w:tc>
      </w:tr>
      <w:tr>
        <w:trPr>
          <w:trHeight w:val="223"/>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Salt Lake City, UT</w:t>
            </w:r>
          </w:p>
        </w:tc>
        <w:tc>
          <w:tcPr>
            <w:tcW w:w="2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7"/>
        </w:trPr>
        <w:tc>
          <w:tcPr>
            <w:tcW w:w="5220" w:type="dxa"/>
            <w:vAlign w:val="bottom"/>
            <w:gridSpan w:val="2"/>
            <w:shd w:val="clear" w:color="auto" w:fill="CCEEFF"/>
          </w:tcPr>
          <w:p>
            <w:pPr>
              <w:ind w:left="240"/>
              <w:spacing w:after="0"/>
              <w:rPr>
                <w:sz w:val="20"/>
                <w:szCs w:val="20"/>
                <w:color w:val="auto"/>
              </w:rPr>
            </w:pPr>
            <w:r>
              <w:rPr>
                <w:rFonts w:ascii="Arial" w:cs="Arial" w:eastAsia="Arial" w:hAnsi="Arial"/>
                <w:sz w:val="18"/>
                <w:szCs w:val="18"/>
                <w:i w:val="1"/>
                <w:iCs w:val="1"/>
                <w:color w:val="auto"/>
              </w:rPr>
              <w:t>Satellite:</w:t>
            </w:r>
          </w:p>
        </w:tc>
        <w:tc>
          <w:tcPr>
            <w:tcW w:w="29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08"/>
        </w:trPr>
        <w:tc>
          <w:tcPr>
            <w:tcW w:w="5220" w:type="dxa"/>
            <w:vAlign w:val="bottom"/>
            <w:gridSpan w:val="2"/>
          </w:tcPr>
          <w:p>
            <w:pPr>
              <w:ind w:left="720"/>
              <w:spacing w:after="0"/>
              <w:rPr>
                <w:sz w:val="20"/>
                <w:szCs w:val="20"/>
                <w:color w:val="auto"/>
              </w:rPr>
            </w:pPr>
            <w:r>
              <w:rPr>
                <w:rFonts w:ascii="Arial" w:cs="Arial" w:eastAsia="Arial" w:hAnsi="Arial"/>
                <w:sz w:val="18"/>
                <w:szCs w:val="18"/>
                <w:color w:val="auto"/>
              </w:rPr>
              <w:t>KUSG-TV(6)</w:t>
            </w:r>
          </w:p>
        </w:tc>
        <w:tc>
          <w:tcPr>
            <w:tcW w:w="2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CBS</w:t>
            </w:r>
          </w:p>
        </w:tc>
      </w:tr>
      <w:tr>
        <w:trPr>
          <w:trHeight w:val="222"/>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St. George, UT</w:t>
            </w:r>
          </w:p>
        </w:tc>
        <w:tc>
          <w:tcPr>
            <w:tcW w:w="2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WTVX-TV</w:t>
            </w:r>
          </w:p>
        </w:tc>
        <w:tc>
          <w:tcPr>
            <w:tcW w:w="2920" w:type="dxa"/>
            <w:vAlign w:val="bottom"/>
            <w:shd w:val="clear" w:color="auto" w:fill="CCEEFF"/>
          </w:tcPr>
          <w:p>
            <w:pPr>
              <w:jc w:val="center"/>
              <w:ind w:left="1612"/>
              <w:spacing w:after="0"/>
              <w:rPr>
                <w:sz w:val="20"/>
                <w:szCs w:val="20"/>
                <w:color w:val="auto"/>
              </w:rPr>
            </w:pPr>
            <w:r>
              <w:rPr>
                <w:rFonts w:ascii="Arial" w:cs="Arial" w:eastAsia="Arial" w:hAnsi="Arial"/>
                <w:sz w:val="18"/>
                <w:szCs w:val="18"/>
                <w:color w:val="auto"/>
                <w:w w:val="89"/>
              </w:rPr>
              <w:t>39</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UHF/3</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UPN/WB(7)</w:t>
            </w:r>
          </w:p>
        </w:tc>
      </w:tr>
      <w:tr>
        <w:trPr>
          <w:trHeight w:val="224"/>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West Palm Beach-Ft. Pierce, FL</w:t>
            </w:r>
          </w:p>
        </w:tc>
        <w:tc>
          <w:tcPr>
            <w:tcW w:w="29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8"/>
        </w:trPr>
        <w:tc>
          <w:tcPr>
            <w:tcW w:w="5220" w:type="dxa"/>
            <w:vAlign w:val="bottom"/>
            <w:gridSpan w:val="2"/>
          </w:tcPr>
          <w:p>
            <w:pPr>
              <w:spacing w:after="0"/>
              <w:rPr>
                <w:sz w:val="20"/>
                <w:szCs w:val="20"/>
                <w:color w:val="auto"/>
              </w:rPr>
            </w:pPr>
            <w:r>
              <w:rPr>
                <w:rFonts w:ascii="Arial" w:cs="Arial" w:eastAsia="Arial" w:hAnsi="Arial"/>
                <w:sz w:val="18"/>
                <w:szCs w:val="18"/>
                <w:color w:val="auto"/>
              </w:rPr>
              <w:t>WGNT-TV</w:t>
            </w:r>
          </w:p>
        </w:tc>
        <w:tc>
          <w:tcPr>
            <w:tcW w:w="2920" w:type="dxa"/>
            <w:vAlign w:val="bottom"/>
          </w:tcPr>
          <w:p>
            <w:pPr>
              <w:jc w:val="center"/>
              <w:ind w:left="1612"/>
              <w:spacing w:after="0"/>
              <w:rPr>
                <w:sz w:val="20"/>
                <w:szCs w:val="20"/>
                <w:color w:val="auto"/>
              </w:rPr>
            </w:pPr>
            <w:r>
              <w:rPr>
                <w:rFonts w:ascii="Arial" w:cs="Arial" w:eastAsia="Arial" w:hAnsi="Arial"/>
                <w:sz w:val="18"/>
                <w:szCs w:val="18"/>
                <w:color w:val="auto"/>
                <w:w w:val="89"/>
              </w:rPr>
              <w:t>41</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UHF/27</w:t>
            </w: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UPN</w:t>
            </w:r>
          </w:p>
        </w:tc>
      </w:tr>
      <w:tr>
        <w:trPr>
          <w:trHeight w:val="222"/>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Norfolk-Portsmouth-Newport News, VA</w:t>
            </w:r>
          </w:p>
        </w:tc>
        <w:tc>
          <w:tcPr>
            <w:tcW w:w="2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WUPL-TV</w:t>
            </w:r>
          </w:p>
        </w:tc>
        <w:tc>
          <w:tcPr>
            <w:tcW w:w="2920" w:type="dxa"/>
            <w:vAlign w:val="bottom"/>
            <w:shd w:val="clear" w:color="auto" w:fill="CCEEFF"/>
          </w:tcPr>
          <w:p>
            <w:pPr>
              <w:jc w:val="center"/>
              <w:ind w:left="1612"/>
              <w:spacing w:after="0"/>
              <w:rPr>
                <w:sz w:val="20"/>
                <w:szCs w:val="20"/>
                <w:color w:val="auto"/>
              </w:rPr>
            </w:pPr>
            <w:r>
              <w:rPr>
                <w:rFonts w:ascii="Arial" w:cs="Arial" w:eastAsia="Arial" w:hAnsi="Arial"/>
                <w:sz w:val="18"/>
                <w:szCs w:val="18"/>
                <w:color w:val="auto"/>
                <w:w w:val="89"/>
              </w:rPr>
              <w:t>43</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UHF/54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UPN</w:t>
            </w:r>
          </w:p>
        </w:tc>
      </w:tr>
      <w:tr>
        <w:trPr>
          <w:trHeight w:val="224"/>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Orleans, LA</w:t>
            </w:r>
          </w:p>
        </w:tc>
        <w:tc>
          <w:tcPr>
            <w:tcW w:w="29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8"/>
        </w:trPr>
        <w:tc>
          <w:tcPr>
            <w:tcW w:w="5220" w:type="dxa"/>
            <w:vAlign w:val="bottom"/>
            <w:gridSpan w:val="2"/>
          </w:tcPr>
          <w:p>
            <w:pPr>
              <w:spacing w:after="0"/>
              <w:rPr>
                <w:sz w:val="20"/>
                <w:szCs w:val="20"/>
                <w:color w:val="auto"/>
              </w:rPr>
            </w:pPr>
            <w:r>
              <w:rPr>
                <w:rFonts w:ascii="Arial" w:cs="Arial" w:eastAsia="Arial" w:hAnsi="Arial"/>
                <w:sz w:val="18"/>
                <w:szCs w:val="18"/>
                <w:color w:val="auto"/>
              </w:rPr>
              <w:t>KAUT-TV</w:t>
            </w:r>
          </w:p>
        </w:tc>
        <w:tc>
          <w:tcPr>
            <w:tcW w:w="2920" w:type="dxa"/>
            <w:vAlign w:val="bottom"/>
          </w:tcPr>
          <w:p>
            <w:pPr>
              <w:jc w:val="center"/>
              <w:ind w:left="1612"/>
              <w:spacing w:after="0"/>
              <w:rPr>
                <w:sz w:val="20"/>
                <w:szCs w:val="20"/>
                <w:color w:val="auto"/>
              </w:rPr>
            </w:pPr>
            <w:r>
              <w:rPr>
                <w:rFonts w:ascii="Arial" w:cs="Arial" w:eastAsia="Arial" w:hAnsi="Arial"/>
                <w:sz w:val="18"/>
                <w:szCs w:val="18"/>
                <w:color w:val="auto"/>
                <w:w w:val="89"/>
              </w:rPr>
              <w:t>45</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UHF/43</w:t>
            </w: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UPN</w:t>
            </w:r>
          </w:p>
        </w:tc>
      </w:tr>
      <w:tr>
        <w:trPr>
          <w:trHeight w:val="222"/>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Oklahoma City, OK</w:t>
            </w:r>
          </w:p>
        </w:tc>
        <w:tc>
          <w:tcPr>
            <w:tcW w:w="2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WLWC-TV</w:t>
            </w:r>
          </w:p>
        </w:tc>
        <w:tc>
          <w:tcPr>
            <w:tcW w:w="2920" w:type="dxa"/>
            <w:vAlign w:val="bottom"/>
            <w:shd w:val="clear" w:color="auto" w:fill="CCEEFF"/>
          </w:tcPr>
          <w:p>
            <w:pPr>
              <w:jc w:val="center"/>
              <w:ind w:left="1612"/>
              <w:spacing w:after="0"/>
              <w:rPr>
                <w:sz w:val="20"/>
                <w:szCs w:val="20"/>
                <w:color w:val="auto"/>
              </w:rPr>
            </w:pPr>
            <w:r>
              <w:rPr>
                <w:rFonts w:ascii="Arial" w:cs="Arial" w:eastAsia="Arial" w:hAnsi="Arial"/>
                <w:sz w:val="18"/>
                <w:szCs w:val="18"/>
                <w:color w:val="auto"/>
                <w:w w:val="89"/>
              </w:rPr>
              <w:t>49</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UHF/28</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UPN/WB(8)</w:t>
            </w:r>
          </w:p>
        </w:tc>
      </w:tr>
      <w:tr>
        <w:trPr>
          <w:trHeight w:val="224"/>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Providence, RI-New Bedford, MA</w:t>
            </w:r>
          </w:p>
        </w:tc>
        <w:tc>
          <w:tcPr>
            <w:tcW w:w="29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8"/>
        </w:trPr>
        <w:tc>
          <w:tcPr>
            <w:tcW w:w="5220" w:type="dxa"/>
            <w:vAlign w:val="bottom"/>
            <w:gridSpan w:val="2"/>
          </w:tcPr>
          <w:p>
            <w:pPr>
              <w:spacing w:after="0"/>
              <w:rPr>
                <w:sz w:val="20"/>
                <w:szCs w:val="20"/>
                <w:color w:val="auto"/>
              </w:rPr>
            </w:pPr>
            <w:r>
              <w:rPr>
                <w:rFonts w:ascii="Arial" w:cs="Arial" w:eastAsia="Arial" w:hAnsi="Arial"/>
                <w:sz w:val="18"/>
                <w:szCs w:val="18"/>
                <w:color w:val="auto"/>
              </w:rPr>
              <w:t>KEYE-TV</w:t>
            </w:r>
          </w:p>
        </w:tc>
        <w:tc>
          <w:tcPr>
            <w:tcW w:w="2920" w:type="dxa"/>
            <w:vAlign w:val="bottom"/>
          </w:tcPr>
          <w:p>
            <w:pPr>
              <w:jc w:val="center"/>
              <w:ind w:left="1612"/>
              <w:spacing w:after="0"/>
              <w:rPr>
                <w:sz w:val="20"/>
                <w:szCs w:val="20"/>
                <w:color w:val="auto"/>
              </w:rPr>
            </w:pPr>
            <w:r>
              <w:rPr>
                <w:rFonts w:ascii="Arial" w:cs="Arial" w:eastAsia="Arial" w:hAnsi="Arial"/>
                <w:sz w:val="18"/>
                <w:szCs w:val="18"/>
                <w:color w:val="auto"/>
                <w:w w:val="89"/>
              </w:rPr>
              <w:t>54</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UHF/42</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CBS</w:t>
            </w:r>
          </w:p>
        </w:tc>
      </w:tr>
      <w:tr>
        <w:trPr>
          <w:trHeight w:val="222"/>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Austin, TX</w:t>
            </w:r>
          </w:p>
        </w:tc>
        <w:tc>
          <w:tcPr>
            <w:tcW w:w="2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WFRV-TV</w:t>
            </w:r>
          </w:p>
        </w:tc>
        <w:tc>
          <w:tcPr>
            <w:tcW w:w="2920" w:type="dxa"/>
            <w:vAlign w:val="bottom"/>
            <w:shd w:val="clear" w:color="auto" w:fill="CCEEFF"/>
          </w:tcPr>
          <w:p>
            <w:pPr>
              <w:jc w:val="center"/>
              <w:ind w:left="1612"/>
              <w:spacing w:after="0"/>
              <w:rPr>
                <w:sz w:val="20"/>
                <w:szCs w:val="20"/>
                <w:color w:val="auto"/>
              </w:rPr>
            </w:pPr>
            <w:r>
              <w:rPr>
                <w:rFonts w:ascii="Arial" w:cs="Arial" w:eastAsia="Arial" w:hAnsi="Arial"/>
                <w:sz w:val="18"/>
                <w:szCs w:val="18"/>
                <w:color w:val="auto"/>
                <w:w w:val="89"/>
              </w:rPr>
              <w:t>69</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VHF/5</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r>
      <w:tr>
        <w:trPr>
          <w:trHeight w:val="224"/>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Green Bay-Appleton, WI</w:t>
            </w:r>
          </w:p>
        </w:tc>
        <w:tc>
          <w:tcPr>
            <w:tcW w:w="29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6"/>
        </w:trPr>
        <w:tc>
          <w:tcPr>
            <w:tcW w:w="5220" w:type="dxa"/>
            <w:vAlign w:val="bottom"/>
            <w:gridSpan w:val="2"/>
          </w:tcPr>
          <w:p>
            <w:pPr>
              <w:ind w:left="240"/>
              <w:spacing w:after="0"/>
              <w:rPr>
                <w:sz w:val="20"/>
                <w:szCs w:val="20"/>
                <w:color w:val="auto"/>
              </w:rPr>
            </w:pPr>
            <w:r>
              <w:rPr>
                <w:rFonts w:ascii="Arial" w:cs="Arial" w:eastAsia="Arial" w:hAnsi="Arial"/>
                <w:sz w:val="18"/>
                <w:szCs w:val="18"/>
                <w:i w:val="1"/>
                <w:iCs w:val="1"/>
                <w:color w:val="auto"/>
              </w:rPr>
              <w:t>Satellite:</w:t>
            </w:r>
          </w:p>
        </w:tc>
        <w:tc>
          <w:tcPr>
            <w:tcW w:w="2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8"/>
        </w:trPr>
        <w:tc>
          <w:tcPr>
            <w:tcW w:w="5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WJMN-TV(9)</w:t>
            </w:r>
          </w:p>
        </w:tc>
        <w:tc>
          <w:tcPr>
            <w:tcW w:w="2920" w:type="dxa"/>
            <w:vAlign w:val="bottom"/>
            <w:shd w:val="clear" w:color="auto" w:fill="CCEEFF"/>
          </w:tcPr>
          <w:p>
            <w:pPr>
              <w:jc w:val="center"/>
              <w:ind w:left="1612"/>
              <w:spacing w:after="0"/>
              <w:rPr>
                <w:sz w:val="20"/>
                <w:szCs w:val="20"/>
                <w:color w:val="auto"/>
              </w:rPr>
            </w:pPr>
            <w:r>
              <w:rPr>
                <w:rFonts w:ascii="Arial" w:cs="Arial" w:eastAsia="Arial" w:hAnsi="Arial"/>
                <w:sz w:val="18"/>
                <w:szCs w:val="18"/>
                <w:color w:val="auto"/>
                <w:w w:val="86"/>
              </w:rPr>
              <w:t>180</w:t>
            </w:r>
          </w:p>
        </w:tc>
        <w:tc>
          <w:tcPr>
            <w:tcW w:w="15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r>
      <w:tr>
        <w:trPr>
          <w:trHeight w:val="224"/>
        </w:trPr>
        <w:tc>
          <w:tcPr>
            <w:tcW w:w="5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Escanaba, MI</w:t>
            </w:r>
          </w:p>
        </w:tc>
        <w:tc>
          <w:tcPr>
            <w:tcW w:w="29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118"/>
        </w:trPr>
        <w:tc>
          <w:tcPr>
            <w:tcW w:w="1660" w:type="dxa"/>
            <w:vAlign w:val="bottom"/>
            <w:tcBorders>
              <w:bottom w:val="single" w:sz="8" w:color="808080"/>
            </w:tcBorders>
          </w:tcPr>
          <w:p>
            <w:pPr>
              <w:spacing w:after="0"/>
              <w:rPr>
                <w:sz w:val="10"/>
                <w:szCs w:val="10"/>
                <w:color w:val="auto"/>
              </w:rPr>
            </w:pPr>
          </w:p>
        </w:tc>
        <w:tc>
          <w:tcPr>
            <w:tcW w:w="35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7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55"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Metropolitan Area Served is Nielsen Media Research's Designated Market Area.</w:t>
      </w:r>
    </w:p>
    <w:p>
      <w:pPr>
        <w:ind w:left="540" w:hanging="532"/>
        <w:spacing w:after="0" w:line="20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Market Rankings based on Nielsen Station Index—Designated Market Area Market and Demographic Rank, September 2004.</w:t>
      </w:r>
    </w:p>
    <w:p>
      <w:pPr>
        <w:ind w:left="540" w:hanging="532"/>
        <w:spacing w:after="0" w:line="20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KCCO-TV is operated as a satellite station of WCCO-TV.</w:t>
      </w:r>
    </w:p>
    <w:p>
      <w:pPr>
        <w:ind w:left="540" w:hanging="532"/>
        <w:spacing w:after="0" w:line="20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KCCW-TV is operated as a satellite station of WCCO-TV.</w:t>
      </w:r>
    </w:p>
    <w:p>
      <w:pPr>
        <w:ind w:left="540" w:hanging="532"/>
        <w:spacing w:after="0" w:line="20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WWHO-TV's primary affiliation is with UPN. The station has a secondary affiliation with the WB network.</w:t>
      </w:r>
    </w:p>
    <w:p>
      <w:pPr>
        <w:ind w:left="540" w:hanging="532"/>
        <w:spacing w:after="0" w:line="20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KUSG-TV is operated as a satellite station of KUTV-TV.</w:t>
      </w:r>
    </w:p>
    <w:p>
      <w:pPr>
        <w:ind w:left="540" w:hanging="532"/>
        <w:spacing w:after="0" w:line="20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WTVX-TV's primary affiliation is with UPN. The station has a secondary affiliation with the WB network.</w:t>
      </w:r>
    </w:p>
    <w:p>
      <w:pPr>
        <w:ind w:left="540" w:hanging="532"/>
        <w:spacing w:after="0" w:line="20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WLWC-TV's primary affiliation is with UPN. The station has a secondary affiliation with the WB network.</w:t>
      </w:r>
    </w:p>
    <w:p>
      <w:pPr>
        <w:ind w:left="540" w:hanging="532"/>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WJMN-TV is operated as a satellite station of WFRV-TV.</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Television Production and Syndication. </w:t>
      </w:r>
      <w:r>
        <w:rPr>
          <w:rFonts w:ascii="Arial" w:cs="Arial" w:eastAsia="Arial" w:hAnsi="Arial"/>
          <w:sz w:val="18"/>
          <w:szCs w:val="18"/>
          <w:color w:val="auto"/>
        </w:rPr>
        <w:t>The Company, through CBS Enterprises (including King World Productions), CBS Paramount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Television, Paramount Television and Spelling Television®, produces, acquires and/or distributes programming worldwide, including series, specials and made-for-television movies. Such programming is produced primarily for broadcast on network television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2" w:name="page13"/>
    <w:bookmarkEnd w:id="12"/>
    <w:p>
      <w:pPr>
        <w:spacing w:after="0" w:line="256" w:lineRule="auto"/>
        <w:rPr>
          <w:sz w:val="20"/>
          <w:szCs w:val="20"/>
          <w:color w:val="auto"/>
        </w:rPr>
      </w:pPr>
      <w:r>
        <w:rPr>
          <w:rFonts w:ascii="Arial" w:cs="Arial" w:eastAsia="Arial" w:hAnsi="Arial"/>
          <w:sz w:val="18"/>
          <w:szCs w:val="18"/>
          <w:color w:val="auto"/>
        </w:rPr>
        <w:t>and exhibition on basic cable and premium subscription services. The Company also produces and/or distributes first-run and off-network syndicated programming. First-run syndicated programming is programming produced or co-produced for initial sale to individual television stations without prior exhibition on a network. Off-network syndicated programming is programming exhibited on television stations or cable networks which has already been exhibited on a network, basic cable or premium subscription service.</w:t>
      </w:r>
    </w:p>
    <w:p>
      <w:pPr>
        <w:spacing w:after="0" w:line="197"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 xml:space="preserve">Programming that was produced or co-produced by the Company's production and syndication group and is broadcast on network television includes </w:t>
      </w:r>
      <w:r>
        <w:rPr>
          <w:rFonts w:ascii="Arial" w:cs="Arial" w:eastAsia="Arial" w:hAnsi="Arial"/>
          <w:sz w:val="16"/>
          <w:szCs w:val="16"/>
          <w:i w:val="1"/>
          <w:iCs w:val="1"/>
          <w:color w:val="auto"/>
        </w:rPr>
        <w:t>CSI: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Crime Scene Investigation </w:t>
      </w:r>
      <w:r>
        <w:rPr>
          <w:rFonts w:ascii="Arial" w:cs="Arial" w:eastAsia="Arial" w:hAnsi="Arial"/>
          <w:sz w:val="16"/>
          <w:szCs w:val="16"/>
          <w:color w:val="auto"/>
        </w:rPr>
        <w:t>(CBS),</w:t>
      </w:r>
      <w:r>
        <w:rPr>
          <w:rFonts w:ascii="Arial" w:cs="Arial" w:eastAsia="Arial" w:hAnsi="Arial"/>
          <w:sz w:val="16"/>
          <w:szCs w:val="16"/>
          <w:i w:val="1"/>
          <w:iCs w:val="1"/>
          <w:color w:val="auto"/>
        </w:rPr>
        <w:t xml:space="preserve"> Medium </w:t>
      </w:r>
      <w:r>
        <w:rPr>
          <w:rFonts w:ascii="Arial" w:cs="Arial" w:eastAsia="Arial" w:hAnsi="Arial"/>
          <w:sz w:val="16"/>
          <w:szCs w:val="16"/>
          <w:color w:val="auto"/>
        </w:rPr>
        <w:t>(NBC) and</w:t>
      </w:r>
      <w:r>
        <w:rPr>
          <w:rFonts w:ascii="Arial" w:cs="Arial" w:eastAsia="Arial" w:hAnsi="Arial"/>
          <w:sz w:val="16"/>
          <w:szCs w:val="16"/>
          <w:i w:val="1"/>
          <w:iCs w:val="1"/>
          <w:color w:val="auto"/>
        </w:rPr>
        <w:t xml:space="preserve"> 7th Heaven </w:t>
      </w:r>
      <w:r>
        <w:rPr>
          <w:rFonts w:ascii="Arial" w:cs="Arial" w:eastAsia="Arial" w:hAnsi="Arial"/>
          <w:sz w:val="16"/>
          <w:szCs w:val="16"/>
          <w:color w:val="auto"/>
        </w:rPr>
        <w:t>(WB). Generally, a network will license a specified number of episodes for exhibition on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network in the U.S. during a license period. Remaining distribution rights, including foreign and/or off-network syndication rights, are typically retained by the Company. The episodic network license fee is normally less than the costs of producing each series episode; however, the Company's objective is to recoup its costs and earn a profit through domestic syndication of episodes after their network runs and/or by obtaining international sales through its licensing operations. International sales are generally made within one year of U.S. network runs. Generally, a series must have a network run of at least three or four years to be successfully sold in domestic syndication. In off-network syndication, the Company distributes series such as </w:t>
      </w:r>
      <w:r>
        <w:rPr>
          <w:rFonts w:ascii="Arial" w:cs="Arial" w:eastAsia="Arial" w:hAnsi="Arial"/>
          <w:sz w:val="16"/>
          <w:szCs w:val="16"/>
          <w:i w:val="1"/>
          <w:iCs w:val="1"/>
          <w:color w:val="auto"/>
        </w:rPr>
        <w:t>Everybody Loves Raymond</w:t>
      </w:r>
      <w:r>
        <w:rPr>
          <w:rFonts w:ascii="Arial" w:cs="Arial" w:eastAsia="Arial" w:hAnsi="Arial"/>
          <w:sz w:val="16"/>
          <w:szCs w:val="16"/>
          <w:color w:val="auto"/>
        </w:rPr>
        <w:t xml:space="preserve"> and </w:t>
      </w:r>
      <w:r>
        <w:rPr>
          <w:rFonts w:ascii="Arial" w:cs="Arial" w:eastAsia="Arial" w:hAnsi="Arial"/>
          <w:sz w:val="16"/>
          <w:szCs w:val="16"/>
          <w:i w:val="1"/>
          <w:iCs w:val="1"/>
          <w:color w:val="auto"/>
        </w:rPr>
        <w:t>CSI</w:t>
      </w:r>
      <w:r>
        <w:rPr>
          <w:rFonts w:ascii="Arial" w:cs="Arial" w:eastAsia="Arial" w:hAnsi="Arial"/>
          <w:sz w:val="16"/>
          <w:szCs w:val="16"/>
          <w:color w:val="auto"/>
        </w:rPr>
        <w:t xml:space="preserve">. The Company also distributes a library of older television programs. The Company produces and/or distributes programming for first-run syndication that it sells directly to television stations in the U.S. on a market-by-market basis. The Company's first-run syndicated programming includes shows such as </w:t>
      </w:r>
      <w:r>
        <w:rPr>
          <w:rFonts w:ascii="Arial" w:cs="Arial" w:eastAsia="Arial" w:hAnsi="Arial"/>
          <w:sz w:val="16"/>
          <w:szCs w:val="16"/>
          <w:i w:val="1"/>
          <w:iCs w:val="1"/>
          <w:color w:val="auto"/>
        </w:rPr>
        <w:t>Jeopardy!, Entertainment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Tonight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Oprah Winfrey Show. </w:t>
      </w:r>
      <w:r>
        <w:rPr>
          <w:rFonts w:ascii="Arial" w:cs="Arial" w:eastAsia="Arial" w:hAnsi="Arial"/>
          <w:sz w:val="16"/>
          <w:szCs w:val="16"/>
          <w:color w:val="auto"/>
        </w:rPr>
        <w:t>The Company also distributes syndicated programming internationally.</w:t>
      </w:r>
    </w:p>
    <w:p>
      <w:pPr>
        <w:spacing w:after="0" w:line="177" w:lineRule="exact"/>
        <w:rPr>
          <w:sz w:val="20"/>
          <w:szCs w:val="20"/>
          <w:color w:val="auto"/>
        </w:rPr>
      </w:pPr>
    </w:p>
    <w:p>
      <w:pPr>
        <w:ind w:right="460" w:firstLine="348"/>
        <w:spacing w:after="0" w:line="298" w:lineRule="auto"/>
        <w:rPr>
          <w:sz w:val="20"/>
          <w:szCs w:val="20"/>
          <w:color w:val="auto"/>
        </w:rPr>
      </w:pPr>
      <w:r>
        <w:rPr>
          <w:rFonts w:ascii="Arial" w:cs="Arial" w:eastAsia="Arial" w:hAnsi="Arial"/>
          <w:sz w:val="16"/>
          <w:szCs w:val="16"/>
          <w:color w:val="auto"/>
        </w:rPr>
        <w:t>The recognition of revenues for license fees for completed television programming in syndication and cable is recorded as revenue in the period that programming is available for exhibition which, among other reasons, may cause substantial fluctuation in the Television segment's operating results. At December 31, 2004, the unrecognized revenues attributable to such television program license agreements were approximately $734.4 million, compared to approximately $634.9 million at December 31, 2003, including intercompany revenues of $176.3 million and $345.2 million, respectively.</w:t>
      </w:r>
    </w:p>
    <w:p>
      <w:pPr>
        <w:spacing w:after="0" w:line="161" w:lineRule="exact"/>
        <w:rPr>
          <w:sz w:val="20"/>
          <w:szCs w:val="20"/>
          <w:color w:val="auto"/>
        </w:rPr>
      </w:pPr>
    </w:p>
    <w:p>
      <w:pPr>
        <w:ind w:right="60" w:firstLine="348"/>
        <w:spacing w:after="0" w:line="311" w:lineRule="auto"/>
        <w:rPr>
          <w:sz w:val="20"/>
          <w:szCs w:val="20"/>
          <w:color w:val="auto"/>
        </w:rPr>
      </w:pPr>
      <w:r>
        <w:rPr>
          <w:rFonts w:ascii="Arial" w:cs="Arial" w:eastAsia="Arial" w:hAnsi="Arial"/>
          <w:sz w:val="15"/>
          <w:szCs w:val="15"/>
          <w:b w:val="1"/>
          <w:bCs w:val="1"/>
          <w:color w:val="auto"/>
        </w:rPr>
        <w:t xml:space="preserve">Television Competition. </w:t>
      </w:r>
      <w:r>
        <w:rPr>
          <w:rFonts w:ascii="Arial" w:cs="Arial" w:eastAsia="Arial" w:hAnsi="Arial"/>
          <w:sz w:val="15"/>
          <w:szCs w:val="15"/>
          <w:color w:val="auto"/>
        </w:rPr>
        <w:t>The television broadcast environment is highly competitive. The principal methods of competition in broadcast television are the</w:t>
      </w:r>
      <w:r>
        <w:rPr>
          <w:rFonts w:ascii="Arial" w:cs="Arial" w:eastAsia="Arial" w:hAnsi="Arial"/>
          <w:sz w:val="15"/>
          <w:szCs w:val="15"/>
          <w:b w:val="1"/>
          <w:bCs w:val="1"/>
          <w:color w:val="auto"/>
        </w:rPr>
        <w:t xml:space="preserve"> </w:t>
      </w:r>
      <w:r>
        <w:rPr>
          <w:rFonts w:ascii="Arial" w:cs="Arial" w:eastAsia="Arial" w:hAnsi="Arial"/>
          <w:sz w:val="15"/>
          <w:szCs w:val="15"/>
          <w:color w:val="auto"/>
        </w:rPr>
        <w:t>development and acquisition of popular programming and the development of audience interest through programming and promotion, in order to sell advertising at profitable rates. Broadcast networks like CBS and UPN compete for audience, advertising revenues and programming with other broadcast networks such as ABC, FOX, NBC and WB, independent television stations, basic cable program services as well as other media, including DTH television services, videocassettes, DVDs, print and the Internet. In addition, the CBS and UPN Television Networks compete with the other broadcast networks to secure affiliations with independently owned television stations in markets across the country, which are necessary to ensure the effective distribution of network programming to a nationwide audience. According to Nielsen Media Research, for the broadcast television primetime daypart for the period September 20, 2004 to March 6, 2005, the CBS Television Network secured the #1 position for total viewers and for key adult viewers ages 25-54 and 18-49 (with respect to 18-49, tied with Fox).</w:t>
      </w:r>
    </w:p>
    <w:p>
      <w:pPr>
        <w:spacing w:after="0" w:line="163"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Television stations compete for programming, audiences and advertising revenues with other stations and cable networks in their respective coverage areas and, in some cases, with respect to programming, with other station groups, and, in the case of advertising revenues, with other local and national media. The owned and operated television stations' competitive position is largely influenced by (i) the strength of the CBS and UPN Television Networks and, in particular, with respect to those that are CBS affiliated television stations, the viewership of the CBS Television Network in the time period immediately prior to the late evening news; (ii) the quality of the syndicated programs and local news programs in time periods not programmed by the network; and (iii) in some cases, by the quality of the broadcast signal.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ind w:right="480" w:firstLine="351"/>
        <w:spacing w:after="0" w:line="268" w:lineRule="auto"/>
        <w:rPr>
          <w:sz w:val="20"/>
          <w:szCs w:val="20"/>
          <w:color w:val="auto"/>
        </w:rPr>
      </w:pPr>
      <w:r>
        <w:rPr>
          <w:rFonts w:ascii="Arial" w:cs="Arial" w:eastAsia="Arial" w:hAnsi="Arial"/>
          <w:sz w:val="18"/>
          <w:szCs w:val="18"/>
          <w:color w:val="auto"/>
        </w:rPr>
        <w:t>Because conversion to digital television broadcasting has begun, current and future technological and regulatory developments may affect competition within the television marketplace (see "Viacom Business Segments-Regulation-Broadcasting").</w:t>
      </w:r>
    </w:p>
    <w:p>
      <w:pPr>
        <w:spacing w:after="0" w:line="186" w:lineRule="exact"/>
        <w:rPr>
          <w:sz w:val="20"/>
          <w:szCs w:val="20"/>
          <w:color w:val="auto"/>
        </w:rPr>
      </w:pPr>
    </w:p>
    <w:p>
      <w:pPr>
        <w:ind w:right="140" w:firstLine="341"/>
        <w:spacing w:after="0" w:line="306" w:lineRule="auto"/>
        <w:rPr>
          <w:sz w:val="20"/>
          <w:szCs w:val="20"/>
          <w:color w:val="auto"/>
        </w:rPr>
      </w:pPr>
      <w:r>
        <w:rPr>
          <w:rFonts w:ascii="Arial" w:cs="Arial" w:eastAsia="Arial" w:hAnsi="Arial"/>
          <w:sz w:val="16"/>
          <w:szCs w:val="16"/>
          <w:color w:val="auto"/>
        </w:rPr>
        <w:t>As a producer and distributor of programming, the Company competes with studios, television production groups, and independent producers and syndicators such as Disney, Sony, NBC Universal and Warner Bros. to sell programming both domestically and overseas. The Company also competes to obtain creative talent and story properties which are essential to the success of all the Company's entertainment businesses.</w:t>
      </w:r>
    </w:p>
    <w:p>
      <w:pPr>
        <w:spacing w:after="0" w:line="155" w:lineRule="exact"/>
        <w:rPr>
          <w:sz w:val="20"/>
          <w:szCs w:val="20"/>
          <w:color w:val="auto"/>
        </w:rPr>
      </w:pPr>
    </w:p>
    <w:p>
      <w:pPr>
        <w:ind w:left="180"/>
        <w:spacing w:after="0"/>
        <w:tabs>
          <w:tab w:leader="none" w:pos="780" w:val="left"/>
        </w:tabs>
        <w:rPr>
          <w:sz w:val="20"/>
          <w:szCs w:val="20"/>
          <w:color w:val="auto"/>
        </w:rPr>
      </w:pPr>
      <w:r>
        <w:rPr>
          <w:rFonts w:ascii="Arial" w:cs="Arial" w:eastAsia="Arial" w:hAnsi="Arial"/>
          <w:sz w:val="18"/>
          <w:szCs w:val="18"/>
          <w:b w:val="1"/>
          <w:bCs w:val="1"/>
          <w:color w:val="auto"/>
        </w:rPr>
        <w:t>Radio</w:t>
      </w:r>
      <w:r>
        <w:rPr>
          <w:sz w:val="20"/>
          <w:szCs w:val="20"/>
          <w:color w:val="auto"/>
        </w:rPr>
        <w:tab/>
      </w:r>
      <w:r>
        <w:rPr>
          <w:rFonts w:ascii="Arial" w:cs="Arial" w:eastAsia="Arial" w:hAnsi="Arial"/>
          <w:sz w:val="15"/>
          <w:szCs w:val="15"/>
          <w:color w:val="auto"/>
        </w:rPr>
        <w:t>(9%, 10% and 11% of the Company's consolidated revenues in 2004, 2003 and 2002, respectively)</w:t>
      </w:r>
    </w:p>
    <w:p>
      <w:pPr>
        <w:spacing w:after="0" w:line="23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Company's radio broadcasting business operates through Infinity Radio, which owns and operates 183 radio stations serving 41 U.S. markets. It is one of the largest operators of radio stations in the U.S. Approximately 91% of the Company's radio stations are located in the 50 largest U.S. radio markets and approximately 58% in the 25 largest U.S. radio markets. The Company's growth strategy generally is to operate and acquire radio stations in the largest markets and take advantage of the Company's ability to sell across multiple markets and formats. The Company believes that it is favorably impacted by offering both radio and outdoor advertising properties in large markets. The Radio Stations and Outdoor Advertising Displays table below includes information with regard to the Company's radio stations in the top 25 U.S. radio markets.</w:t>
      </w:r>
    </w:p>
    <w:p>
      <w:pPr>
        <w:spacing w:after="0" w:line="174"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Radio seeks to maintain substantial diversity among its radio stations. The geographically wide-ranging stations serve diverse target demographics through a broad range of programming formats, such as rock, oldies, news/talk, adult contemporary, sports/talk and country, and Infinity Radio has established leading franchises in news, sports, and personality programming. This diversity provides advertisers with the convenience to select stations to reach a targeted demographic group or to select groups of stations to reach broad groups of consumers within and across markets. This diversity also reduces Radio's dependence on any single station, local economy, format or advertiser. Radio's general programming strategies include employing popular on-air talent, syndicating shows of some of these talent nationally and acquiring the rights to broadcast sports franchises and news content for its radio stations. These strategies, in addition to developing loyal audiences for its radio stations, create the opportunity to obtain additional revenues from syndicating such programming elements to other radio stations. Howard Stern, on-air talent responsible for programming approximately 20 hours per week on 27 Infinity Radio stations and, in non-Infinity Radio markets, programming on radio stations from which Infinity Radio shares in syndication revenues, has announced that he will provide programming to Sirius Satellite Radio beginning January 1, 2006. There can be no assurance that any replacement programming will generate the revenues or profitability associated with Mr. Stern's show.</w:t>
      </w:r>
    </w:p>
    <w:p>
      <w:pPr>
        <w:spacing w:after="0" w:line="18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substantial majority of Radio's advertising revenues are generated from the sale of local, regional and national advertising. The major categories of radio advertisers include: automotive, retail, healthcare, telecommunications, fast food, beverage, movies, entertainment and services. Infinity Radio is able to use the reach, diversity and branding of its 183 radio stations to create unique corporate-wide marketing and promotional initiatives for major national advertisers for products and services. The success and reputation of Infinity Radio and its stations allow the Company to attract the participation of major artists in these national campaigns. Revenue fluctuations are common in the radio industry and are primarily the result of fluctuations in advertising expenditures by retailers.</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also owns the CBS Radio Network, which is managed by Westwood One, Inc. As of March 1, 2005, Infinity owns approximately 17% of the common stock of Westwood One, Inc., which it manages pursuant to a management agreement. Westwood One is a leading producer and distributor of syndicated and network radio programming in the U.S. and distributes syndicated and network radio programming, including traffic and weather information, to many of the Company's radio stations as well as to the Company's competitors. Westwood One does not own or operate radio stations. In December 2004, Infinity Radio acquired a 10% interest in Spanish Broadcasting System, Inc. expanding the Company's commitment to Hispanic consumers.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ind w:firstLine="351"/>
        <w:spacing w:after="0" w:line="258" w:lineRule="auto"/>
        <w:rPr>
          <w:sz w:val="20"/>
          <w:szCs w:val="20"/>
          <w:color w:val="auto"/>
        </w:rPr>
      </w:pPr>
      <w:r>
        <w:rPr>
          <w:rFonts w:ascii="Arial" w:cs="Arial" w:eastAsia="Arial" w:hAnsi="Arial"/>
          <w:sz w:val="18"/>
          <w:szCs w:val="18"/>
          <w:b w:val="1"/>
          <w:bCs w:val="1"/>
          <w:color w:val="auto"/>
        </w:rPr>
        <w:t xml:space="preserve">Radio Competition. </w:t>
      </w:r>
      <w:r>
        <w:rPr>
          <w:rFonts w:ascii="Arial" w:cs="Arial" w:eastAsia="Arial" w:hAnsi="Arial"/>
          <w:sz w:val="18"/>
          <w:szCs w:val="18"/>
          <w:color w:val="auto"/>
        </w:rPr>
        <w:t>The Company's radio stations compete for audience, advertising revenues and programming directly with other radio stations such as</w:t>
      </w:r>
      <w:r>
        <w:rPr>
          <w:rFonts w:ascii="Arial" w:cs="Arial" w:eastAsia="Arial" w:hAnsi="Arial"/>
          <w:sz w:val="18"/>
          <w:szCs w:val="18"/>
          <w:b w:val="1"/>
          <w:bCs w:val="1"/>
          <w:color w:val="auto"/>
        </w:rPr>
        <w:t xml:space="preserve"> </w:t>
      </w:r>
      <w:r>
        <w:rPr>
          <w:rFonts w:ascii="Arial" w:cs="Arial" w:eastAsia="Arial" w:hAnsi="Arial"/>
          <w:sz w:val="18"/>
          <w:szCs w:val="18"/>
          <w:color w:val="auto"/>
        </w:rPr>
        <w:t>those licensed to and operated by ABC Radio, Clear Channel Communications, Cox Radio, Emmis Communications, Entercom and Radio One as well as with other media, such as broadcast television, newspapers, magazines, cable television and DTH, the Internet and direct mail, within their respective markets. The growth of Internet radio could result in increased competition.</w:t>
      </w:r>
    </w:p>
    <w:p>
      <w:pPr>
        <w:spacing w:after="0" w:line="196"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radio industry is also subject to competition from two satellite-delivered audio programming services, Sirius Satellite Radio and XM Satellite Radio, each providing over 100 channels of pay digital audio services. While these services primarily rely on subscription revenues, XM and Sirius currently sell advertising time on some of their channels. XM and Sirius are also competing with the radio industry for programming.</w:t>
      </w:r>
    </w:p>
    <w:p>
      <w:pPr>
        <w:spacing w:after="0" w:line="16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Unlike broadcast television, the radio industry is just beginning the process of converting from analog to digital broadcasts. Currently, approximately 500 radio stations are broadcasting in the U.S. using digital technology. The Company recently joined 20 other broadcast radio groups to commit to accelerate the conversion of an additional 2,000 AM and FM stations to digital radio technology over the next several years, including the conversion of approximately 120 of the Company's radio stations. The Company believes that digital transmissions will provide listeners with improved sound quality and should facilitate the convergence of radio with other digital media. It is too early to predict the full effect that the conversion to digital will have on the Company's radio businesses or on competition generally.</w:t>
      </w:r>
    </w:p>
    <w:p>
      <w:pPr>
        <w:spacing w:after="0" w:line="19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Radio's aggregate spot advertising sales revenues for its radio stations for 2004 in each of the top five U.S. markets by metro area population were ranked either #1 or #2, according to the 2004 Market Total Spot Performance Summary of Miller, Kaplan, Arase &amp; Co., LLP (for the New York, Los Angeles, Chicago, San Francisco and Dallas-Fort Worth markets).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Radio Stations and Outdoor Advertising Displays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information with regard to the Company's radio stations and outdoor advertising displays as of March 1, 2005 in the top 25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 radio markets: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Radio</w:t>
            </w:r>
          </w:p>
        </w:tc>
        <w:tc>
          <w:tcPr>
            <w:tcW w:w="200" w:type="dxa"/>
            <w:vAlign w:val="bottom"/>
          </w:tcPr>
          <w:p>
            <w:pPr>
              <w:spacing w:after="0"/>
              <w:rPr>
                <w:sz w:val="14"/>
                <w:szCs w:val="14"/>
                <w:color w:val="auto"/>
              </w:rPr>
            </w:pPr>
          </w:p>
        </w:tc>
        <w:tc>
          <w:tcPr>
            <w:tcW w:w="20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Outdoor</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Market Rank</w:t>
            </w: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9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By Metro Area</w:t>
            </w:r>
          </w:p>
        </w:tc>
        <w:tc>
          <w:tcPr>
            <w:tcW w:w="240" w:type="dxa"/>
            <w:vAlign w:val="bottom"/>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2740" w:type="dxa"/>
            <w:vAlign w:val="bottom"/>
            <w:tcBorders>
              <w:bottom w:val="single" w:sz="8" w:color="808080"/>
            </w:tcBorders>
          </w:tcPr>
          <w:p>
            <w:pPr>
              <w:spacing w:after="0"/>
              <w:rPr>
                <w:sz w:val="3"/>
                <w:szCs w:val="3"/>
                <w:color w:val="auto"/>
              </w:rPr>
            </w:pPr>
          </w:p>
        </w:tc>
        <w:tc>
          <w:tcPr>
            <w:tcW w:w="200" w:type="dxa"/>
            <w:vAlign w:val="bottom"/>
          </w:tcPr>
          <w:p>
            <w:pPr>
              <w:spacing w:after="0"/>
              <w:rPr>
                <w:sz w:val="3"/>
                <w:szCs w:val="3"/>
                <w:color w:val="auto"/>
              </w:rPr>
            </w:pPr>
          </w:p>
        </w:tc>
        <w:tc>
          <w:tcPr>
            <w:tcW w:w="20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Market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Population(1)</w:t>
            </w:r>
          </w:p>
        </w:tc>
        <w:tc>
          <w:tcPr>
            <w:tcW w:w="240" w:type="dxa"/>
            <w:vAlign w:val="bottom"/>
          </w:tcPr>
          <w:p>
            <w:pPr>
              <w:spacing w:after="0"/>
              <w:rPr>
                <w:sz w:val="15"/>
                <w:szCs w:val="15"/>
                <w:color w:val="auto"/>
              </w:rPr>
            </w:pPr>
          </w:p>
        </w:tc>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Stations</w:t>
            </w:r>
          </w:p>
        </w:tc>
        <w:tc>
          <w:tcPr>
            <w:tcW w:w="2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AM/FM</w:t>
            </w:r>
          </w:p>
        </w:tc>
        <w:tc>
          <w:tcPr>
            <w:tcW w:w="220" w:type="dxa"/>
            <w:vAlign w:val="bottom"/>
          </w:tcPr>
          <w:p>
            <w:pPr>
              <w:spacing w:after="0"/>
              <w:rPr>
                <w:sz w:val="15"/>
                <w:szCs w:val="15"/>
                <w:color w:val="auto"/>
              </w:rPr>
            </w:pPr>
          </w:p>
        </w:tc>
        <w:tc>
          <w:tcPr>
            <w:tcW w:w="2740" w:type="dxa"/>
            <w:vAlign w:val="bottom"/>
          </w:tcPr>
          <w:p>
            <w:pPr>
              <w:ind w:left="1140"/>
              <w:spacing w:after="0"/>
              <w:rPr>
                <w:sz w:val="20"/>
                <w:szCs w:val="20"/>
                <w:color w:val="auto"/>
              </w:rPr>
            </w:pPr>
            <w:r>
              <w:rPr>
                <w:rFonts w:ascii="Arial" w:cs="Arial" w:eastAsia="Arial" w:hAnsi="Arial"/>
                <w:sz w:val="14"/>
                <w:szCs w:val="14"/>
                <w:b w:val="1"/>
                <w:bCs w:val="1"/>
                <w:color w:val="auto"/>
              </w:rPr>
              <w:t>Format</w:t>
            </w:r>
          </w:p>
        </w:tc>
        <w:tc>
          <w:tcPr>
            <w:tcW w:w="200" w:type="dxa"/>
            <w:vAlign w:val="bottom"/>
          </w:tcPr>
          <w:p>
            <w:pPr>
              <w:spacing w:after="0"/>
              <w:rPr>
                <w:sz w:val="15"/>
                <w:szCs w:val="15"/>
                <w:color w:val="auto"/>
              </w:rPr>
            </w:pPr>
          </w:p>
        </w:tc>
        <w:tc>
          <w:tcPr>
            <w:tcW w:w="2060" w:type="dxa"/>
            <w:vAlign w:val="bottom"/>
          </w:tcPr>
          <w:p>
            <w:pPr>
              <w:ind w:left="660"/>
              <w:spacing w:after="0"/>
              <w:rPr>
                <w:sz w:val="20"/>
                <w:szCs w:val="20"/>
                <w:color w:val="auto"/>
              </w:rPr>
            </w:pPr>
            <w:r>
              <w:rPr>
                <w:rFonts w:ascii="Arial" w:cs="Arial" w:eastAsia="Arial" w:hAnsi="Arial"/>
                <w:sz w:val="14"/>
                <w:szCs w:val="14"/>
                <w:b w:val="1"/>
                <w:bCs w:val="1"/>
                <w:color w:val="auto"/>
              </w:rPr>
              <w:t>Display Type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New York, NY</w:t>
            </w:r>
          </w:p>
        </w:tc>
        <w:tc>
          <w:tcPr>
            <w:tcW w:w="13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rPr>
              <w:t>1</w:t>
            </w:r>
          </w:p>
        </w:tc>
        <w:tc>
          <w:tcPr>
            <w:tcW w:w="138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4"/>
                <w:szCs w:val="14"/>
                <w:color w:val="auto"/>
              </w:rPr>
              <w:t>WCBS-FM</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4"/>
                <w:szCs w:val="14"/>
                <w:color w:val="auto"/>
              </w:rPr>
              <w:t>Oldies</w:t>
            </w:r>
          </w:p>
        </w:tc>
        <w:tc>
          <w:tcPr>
            <w:tcW w:w="2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Bus, Bus Shelters, Rail, Billboards,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WCBS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News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Walls, Trestles, "Spectacular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WFAN</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Sports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Signage," Bulletins, Posters, Mall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WINS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News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WNEW</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Adult Contemporary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WXRK</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Alternative Rock</w:t>
            </w:r>
          </w:p>
        </w:tc>
        <w:tc>
          <w:tcPr>
            <w:tcW w:w="2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420" w:type="dxa"/>
            <w:vAlign w:val="bottom"/>
            <w:gridSpan w:val="3"/>
          </w:tcPr>
          <w:p>
            <w:pPr>
              <w:spacing w:after="0"/>
              <w:rPr>
                <w:sz w:val="20"/>
                <w:szCs w:val="20"/>
                <w:color w:val="auto"/>
              </w:rPr>
            </w:pPr>
            <w:r>
              <w:rPr>
                <w:rFonts w:ascii="Arial" w:cs="Arial" w:eastAsia="Arial" w:hAnsi="Arial"/>
                <w:sz w:val="14"/>
                <w:szCs w:val="14"/>
                <w:color w:val="auto"/>
              </w:rPr>
              <w:t>Los Angeles, CA</w:t>
            </w:r>
          </w:p>
        </w:tc>
        <w:tc>
          <w:tcPr>
            <w:tcW w:w="1360" w:type="dxa"/>
            <w:vAlign w:val="bottom"/>
          </w:tcPr>
          <w:p>
            <w:pPr>
              <w:jc w:val="center"/>
              <w:spacing w:after="0"/>
              <w:rPr>
                <w:sz w:val="20"/>
                <w:szCs w:val="20"/>
                <w:color w:val="auto"/>
              </w:rPr>
            </w:pPr>
            <w:r>
              <w:rPr>
                <w:rFonts w:ascii="Arial" w:cs="Arial" w:eastAsia="Arial" w:hAnsi="Arial"/>
                <w:sz w:val="14"/>
                <w:szCs w:val="14"/>
                <w:color w:val="auto"/>
              </w:rPr>
              <w:t>2</w:t>
            </w:r>
          </w:p>
        </w:tc>
        <w:tc>
          <w:tcPr>
            <w:tcW w:w="1380" w:type="dxa"/>
            <w:vAlign w:val="bottom"/>
            <w:gridSpan w:val="2"/>
          </w:tcPr>
          <w:p>
            <w:pPr>
              <w:ind w:left="240"/>
              <w:spacing w:after="0"/>
              <w:rPr>
                <w:sz w:val="20"/>
                <w:szCs w:val="20"/>
                <w:color w:val="auto"/>
              </w:rPr>
            </w:pPr>
            <w:r>
              <w:rPr>
                <w:rFonts w:ascii="Arial" w:cs="Arial" w:eastAsia="Arial" w:hAnsi="Arial"/>
                <w:sz w:val="14"/>
                <w:szCs w:val="14"/>
                <w:color w:val="auto"/>
              </w:rPr>
              <w:t>KCBS-FM</w:t>
            </w: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rPr>
                <w:sz w:val="20"/>
                <w:szCs w:val="20"/>
                <w:color w:val="auto"/>
              </w:rPr>
            </w:pPr>
            <w:r>
              <w:rPr>
                <w:rFonts w:ascii="Arial" w:cs="Arial" w:eastAsia="Arial" w:hAnsi="Arial"/>
                <w:sz w:val="14"/>
                <w:szCs w:val="14"/>
                <w:color w:val="auto"/>
              </w:rPr>
              <w:t>Classic Rock</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w w:val="90"/>
              </w:rPr>
              <w:t>Bus, Bus Shelters, Kiosks, Bulletins,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KFWB</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AM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News</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Walls, Posters, Mall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KLSX</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Hot Talk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KNX</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AM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News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KROQ-FM</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Alternative Rock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KRTH-FM</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KTWV</w:t>
            </w:r>
          </w:p>
        </w:tc>
        <w:tc>
          <w:tcPr>
            <w:tcW w:w="24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Smooth Jazz</w:t>
            </w: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WBBM-FM</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Rhythmic Contemporary Hit Radio</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w w:val="98"/>
              </w:rPr>
              <w:t>Bus, Bus Shelters, Rail, Bulletins,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WBBM</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News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Posters, Mall Posters, Walls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WCKG</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Hot Talk</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WJMK</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Oldies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WSCR</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Sports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WUSN</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Country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WXRT-FM</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Adult Album Alternative</w:t>
            </w:r>
          </w:p>
        </w:tc>
        <w:tc>
          <w:tcPr>
            <w:tcW w:w="2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420" w:type="dxa"/>
            <w:vAlign w:val="bottom"/>
            <w:gridSpan w:val="3"/>
          </w:tcPr>
          <w:p>
            <w:pPr>
              <w:spacing w:after="0"/>
              <w:rPr>
                <w:sz w:val="20"/>
                <w:szCs w:val="20"/>
                <w:color w:val="auto"/>
              </w:rPr>
            </w:pPr>
            <w:r>
              <w:rPr>
                <w:rFonts w:ascii="Arial" w:cs="Arial" w:eastAsia="Arial" w:hAnsi="Arial"/>
                <w:sz w:val="14"/>
                <w:szCs w:val="14"/>
                <w:color w:val="auto"/>
              </w:rPr>
              <w:t>San Francisco, CA</w:t>
            </w:r>
          </w:p>
        </w:tc>
        <w:tc>
          <w:tcPr>
            <w:tcW w:w="1360" w:type="dxa"/>
            <w:vAlign w:val="bottom"/>
          </w:tcPr>
          <w:p>
            <w:pPr>
              <w:jc w:val="center"/>
              <w:spacing w:after="0"/>
              <w:rPr>
                <w:sz w:val="20"/>
                <w:szCs w:val="20"/>
                <w:color w:val="auto"/>
              </w:rPr>
            </w:pPr>
            <w:r>
              <w:rPr>
                <w:rFonts w:ascii="Arial" w:cs="Arial" w:eastAsia="Arial" w:hAnsi="Arial"/>
                <w:sz w:val="14"/>
                <w:szCs w:val="14"/>
                <w:color w:val="auto"/>
              </w:rPr>
              <w:t>4</w:t>
            </w:r>
          </w:p>
        </w:tc>
        <w:tc>
          <w:tcPr>
            <w:tcW w:w="1380" w:type="dxa"/>
            <w:vAlign w:val="bottom"/>
            <w:gridSpan w:val="2"/>
          </w:tcPr>
          <w:p>
            <w:pPr>
              <w:ind w:left="240"/>
              <w:spacing w:after="0"/>
              <w:rPr>
                <w:sz w:val="20"/>
                <w:szCs w:val="20"/>
                <w:color w:val="auto"/>
              </w:rPr>
            </w:pPr>
            <w:r>
              <w:rPr>
                <w:rFonts w:ascii="Arial" w:cs="Arial" w:eastAsia="Arial" w:hAnsi="Arial"/>
                <w:sz w:val="14"/>
                <w:szCs w:val="14"/>
                <w:color w:val="auto"/>
              </w:rPr>
              <w:t>KCBS</w:t>
            </w: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AM</w:t>
            </w:r>
          </w:p>
        </w:tc>
        <w:tc>
          <w:tcPr>
            <w:tcW w:w="2960" w:type="dxa"/>
            <w:vAlign w:val="bottom"/>
            <w:gridSpan w:val="2"/>
          </w:tcPr>
          <w:p>
            <w:pPr>
              <w:ind w:left="220"/>
              <w:spacing w:after="0"/>
              <w:rPr>
                <w:sz w:val="20"/>
                <w:szCs w:val="20"/>
                <w:color w:val="auto"/>
              </w:rPr>
            </w:pPr>
            <w:r>
              <w:rPr>
                <w:rFonts w:ascii="Arial" w:cs="Arial" w:eastAsia="Arial" w:hAnsi="Arial"/>
                <w:sz w:val="14"/>
                <w:szCs w:val="14"/>
                <w:color w:val="auto"/>
              </w:rPr>
              <w:t>News</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w w:val="90"/>
              </w:rPr>
              <w:t>Bus, Bus Shelters, Rail, Cable Cars,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KFRC-FM</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Bulletins, Walls, Posters, Mall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KFRC</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AM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KITS</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Alternative Rock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KLLC</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Modern Adult Contemporary</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KYCY</w:t>
            </w:r>
          </w:p>
        </w:tc>
        <w:tc>
          <w:tcPr>
            <w:tcW w:w="24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rPr>
              <w:t>AM</w:t>
            </w:r>
          </w:p>
        </w:tc>
        <w:tc>
          <w:tcPr>
            <w:tcW w:w="29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Talk</w:t>
            </w: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Dallas-Fort Worth, 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KLUV-FM</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Oldies</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Walls, Bulletins, Mall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KOAI</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Smooth Jazz</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KJKK</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Adult Hits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KRLD</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News/Talk</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KVIL</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Adult Contemporary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KLLI</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Hot Talk</w:t>
            </w:r>
          </w:p>
        </w:tc>
        <w:tc>
          <w:tcPr>
            <w:tcW w:w="2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420" w:type="dxa"/>
            <w:vAlign w:val="bottom"/>
            <w:gridSpan w:val="3"/>
          </w:tcPr>
          <w:p>
            <w:pPr>
              <w:spacing w:after="0"/>
              <w:rPr>
                <w:sz w:val="20"/>
                <w:szCs w:val="20"/>
                <w:color w:val="auto"/>
              </w:rPr>
            </w:pPr>
            <w:r>
              <w:rPr>
                <w:rFonts w:ascii="Arial" w:cs="Arial" w:eastAsia="Arial" w:hAnsi="Arial"/>
                <w:sz w:val="14"/>
                <w:szCs w:val="14"/>
                <w:color w:val="auto"/>
              </w:rPr>
              <w:t>Philadelphia, PA</w:t>
            </w:r>
          </w:p>
        </w:tc>
        <w:tc>
          <w:tcPr>
            <w:tcW w:w="1360" w:type="dxa"/>
            <w:vAlign w:val="bottom"/>
          </w:tcPr>
          <w:p>
            <w:pPr>
              <w:jc w:val="center"/>
              <w:spacing w:after="0"/>
              <w:rPr>
                <w:sz w:val="20"/>
                <w:szCs w:val="20"/>
                <w:color w:val="auto"/>
              </w:rPr>
            </w:pPr>
            <w:r>
              <w:rPr>
                <w:rFonts w:ascii="Arial" w:cs="Arial" w:eastAsia="Arial" w:hAnsi="Arial"/>
                <w:sz w:val="14"/>
                <w:szCs w:val="14"/>
                <w:color w:val="auto"/>
              </w:rPr>
              <w:t>6</w:t>
            </w:r>
          </w:p>
        </w:tc>
        <w:tc>
          <w:tcPr>
            <w:tcW w:w="1380" w:type="dxa"/>
            <w:vAlign w:val="bottom"/>
            <w:gridSpan w:val="2"/>
          </w:tcPr>
          <w:p>
            <w:pPr>
              <w:ind w:left="240"/>
              <w:spacing w:after="0"/>
              <w:rPr>
                <w:sz w:val="20"/>
                <w:szCs w:val="20"/>
                <w:color w:val="auto"/>
              </w:rPr>
            </w:pPr>
            <w:r>
              <w:rPr>
                <w:rFonts w:ascii="Arial" w:cs="Arial" w:eastAsia="Arial" w:hAnsi="Arial"/>
                <w:sz w:val="14"/>
                <w:szCs w:val="14"/>
                <w:color w:val="auto"/>
              </w:rPr>
              <w:t>KYW</w:t>
            </w: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AM</w:t>
            </w:r>
          </w:p>
        </w:tc>
        <w:tc>
          <w:tcPr>
            <w:tcW w:w="2960" w:type="dxa"/>
            <w:vAlign w:val="bottom"/>
            <w:gridSpan w:val="2"/>
          </w:tcPr>
          <w:p>
            <w:pPr>
              <w:ind w:left="220"/>
              <w:spacing w:after="0"/>
              <w:rPr>
                <w:sz w:val="20"/>
                <w:szCs w:val="20"/>
                <w:color w:val="auto"/>
              </w:rPr>
            </w:pPr>
            <w:r>
              <w:rPr>
                <w:rFonts w:ascii="Arial" w:cs="Arial" w:eastAsia="Arial" w:hAnsi="Arial"/>
                <w:sz w:val="14"/>
                <w:szCs w:val="14"/>
                <w:color w:val="auto"/>
              </w:rPr>
              <w:t>News</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w w:val="99"/>
              </w:rPr>
              <w:t>Bus Shelters, Rail, Bulletins, Mall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WIP</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AM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Sports</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WOGL</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WPHT</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AM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Talk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WYSP</w:t>
            </w:r>
          </w:p>
        </w:tc>
        <w:tc>
          <w:tcPr>
            <w:tcW w:w="24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Active Rock</w:t>
            </w: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KHJZ-FM</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Smooth Jazz</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Bulletins, Mall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KIKK</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Hot Talk</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KILT-FM</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Country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KILT</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rPr>
              <w:t>AM</w:t>
            </w:r>
          </w:p>
        </w:tc>
        <w:tc>
          <w:tcPr>
            <w:tcW w:w="29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Sports</w:t>
            </w:r>
          </w:p>
        </w:tc>
        <w:tc>
          <w:tcPr>
            <w:tcW w:w="2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420" w:type="dxa"/>
            <w:vAlign w:val="bottom"/>
            <w:gridSpan w:val="3"/>
          </w:tcPr>
          <w:p>
            <w:pPr>
              <w:spacing w:after="0"/>
              <w:rPr>
                <w:sz w:val="20"/>
                <w:szCs w:val="20"/>
                <w:color w:val="auto"/>
              </w:rPr>
            </w:pPr>
            <w:r>
              <w:rPr>
                <w:rFonts w:ascii="Arial" w:cs="Arial" w:eastAsia="Arial" w:hAnsi="Arial"/>
                <w:sz w:val="14"/>
                <w:szCs w:val="14"/>
                <w:color w:val="auto"/>
              </w:rPr>
              <w:t>Washington, D.C.</w:t>
            </w:r>
          </w:p>
        </w:tc>
        <w:tc>
          <w:tcPr>
            <w:tcW w:w="1360" w:type="dxa"/>
            <w:vAlign w:val="bottom"/>
          </w:tcPr>
          <w:p>
            <w:pPr>
              <w:jc w:val="center"/>
              <w:spacing w:after="0"/>
              <w:rPr>
                <w:sz w:val="20"/>
                <w:szCs w:val="20"/>
                <w:color w:val="auto"/>
              </w:rPr>
            </w:pPr>
            <w:r>
              <w:rPr>
                <w:rFonts w:ascii="Arial" w:cs="Arial" w:eastAsia="Arial" w:hAnsi="Arial"/>
                <w:sz w:val="14"/>
                <w:szCs w:val="14"/>
                <w:color w:val="auto"/>
              </w:rPr>
              <w:t>8</w:t>
            </w:r>
          </w:p>
        </w:tc>
        <w:tc>
          <w:tcPr>
            <w:tcW w:w="1380" w:type="dxa"/>
            <w:vAlign w:val="bottom"/>
            <w:gridSpan w:val="2"/>
          </w:tcPr>
          <w:p>
            <w:pPr>
              <w:ind w:left="240"/>
              <w:spacing w:after="0"/>
              <w:rPr>
                <w:sz w:val="20"/>
                <w:szCs w:val="20"/>
                <w:color w:val="auto"/>
              </w:rPr>
            </w:pPr>
            <w:r>
              <w:rPr>
                <w:rFonts w:ascii="Arial" w:cs="Arial" w:eastAsia="Arial" w:hAnsi="Arial"/>
                <w:sz w:val="14"/>
                <w:szCs w:val="14"/>
                <w:color w:val="auto"/>
              </w:rPr>
              <w:t>WARW</w:t>
            </w: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rPr>
                <w:sz w:val="20"/>
                <w:szCs w:val="20"/>
                <w:color w:val="auto"/>
              </w:rPr>
            </w:pPr>
            <w:r>
              <w:rPr>
                <w:rFonts w:ascii="Arial" w:cs="Arial" w:eastAsia="Arial" w:hAnsi="Arial"/>
                <w:sz w:val="14"/>
                <w:szCs w:val="14"/>
                <w:color w:val="auto"/>
              </w:rPr>
              <w:t>Classic Rock</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Bus, Rail, Mall Posters, Walls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WLZL</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Spanish-Tropical</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WJFK-FM</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Hot Talk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96"/>
              </w:rPr>
              <w:t>WPGC-FM WPGC</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Rhythmic Contemporary Hit Radio</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AM</w:t>
            </w:r>
          </w:p>
        </w:tc>
        <w:tc>
          <w:tcPr>
            <w:tcW w:w="2960" w:type="dxa"/>
            <w:vAlign w:val="bottom"/>
            <w:gridSpan w:val="2"/>
          </w:tcPr>
          <w:p>
            <w:pPr>
              <w:ind w:left="220"/>
              <w:spacing w:after="0"/>
              <w:rPr>
                <w:sz w:val="20"/>
                <w:szCs w:val="20"/>
                <w:color w:val="auto"/>
              </w:rPr>
            </w:pPr>
            <w:r>
              <w:rPr>
                <w:rFonts w:ascii="Arial" w:cs="Arial" w:eastAsia="Arial" w:hAnsi="Arial"/>
                <w:sz w:val="14"/>
                <w:szCs w:val="14"/>
                <w:color w:val="auto"/>
              </w:rPr>
              <w:t>Gospel</w:t>
            </w: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2395855</wp:posOffset>
            </wp:positionH>
            <wp:positionV relativeFrom="paragraph">
              <wp:posOffset>-5088890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-5088890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-5337175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-5337175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-5337175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-5337175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-5088890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-5088890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-5088890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-5088890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-5088890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-5088890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-5088890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-5088890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-5088890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-5088890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86"/>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Boston, MA</w:t>
            </w:r>
          </w:p>
        </w:tc>
        <w:tc>
          <w:tcPr>
            <w:tcW w:w="1380" w:type="dxa"/>
            <w:vAlign w:val="bottom"/>
            <w:shd w:val="clear" w:color="auto" w:fill="CCEEFF"/>
          </w:tcPr>
          <w:p>
            <w:pPr>
              <w:jc w:val="center"/>
              <w:ind w:left="312"/>
              <w:spacing w:after="0"/>
              <w:rPr>
                <w:sz w:val="20"/>
                <w:szCs w:val="20"/>
                <w:color w:val="auto"/>
              </w:rPr>
            </w:pPr>
            <w:r>
              <w:rPr>
                <w:rFonts w:ascii="Arial" w:cs="Arial" w:eastAsia="Arial" w:hAnsi="Arial"/>
                <w:sz w:val="14"/>
                <w:szCs w:val="14"/>
                <w:color w:val="auto"/>
              </w:rPr>
              <w:t>9</w:t>
            </w:r>
          </w:p>
        </w:tc>
        <w:tc>
          <w:tcPr>
            <w:tcW w:w="17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WBCN</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FM</w:t>
            </w:r>
          </w:p>
        </w:tc>
        <w:tc>
          <w:tcPr>
            <w:tcW w:w="2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Alternative Rock</w:t>
            </w:r>
          </w:p>
        </w:tc>
        <w:tc>
          <w:tcPr>
            <w:tcW w:w="25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Bus, Rail, Subway, Mall Posters</w:t>
            </w:r>
          </w:p>
        </w:tc>
      </w:tr>
      <w:tr>
        <w:trPr>
          <w:trHeight w:val="149"/>
        </w:trPr>
        <w:tc>
          <w:tcPr>
            <w:tcW w:w="2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WBMX</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6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Hot Adult Contemporary</w:t>
            </w:r>
          </w:p>
        </w:tc>
        <w:tc>
          <w:tcPr>
            <w:tcW w:w="2580" w:type="dxa"/>
            <w:vAlign w:val="bottom"/>
            <w:shd w:val="clear" w:color="auto" w:fill="CCEEFF"/>
          </w:tcPr>
          <w:p>
            <w:pPr>
              <w:spacing w:after="0"/>
              <w:rPr>
                <w:sz w:val="12"/>
                <w:szCs w:val="12"/>
                <w:color w:val="auto"/>
              </w:rPr>
            </w:pPr>
          </w:p>
        </w:tc>
      </w:tr>
      <w:tr>
        <w:trPr>
          <w:trHeight w:val="149"/>
        </w:trPr>
        <w:tc>
          <w:tcPr>
            <w:tcW w:w="2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WBZ</w:t>
            </w:r>
          </w:p>
        </w:tc>
        <w:tc>
          <w:tcPr>
            <w:tcW w:w="7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rPr>
              <w:t>AM</w:t>
            </w:r>
          </w:p>
        </w:tc>
        <w:tc>
          <w:tcPr>
            <w:tcW w:w="26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News</w:t>
            </w:r>
          </w:p>
        </w:tc>
        <w:tc>
          <w:tcPr>
            <w:tcW w:w="2580" w:type="dxa"/>
            <w:vAlign w:val="bottom"/>
            <w:shd w:val="clear" w:color="auto" w:fill="CCEEFF"/>
          </w:tcPr>
          <w:p>
            <w:pPr>
              <w:spacing w:after="0"/>
              <w:rPr>
                <w:sz w:val="12"/>
                <w:szCs w:val="12"/>
                <w:color w:val="auto"/>
              </w:rPr>
            </w:pPr>
          </w:p>
        </w:tc>
      </w:tr>
      <w:tr>
        <w:trPr>
          <w:trHeight w:val="149"/>
        </w:trPr>
        <w:tc>
          <w:tcPr>
            <w:tcW w:w="2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WODS</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6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Oldies</w:t>
            </w:r>
          </w:p>
        </w:tc>
        <w:tc>
          <w:tcPr>
            <w:tcW w:w="2580" w:type="dxa"/>
            <w:vAlign w:val="bottom"/>
            <w:shd w:val="clear" w:color="auto" w:fill="CCEEFF"/>
          </w:tcPr>
          <w:p>
            <w:pPr>
              <w:spacing w:after="0"/>
              <w:rPr>
                <w:sz w:val="12"/>
                <w:szCs w:val="12"/>
                <w:color w:val="auto"/>
              </w:rPr>
            </w:pPr>
          </w:p>
        </w:tc>
      </w:tr>
      <w:tr>
        <w:trPr>
          <w:trHeight w:val="159"/>
        </w:trPr>
        <w:tc>
          <w:tcPr>
            <w:tcW w:w="2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7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WZLX</w:t>
            </w:r>
          </w:p>
        </w:tc>
        <w:tc>
          <w:tcPr>
            <w:tcW w:w="7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68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Classic Rock</w:t>
            </w:r>
          </w:p>
        </w:tc>
        <w:tc>
          <w:tcPr>
            <w:tcW w:w="2580" w:type="dxa"/>
            <w:vAlign w:val="bottom"/>
            <w:shd w:val="clear" w:color="auto" w:fill="CCEEFF"/>
          </w:tcPr>
          <w:p>
            <w:pPr>
              <w:spacing w:after="0"/>
              <w:rPr>
                <w:sz w:val="13"/>
                <w:szCs w:val="13"/>
                <w:color w:val="auto"/>
              </w:rPr>
            </w:pPr>
          </w:p>
        </w:tc>
      </w:tr>
      <w:tr>
        <w:trPr>
          <w:trHeight w:val="286"/>
        </w:trPr>
        <w:tc>
          <w:tcPr>
            <w:tcW w:w="2220" w:type="dxa"/>
            <w:vAlign w:val="bottom"/>
          </w:tcPr>
          <w:p>
            <w:pPr>
              <w:spacing w:after="0"/>
              <w:rPr>
                <w:sz w:val="20"/>
                <w:szCs w:val="20"/>
                <w:color w:val="auto"/>
              </w:rPr>
            </w:pPr>
            <w:r>
              <w:rPr>
                <w:rFonts w:ascii="Arial" w:cs="Arial" w:eastAsia="Arial" w:hAnsi="Arial"/>
                <w:sz w:val="14"/>
                <w:szCs w:val="14"/>
                <w:color w:val="auto"/>
              </w:rPr>
              <w:t>Detroit, MI</w:t>
            </w:r>
          </w:p>
        </w:tc>
        <w:tc>
          <w:tcPr>
            <w:tcW w:w="1380" w:type="dxa"/>
            <w:vAlign w:val="bottom"/>
          </w:tcPr>
          <w:p>
            <w:pPr>
              <w:jc w:val="center"/>
              <w:ind w:left="312"/>
              <w:spacing w:after="0"/>
              <w:rPr>
                <w:sz w:val="20"/>
                <w:szCs w:val="20"/>
                <w:color w:val="auto"/>
              </w:rPr>
            </w:pPr>
            <w:r>
              <w:rPr>
                <w:rFonts w:ascii="Arial" w:cs="Arial" w:eastAsia="Arial" w:hAnsi="Arial"/>
                <w:sz w:val="14"/>
                <w:szCs w:val="14"/>
                <w:color w:val="auto"/>
                <w:w w:val="76"/>
              </w:rPr>
              <w:t>10</w:t>
            </w:r>
          </w:p>
        </w:tc>
        <w:tc>
          <w:tcPr>
            <w:tcW w:w="1780" w:type="dxa"/>
            <w:vAlign w:val="bottom"/>
          </w:tcPr>
          <w:p>
            <w:pPr>
              <w:ind w:left="420"/>
              <w:spacing w:after="0"/>
              <w:rPr>
                <w:sz w:val="20"/>
                <w:szCs w:val="20"/>
                <w:color w:val="auto"/>
              </w:rPr>
            </w:pPr>
            <w:r>
              <w:rPr>
                <w:rFonts w:ascii="Arial" w:cs="Arial" w:eastAsia="Arial" w:hAnsi="Arial"/>
                <w:sz w:val="14"/>
                <w:szCs w:val="14"/>
                <w:color w:val="auto"/>
              </w:rPr>
              <w:t>WKRK-FM</w:t>
            </w: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FM</w:t>
            </w:r>
          </w:p>
        </w:tc>
        <w:tc>
          <w:tcPr>
            <w:tcW w:w="2680" w:type="dxa"/>
            <w:vAlign w:val="bottom"/>
          </w:tcPr>
          <w:p>
            <w:pPr>
              <w:ind w:left="260"/>
              <w:spacing w:after="0"/>
              <w:rPr>
                <w:sz w:val="20"/>
                <w:szCs w:val="20"/>
                <w:color w:val="auto"/>
              </w:rPr>
            </w:pPr>
            <w:r>
              <w:rPr>
                <w:rFonts w:ascii="Arial" w:cs="Arial" w:eastAsia="Arial" w:hAnsi="Arial"/>
                <w:sz w:val="14"/>
                <w:szCs w:val="14"/>
                <w:color w:val="auto"/>
              </w:rPr>
              <w:t>Hot Talk</w:t>
            </w:r>
          </w:p>
        </w:tc>
        <w:tc>
          <w:tcPr>
            <w:tcW w:w="2580" w:type="dxa"/>
            <w:vAlign w:val="bottom"/>
          </w:tcPr>
          <w:p>
            <w:pPr>
              <w:ind w:left="520"/>
              <w:spacing w:after="0"/>
              <w:rPr>
                <w:sz w:val="20"/>
                <w:szCs w:val="20"/>
                <w:color w:val="auto"/>
              </w:rPr>
            </w:pPr>
            <w:r>
              <w:rPr>
                <w:rFonts w:ascii="Arial" w:cs="Arial" w:eastAsia="Arial" w:hAnsi="Arial"/>
                <w:sz w:val="14"/>
                <w:szCs w:val="14"/>
                <w:color w:val="auto"/>
                <w:w w:val="90"/>
              </w:rPr>
              <w:t>Bus, Bulletins, Posters, Mall Posters</w:t>
            </w:r>
          </w:p>
        </w:tc>
      </w:tr>
      <w:tr>
        <w:trPr>
          <w:trHeight w:val="149"/>
        </w:trPr>
        <w:tc>
          <w:tcPr>
            <w:tcW w:w="2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80" w:type="dxa"/>
            <w:vAlign w:val="bottom"/>
          </w:tcPr>
          <w:p>
            <w:pPr>
              <w:ind w:left="420"/>
              <w:spacing w:after="0" w:line="149" w:lineRule="exact"/>
              <w:rPr>
                <w:sz w:val="20"/>
                <w:szCs w:val="20"/>
                <w:color w:val="auto"/>
              </w:rPr>
            </w:pPr>
            <w:r>
              <w:rPr>
                <w:rFonts w:ascii="Arial" w:cs="Arial" w:eastAsia="Arial" w:hAnsi="Arial"/>
                <w:sz w:val="14"/>
                <w:szCs w:val="14"/>
                <w:color w:val="auto"/>
              </w:rPr>
              <w:t>WOMC</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680" w:type="dxa"/>
            <w:vAlign w:val="bottom"/>
          </w:tcPr>
          <w:p>
            <w:pPr>
              <w:ind w:left="260"/>
              <w:spacing w:after="0" w:line="149" w:lineRule="exact"/>
              <w:rPr>
                <w:sz w:val="20"/>
                <w:szCs w:val="20"/>
                <w:color w:val="auto"/>
              </w:rPr>
            </w:pPr>
            <w:r>
              <w:rPr>
                <w:rFonts w:ascii="Arial" w:cs="Arial" w:eastAsia="Arial" w:hAnsi="Arial"/>
                <w:sz w:val="14"/>
                <w:szCs w:val="14"/>
                <w:color w:val="auto"/>
              </w:rPr>
              <w:t>Oldies</w:t>
            </w:r>
          </w:p>
        </w:tc>
        <w:tc>
          <w:tcPr>
            <w:tcW w:w="258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80" w:type="dxa"/>
            <w:vAlign w:val="bottom"/>
          </w:tcPr>
          <w:p>
            <w:pPr>
              <w:ind w:left="420"/>
              <w:spacing w:after="0" w:line="149" w:lineRule="exact"/>
              <w:rPr>
                <w:sz w:val="20"/>
                <w:szCs w:val="20"/>
                <w:color w:val="auto"/>
              </w:rPr>
            </w:pPr>
            <w:r>
              <w:rPr>
                <w:rFonts w:ascii="Arial" w:cs="Arial" w:eastAsia="Arial" w:hAnsi="Arial"/>
                <w:sz w:val="14"/>
                <w:szCs w:val="14"/>
                <w:color w:val="auto"/>
              </w:rPr>
              <w:t>WVMV</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680" w:type="dxa"/>
            <w:vAlign w:val="bottom"/>
          </w:tcPr>
          <w:p>
            <w:pPr>
              <w:ind w:left="260"/>
              <w:spacing w:after="0" w:line="149" w:lineRule="exact"/>
              <w:rPr>
                <w:sz w:val="20"/>
                <w:szCs w:val="20"/>
                <w:color w:val="auto"/>
              </w:rPr>
            </w:pPr>
            <w:r>
              <w:rPr>
                <w:rFonts w:ascii="Arial" w:cs="Arial" w:eastAsia="Arial" w:hAnsi="Arial"/>
                <w:sz w:val="14"/>
                <w:szCs w:val="14"/>
                <w:color w:val="auto"/>
              </w:rPr>
              <w:t>Smooth Jazz</w:t>
            </w:r>
          </w:p>
        </w:tc>
        <w:tc>
          <w:tcPr>
            <w:tcW w:w="258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80" w:type="dxa"/>
            <w:vAlign w:val="bottom"/>
          </w:tcPr>
          <w:p>
            <w:pPr>
              <w:ind w:left="420"/>
              <w:spacing w:after="0" w:line="149" w:lineRule="exact"/>
              <w:rPr>
                <w:sz w:val="20"/>
                <w:szCs w:val="20"/>
                <w:color w:val="auto"/>
              </w:rPr>
            </w:pPr>
            <w:r>
              <w:rPr>
                <w:rFonts w:ascii="Arial" w:cs="Arial" w:eastAsia="Arial" w:hAnsi="Arial"/>
                <w:sz w:val="14"/>
                <w:szCs w:val="14"/>
                <w:color w:val="auto"/>
              </w:rPr>
              <w:t>WWJ</w:t>
            </w:r>
          </w:p>
        </w:tc>
        <w:tc>
          <w:tcPr>
            <w:tcW w:w="780" w:type="dxa"/>
            <w:vAlign w:val="bottom"/>
          </w:tcPr>
          <w:p>
            <w:pPr>
              <w:jc w:val="center"/>
              <w:ind w:left="12"/>
              <w:spacing w:after="0" w:line="149" w:lineRule="exact"/>
              <w:rPr>
                <w:sz w:val="20"/>
                <w:szCs w:val="20"/>
                <w:color w:val="auto"/>
              </w:rPr>
            </w:pPr>
            <w:r>
              <w:rPr>
                <w:rFonts w:ascii="Arial" w:cs="Arial" w:eastAsia="Arial" w:hAnsi="Arial"/>
                <w:sz w:val="14"/>
                <w:szCs w:val="14"/>
                <w:color w:val="auto"/>
              </w:rPr>
              <w:t>AM</w:t>
            </w:r>
          </w:p>
        </w:tc>
        <w:tc>
          <w:tcPr>
            <w:tcW w:w="2680" w:type="dxa"/>
            <w:vAlign w:val="bottom"/>
          </w:tcPr>
          <w:p>
            <w:pPr>
              <w:ind w:left="260"/>
              <w:spacing w:after="0" w:line="149" w:lineRule="exact"/>
              <w:rPr>
                <w:sz w:val="20"/>
                <w:szCs w:val="20"/>
                <w:color w:val="auto"/>
              </w:rPr>
            </w:pPr>
            <w:r>
              <w:rPr>
                <w:rFonts w:ascii="Arial" w:cs="Arial" w:eastAsia="Arial" w:hAnsi="Arial"/>
                <w:sz w:val="14"/>
                <w:szCs w:val="14"/>
                <w:color w:val="auto"/>
              </w:rPr>
              <w:t>News</w:t>
            </w:r>
          </w:p>
        </w:tc>
        <w:tc>
          <w:tcPr>
            <w:tcW w:w="258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80" w:type="dxa"/>
            <w:vAlign w:val="bottom"/>
          </w:tcPr>
          <w:p>
            <w:pPr>
              <w:ind w:left="420"/>
              <w:spacing w:after="0" w:line="149" w:lineRule="exact"/>
              <w:rPr>
                <w:sz w:val="20"/>
                <w:szCs w:val="20"/>
                <w:color w:val="auto"/>
              </w:rPr>
            </w:pPr>
            <w:r>
              <w:rPr>
                <w:rFonts w:ascii="Arial" w:cs="Arial" w:eastAsia="Arial" w:hAnsi="Arial"/>
                <w:sz w:val="14"/>
                <w:szCs w:val="14"/>
                <w:color w:val="auto"/>
              </w:rPr>
              <w:t>WXYT</w:t>
            </w:r>
          </w:p>
        </w:tc>
        <w:tc>
          <w:tcPr>
            <w:tcW w:w="780" w:type="dxa"/>
            <w:vAlign w:val="bottom"/>
          </w:tcPr>
          <w:p>
            <w:pPr>
              <w:jc w:val="center"/>
              <w:ind w:left="12"/>
              <w:spacing w:after="0" w:line="149" w:lineRule="exact"/>
              <w:rPr>
                <w:sz w:val="20"/>
                <w:szCs w:val="20"/>
                <w:color w:val="auto"/>
              </w:rPr>
            </w:pPr>
            <w:r>
              <w:rPr>
                <w:rFonts w:ascii="Arial" w:cs="Arial" w:eastAsia="Arial" w:hAnsi="Arial"/>
                <w:sz w:val="14"/>
                <w:szCs w:val="14"/>
                <w:color w:val="auto"/>
              </w:rPr>
              <w:t>AM</w:t>
            </w:r>
          </w:p>
        </w:tc>
        <w:tc>
          <w:tcPr>
            <w:tcW w:w="2680" w:type="dxa"/>
            <w:vAlign w:val="bottom"/>
          </w:tcPr>
          <w:p>
            <w:pPr>
              <w:ind w:left="260"/>
              <w:spacing w:after="0" w:line="149" w:lineRule="exact"/>
              <w:rPr>
                <w:sz w:val="20"/>
                <w:szCs w:val="20"/>
                <w:color w:val="auto"/>
              </w:rPr>
            </w:pPr>
            <w:r>
              <w:rPr>
                <w:rFonts w:ascii="Arial" w:cs="Arial" w:eastAsia="Arial" w:hAnsi="Arial"/>
                <w:sz w:val="14"/>
                <w:szCs w:val="14"/>
                <w:color w:val="auto"/>
              </w:rPr>
              <w:t>Sports</w:t>
            </w:r>
          </w:p>
        </w:tc>
        <w:tc>
          <w:tcPr>
            <w:tcW w:w="2580" w:type="dxa"/>
            <w:vAlign w:val="bottom"/>
          </w:tcPr>
          <w:p>
            <w:pPr>
              <w:spacing w:after="0"/>
              <w:rPr>
                <w:sz w:val="12"/>
                <w:szCs w:val="12"/>
                <w:color w:val="auto"/>
              </w:rPr>
            </w:pPr>
          </w:p>
        </w:tc>
      </w:tr>
      <w:tr>
        <w:trPr>
          <w:trHeight w:val="159"/>
        </w:trPr>
        <w:tc>
          <w:tcPr>
            <w:tcW w:w="2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780" w:type="dxa"/>
            <w:vAlign w:val="bottom"/>
          </w:tcPr>
          <w:p>
            <w:pPr>
              <w:ind w:left="420"/>
              <w:spacing w:after="0" w:line="159" w:lineRule="exact"/>
              <w:rPr>
                <w:sz w:val="20"/>
                <w:szCs w:val="20"/>
                <w:color w:val="auto"/>
              </w:rPr>
            </w:pPr>
            <w:r>
              <w:rPr>
                <w:rFonts w:ascii="Arial" w:cs="Arial" w:eastAsia="Arial" w:hAnsi="Arial"/>
                <w:sz w:val="14"/>
                <w:szCs w:val="14"/>
                <w:color w:val="auto"/>
              </w:rPr>
              <w:t>WYCD</w:t>
            </w:r>
          </w:p>
        </w:tc>
        <w:tc>
          <w:tcPr>
            <w:tcW w:w="780" w:type="dxa"/>
            <w:vAlign w:val="bottom"/>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680" w:type="dxa"/>
            <w:vAlign w:val="bottom"/>
          </w:tcPr>
          <w:p>
            <w:pPr>
              <w:ind w:left="260"/>
              <w:spacing w:after="0" w:line="159" w:lineRule="exact"/>
              <w:rPr>
                <w:sz w:val="20"/>
                <w:szCs w:val="20"/>
                <w:color w:val="auto"/>
              </w:rPr>
            </w:pPr>
            <w:r>
              <w:rPr>
                <w:rFonts w:ascii="Arial" w:cs="Arial" w:eastAsia="Arial" w:hAnsi="Arial"/>
                <w:sz w:val="14"/>
                <w:szCs w:val="14"/>
                <w:color w:val="auto"/>
              </w:rPr>
              <w:t>Country</w:t>
            </w:r>
          </w:p>
        </w:tc>
        <w:tc>
          <w:tcPr>
            <w:tcW w:w="2580" w:type="dxa"/>
            <w:vAlign w:val="bottom"/>
          </w:tcPr>
          <w:p>
            <w:pPr>
              <w:spacing w:after="0"/>
              <w:rPr>
                <w:sz w:val="13"/>
                <w:szCs w:val="13"/>
                <w:color w:val="auto"/>
              </w:rPr>
            </w:pPr>
          </w:p>
        </w:tc>
      </w:tr>
      <w:tr>
        <w:trPr>
          <w:trHeight w:val="286"/>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Atlanta, GA</w:t>
            </w:r>
          </w:p>
        </w:tc>
        <w:tc>
          <w:tcPr>
            <w:tcW w:w="1380" w:type="dxa"/>
            <w:vAlign w:val="bottom"/>
            <w:shd w:val="clear" w:color="auto" w:fill="CCEEFF"/>
          </w:tcPr>
          <w:p>
            <w:pPr>
              <w:jc w:val="center"/>
              <w:ind w:left="312"/>
              <w:spacing w:after="0"/>
              <w:rPr>
                <w:sz w:val="20"/>
                <w:szCs w:val="20"/>
                <w:color w:val="auto"/>
              </w:rPr>
            </w:pPr>
            <w:r>
              <w:rPr>
                <w:rFonts w:ascii="Arial" w:cs="Arial" w:eastAsia="Arial" w:hAnsi="Arial"/>
                <w:sz w:val="14"/>
                <w:szCs w:val="14"/>
                <w:color w:val="auto"/>
                <w:w w:val="76"/>
              </w:rPr>
              <w:t>11</w:t>
            </w:r>
          </w:p>
        </w:tc>
        <w:tc>
          <w:tcPr>
            <w:tcW w:w="17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WAOK</w:t>
            </w:r>
          </w:p>
        </w:tc>
        <w:tc>
          <w:tcPr>
            <w:tcW w:w="780" w:type="dxa"/>
            <w:vAlign w:val="bottom"/>
            <w:shd w:val="clear" w:color="auto" w:fill="CCEEFF"/>
          </w:tcPr>
          <w:p>
            <w:pPr>
              <w:jc w:val="center"/>
              <w:ind w:left="12"/>
              <w:spacing w:after="0"/>
              <w:rPr>
                <w:sz w:val="20"/>
                <w:szCs w:val="20"/>
                <w:color w:val="auto"/>
              </w:rPr>
            </w:pPr>
            <w:r>
              <w:rPr>
                <w:rFonts w:ascii="Arial" w:cs="Arial" w:eastAsia="Arial" w:hAnsi="Arial"/>
                <w:sz w:val="14"/>
                <w:szCs w:val="14"/>
                <w:color w:val="auto"/>
              </w:rPr>
              <w:t>AM</w:t>
            </w:r>
          </w:p>
        </w:tc>
        <w:tc>
          <w:tcPr>
            <w:tcW w:w="2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Black News/Talk</w:t>
            </w:r>
          </w:p>
        </w:tc>
        <w:tc>
          <w:tcPr>
            <w:tcW w:w="2580" w:type="dxa"/>
            <w:vAlign w:val="bottom"/>
            <w:shd w:val="clear" w:color="auto" w:fill="CCEEFF"/>
          </w:tcPr>
          <w:p>
            <w:pPr>
              <w:ind w:left="520"/>
              <w:spacing w:after="0"/>
              <w:rPr>
                <w:sz w:val="20"/>
                <w:szCs w:val="20"/>
                <w:color w:val="auto"/>
              </w:rPr>
            </w:pPr>
            <w:r>
              <w:rPr>
                <w:rFonts w:ascii="Arial" w:cs="Arial" w:eastAsia="Arial" w:hAnsi="Arial"/>
                <w:sz w:val="14"/>
                <w:szCs w:val="14"/>
                <w:color w:val="auto"/>
                <w:w w:val="98"/>
              </w:rPr>
              <w:t>Bus, Bus Shelters, Rail, Bulletins,</w:t>
            </w:r>
          </w:p>
        </w:tc>
      </w:tr>
      <w:tr>
        <w:trPr>
          <w:trHeight w:val="149"/>
        </w:trPr>
        <w:tc>
          <w:tcPr>
            <w:tcW w:w="2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WVEE</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6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Urban Contemporary</w:t>
            </w:r>
          </w:p>
        </w:tc>
        <w:tc>
          <w:tcPr>
            <w:tcW w:w="25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Posters, Mall Posters</w:t>
            </w:r>
          </w:p>
        </w:tc>
      </w:tr>
      <w:tr>
        <w:trPr>
          <w:trHeight w:val="159"/>
        </w:trPr>
        <w:tc>
          <w:tcPr>
            <w:tcW w:w="2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7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WZGC</w:t>
            </w:r>
          </w:p>
        </w:tc>
        <w:tc>
          <w:tcPr>
            <w:tcW w:w="7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68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Adult Album Alternative</w:t>
            </w:r>
          </w:p>
        </w:tc>
        <w:tc>
          <w:tcPr>
            <w:tcW w:w="2580" w:type="dxa"/>
            <w:vAlign w:val="bottom"/>
            <w:shd w:val="clear" w:color="auto" w:fill="CCEEFF"/>
          </w:tcPr>
          <w:p>
            <w:pPr>
              <w:spacing w:after="0"/>
              <w:rPr>
                <w:sz w:val="13"/>
                <w:szCs w:val="13"/>
                <w:color w:val="auto"/>
              </w:rPr>
            </w:pPr>
          </w:p>
        </w:tc>
      </w:tr>
      <w:tr>
        <w:trPr>
          <w:trHeight w:val="286"/>
        </w:trPr>
        <w:tc>
          <w:tcPr>
            <w:tcW w:w="2220" w:type="dxa"/>
            <w:vAlign w:val="bottom"/>
          </w:tcPr>
          <w:p>
            <w:pPr>
              <w:spacing w:after="0"/>
              <w:rPr>
                <w:sz w:val="20"/>
                <w:szCs w:val="20"/>
                <w:color w:val="auto"/>
              </w:rPr>
            </w:pPr>
            <w:r>
              <w:rPr>
                <w:rFonts w:ascii="Arial" w:cs="Arial" w:eastAsia="Arial" w:hAnsi="Arial"/>
                <w:sz w:val="14"/>
                <w:szCs w:val="14"/>
                <w:color w:val="auto"/>
              </w:rPr>
              <w:t>Miami-Ft. Lauderdale, FL</w:t>
            </w:r>
          </w:p>
        </w:tc>
        <w:tc>
          <w:tcPr>
            <w:tcW w:w="1380" w:type="dxa"/>
            <w:vAlign w:val="bottom"/>
          </w:tcPr>
          <w:p>
            <w:pPr>
              <w:jc w:val="center"/>
              <w:ind w:left="312"/>
              <w:spacing w:after="0"/>
              <w:rPr>
                <w:sz w:val="20"/>
                <w:szCs w:val="20"/>
                <w:color w:val="auto"/>
              </w:rPr>
            </w:pPr>
            <w:r>
              <w:rPr>
                <w:rFonts w:ascii="Arial" w:cs="Arial" w:eastAsia="Arial" w:hAnsi="Arial"/>
                <w:sz w:val="14"/>
                <w:szCs w:val="14"/>
                <w:color w:val="auto"/>
                <w:w w:val="76"/>
              </w:rPr>
              <w:t>12</w:t>
            </w:r>
          </w:p>
        </w:tc>
        <w:tc>
          <w:tcPr>
            <w:tcW w:w="1780" w:type="dxa"/>
            <w:vAlign w:val="bottom"/>
          </w:tcPr>
          <w:p>
            <w:pPr>
              <w:ind w:left="420"/>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2680" w:type="dxa"/>
            <w:vAlign w:val="bottom"/>
          </w:tcPr>
          <w:p>
            <w:pPr>
              <w:ind w:left="260"/>
              <w:spacing w:after="0"/>
              <w:rPr>
                <w:sz w:val="20"/>
                <w:szCs w:val="20"/>
                <w:color w:val="auto"/>
              </w:rPr>
            </w:pPr>
            <w:r>
              <w:rPr>
                <w:rFonts w:ascii="Arial" w:cs="Arial" w:eastAsia="Arial" w:hAnsi="Arial"/>
                <w:sz w:val="14"/>
                <w:szCs w:val="14"/>
                <w:color w:val="auto"/>
              </w:rPr>
              <w:t>—</w:t>
            </w:r>
          </w:p>
        </w:tc>
        <w:tc>
          <w:tcPr>
            <w:tcW w:w="2580" w:type="dxa"/>
            <w:vAlign w:val="bottom"/>
          </w:tcPr>
          <w:p>
            <w:pPr>
              <w:ind w:left="520"/>
              <w:spacing w:after="0"/>
              <w:rPr>
                <w:sz w:val="20"/>
                <w:szCs w:val="20"/>
                <w:color w:val="auto"/>
              </w:rPr>
            </w:pPr>
            <w:r>
              <w:rPr>
                <w:rFonts w:ascii="Arial" w:cs="Arial" w:eastAsia="Arial" w:hAnsi="Arial"/>
                <w:sz w:val="14"/>
                <w:szCs w:val="14"/>
                <w:color w:val="auto"/>
                <w:w w:val="99"/>
              </w:rPr>
              <w:t>Bulletins, Bus, Rail, Mall Posters,</w:t>
            </w:r>
          </w:p>
        </w:tc>
      </w:tr>
      <w:tr>
        <w:trPr>
          <w:trHeight w:val="159"/>
        </w:trPr>
        <w:tc>
          <w:tcPr>
            <w:tcW w:w="2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580" w:type="dxa"/>
            <w:vAlign w:val="bottom"/>
          </w:tcPr>
          <w:p>
            <w:pPr>
              <w:ind w:left="520"/>
              <w:spacing w:after="0" w:line="159" w:lineRule="exact"/>
              <w:rPr>
                <w:sz w:val="20"/>
                <w:szCs w:val="20"/>
                <w:color w:val="auto"/>
              </w:rPr>
            </w:pPr>
            <w:r>
              <w:rPr>
                <w:rFonts w:ascii="Arial" w:cs="Arial" w:eastAsia="Arial" w:hAnsi="Arial"/>
                <w:sz w:val="14"/>
                <w:szCs w:val="14"/>
                <w:color w:val="auto"/>
              </w:rPr>
              <w:t>Kiosks</w:t>
            </w:r>
          </w:p>
        </w:tc>
      </w:tr>
      <w:tr>
        <w:trPr>
          <w:trHeight w:val="297"/>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Puerto Rico</w:t>
            </w:r>
          </w:p>
        </w:tc>
        <w:tc>
          <w:tcPr>
            <w:tcW w:w="1380" w:type="dxa"/>
            <w:vAlign w:val="bottom"/>
            <w:shd w:val="clear" w:color="auto" w:fill="CCEEFF"/>
          </w:tcPr>
          <w:p>
            <w:pPr>
              <w:jc w:val="center"/>
              <w:ind w:left="312"/>
              <w:spacing w:after="0"/>
              <w:rPr>
                <w:sz w:val="20"/>
                <w:szCs w:val="20"/>
                <w:color w:val="auto"/>
              </w:rPr>
            </w:pPr>
            <w:r>
              <w:rPr>
                <w:rFonts w:ascii="Arial" w:cs="Arial" w:eastAsia="Arial" w:hAnsi="Arial"/>
                <w:sz w:val="14"/>
                <w:szCs w:val="14"/>
                <w:color w:val="auto"/>
                <w:w w:val="76"/>
              </w:rPr>
              <w:t>13</w:t>
            </w:r>
          </w:p>
        </w:tc>
        <w:tc>
          <w:tcPr>
            <w:tcW w:w="17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w:t>
            </w:r>
          </w:p>
        </w:tc>
        <w:tc>
          <w:tcPr>
            <w:tcW w:w="2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5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Bulletins, Posters</w:t>
            </w:r>
          </w:p>
        </w:tc>
      </w:tr>
      <w:tr>
        <w:trPr>
          <w:trHeight w:val="286"/>
        </w:trPr>
        <w:tc>
          <w:tcPr>
            <w:tcW w:w="2220" w:type="dxa"/>
            <w:vAlign w:val="bottom"/>
          </w:tcPr>
          <w:p>
            <w:pPr>
              <w:spacing w:after="0"/>
              <w:rPr>
                <w:sz w:val="20"/>
                <w:szCs w:val="20"/>
                <w:color w:val="auto"/>
              </w:rPr>
            </w:pPr>
            <w:r>
              <w:rPr>
                <w:rFonts w:ascii="Arial" w:cs="Arial" w:eastAsia="Arial" w:hAnsi="Arial"/>
                <w:sz w:val="14"/>
                <w:szCs w:val="14"/>
                <w:color w:val="auto"/>
              </w:rPr>
              <w:t>Seattle-Tacoma, WA</w:t>
            </w:r>
          </w:p>
        </w:tc>
        <w:tc>
          <w:tcPr>
            <w:tcW w:w="1380" w:type="dxa"/>
            <w:vAlign w:val="bottom"/>
          </w:tcPr>
          <w:p>
            <w:pPr>
              <w:jc w:val="center"/>
              <w:ind w:left="312"/>
              <w:spacing w:after="0"/>
              <w:rPr>
                <w:sz w:val="20"/>
                <w:szCs w:val="20"/>
                <w:color w:val="auto"/>
              </w:rPr>
            </w:pPr>
            <w:r>
              <w:rPr>
                <w:rFonts w:ascii="Arial" w:cs="Arial" w:eastAsia="Arial" w:hAnsi="Arial"/>
                <w:sz w:val="14"/>
                <w:szCs w:val="14"/>
                <w:color w:val="auto"/>
                <w:w w:val="76"/>
              </w:rPr>
              <w:t>14</w:t>
            </w:r>
          </w:p>
        </w:tc>
        <w:tc>
          <w:tcPr>
            <w:tcW w:w="1780" w:type="dxa"/>
            <w:vAlign w:val="bottom"/>
          </w:tcPr>
          <w:p>
            <w:pPr>
              <w:ind w:left="420"/>
              <w:spacing w:after="0"/>
              <w:rPr>
                <w:sz w:val="20"/>
                <w:szCs w:val="20"/>
                <w:color w:val="auto"/>
              </w:rPr>
            </w:pPr>
            <w:r>
              <w:rPr>
                <w:rFonts w:ascii="Arial" w:cs="Arial" w:eastAsia="Arial" w:hAnsi="Arial"/>
                <w:sz w:val="14"/>
                <w:szCs w:val="14"/>
                <w:color w:val="auto"/>
              </w:rPr>
              <w:t>KBKS-FM</w:t>
            </w: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FM</w:t>
            </w:r>
          </w:p>
        </w:tc>
        <w:tc>
          <w:tcPr>
            <w:tcW w:w="2680" w:type="dxa"/>
            <w:vAlign w:val="bottom"/>
          </w:tcPr>
          <w:p>
            <w:pPr>
              <w:ind w:left="260"/>
              <w:spacing w:after="0"/>
              <w:rPr>
                <w:sz w:val="20"/>
                <w:szCs w:val="20"/>
                <w:color w:val="auto"/>
              </w:rPr>
            </w:pPr>
            <w:r>
              <w:rPr>
                <w:rFonts w:ascii="Arial" w:cs="Arial" w:eastAsia="Arial" w:hAnsi="Arial"/>
                <w:sz w:val="14"/>
                <w:szCs w:val="14"/>
                <w:color w:val="auto"/>
              </w:rPr>
              <w:t>Contemporary Hit Radio</w:t>
            </w:r>
          </w:p>
        </w:tc>
        <w:tc>
          <w:tcPr>
            <w:tcW w:w="2580" w:type="dxa"/>
            <w:vAlign w:val="bottom"/>
          </w:tcPr>
          <w:p>
            <w:pPr>
              <w:ind w:left="520"/>
              <w:spacing w:after="0"/>
              <w:rPr>
                <w:sz w:val="20"/>
                <w:szCs w:val="20"/>
                <w:color w:val="auto"/>
              </w:rPr>
            </w:pPr>
            <w:r>
              <w:rPr>
                <w:rFonts w:ascii="Arial" w:cs="Arial" w:eastAsia="Arial" w:hAnsi="Arial"/>
                <w:sz w:val="14"/>
                <w:szCs w:val="14"/>
                <w:color w:val="auto"/>
              </w:rPr>
              <w:t>Bus, Bulletins, Mall Posters</w:t>
            </w:r>
          </w:p>
        </w:tc>
      </w:tr>
      <w:tr>
        <w:trPr>
          <w:trHeight w:val="149"/>
        </w:trPr>
        <w:tc>
          <w:tcPr>
            <w:tcW w:w="2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80" w:type="dxa"/>
            <w:vAlign w:val="bottom"/>
          </w:tcPr>
          <w:p>
            <w:pPr>
              <w:ind w:left="420"/>
              <w:spacing w:after="0" w:line="149" w:lineRule="exact"/>
              <w:rPr>
                <w:sz w:val="20"/>
                <w:szCs w:val="20"/>
                <w:color w:val="auto"/>
              </w:rPr>
            </w:pPr>
            <w:r>
              <w:rPr>
                <w:rFonts w:ascii="Arial" w:cs="Arial" w:eastAsia="Arial" w:hAnsi="Arial"/>
                <w:sz w:val="14"/>
                <w:szCs w:val="14"/>
                <w:color w:val="auto"/>
              </w:rPr>
              <w:t>KMPS-FM</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680" w:type="dxa"/>
            <w:vAlign w:val="bottom"/>
          </w:tcPr>
          <w:p>
            <w:pPr>
              <w:ind w:left="260"/>
              <w:spacing w:after="0" w:line="149" w:lineRule="exact"/>
              <w:rPr>
                <w:sz w:val="20"/>
                <w:szCs w:val="20"/>
                <w:color w:val="auto"/>
              </w:rPr>
            </w:pPr>
            <w:r>
              <w:rPr>
                <w:rFonts w:ascii="Arial" w:cs="Arial" w:eastAsia="Arial" w:hAnsi="Arial"/>
                <w:sz w:val="14"/>
                <w:szCs w:val="14"/>
                <w:color w:val="auto"/>
              </w:rPr>
              <w:t>Country</w:t>
            </w:r>
          </w:p>
        </w:tc>
        <w:tc>
          <w:tcPr>
            <w:tcW w:w="258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80" w:type="dxa"/>
            <w:vAlign w:val="bottom"/>
          </w:tcPr>
          <w:p>
            <w:pPr>
              <w:ind w:left="420"/>
              <w:spacing w:after="0" w:line="149" w:lineRule="exact"/>
              <w:rPr>
                <w:sz w:val="20"/>
                <w:szCs w:val="20"/>
                <w:color w:val="auto"/>
              </w:rPr>
            </w:pPr>
            <w:r>
              <w:rPr>
                <w:rFonts w:ascii="Arial" w:cs="Arial" w:eastAsia="Arial" w:hAnsi="Arial"/>
                <w:sz w:val="14"/>
                <w:szCs w:val="14"/>
                <w:color w:val="auto"/>
              </w:rPr>
              <w:t>KPTK</w:t>
            </w:r>
          </w:p>
        </w:tc>
        <w:tc>
          <w:tcPr>
            <w:tcW w:w="780" w:type="dxa"/>
            <w:vAlign w:val="bottom"/>
          </w:tcPr>
          <w:p>
            <w:pPr>
              <w:jc w:val="center"/>
              <w:ind w:left="12"/>
              <w:spacing w:after="0" w:line="149" w:lineRule="exact"/>
              <w:rPr>
                <w:sz w:val="20"/>
                <w:szCs w:val="20"/>
                <w:color w:val="auto"/>
              </w:rPr>
            </w:pPr>
            <w:r>
              <w:rPr>
                <w:rFonts w:ascii="Arial" w:cs="Arial" w:eastAsia="Arial" w:hAnsi="Arial"/>
                <w:sz w:val="14"/>
                <w:szCs w:val="14"/>
                <w:color w:val="auto"/>
              </w:rPr>
              <w:t>AM</w:t>
            </w:r>
          </w:p>
        </w:tc>
        <w:tc>
          <w:tcPr>
            <w:tcW w:w="2680" w:type="dxa"/>
            <w:vAlign w:val="bottom"/>
          </w:tcPr>
          <w:p>
            <w:pPr>
              <w:ind w:left="260"/>
              <w:spacing w:after="0" w:line="149" w:lineRule="exact"/>
              <w:rPr>
                <w:sz w:val="20"/>
                <w:szCs w:val="20"/>
                <w:color w:val="auto"/>
              </w:rPr>
            </w:pPr>
            <w:r>
              <w:rPr>
                <w:rFonts w:ascii="Arial" w:cs="Arial" w:eastAsia="Arial" w:hAnsi="Arial"/>
                <w:sz w:val="14"/>
                <w:szCs w:val="14"/>
                <w:color w:val="auto"/>
              </w:rPr>
              <w:t>Progressive Talk</w:t>
            </w:r>
          </w:p>
        </w:tc>
        <w:tc>
          <w:tcPr>
            <w:tcW w:w="258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80" w:type="dxa"/>
            <w:vAlign w:val="bottom"/>
          </w:tcPr>
          <w:p>
            <w:pPr>
              <w:ind w:left="420"/>
              <w:spacing w:after="0" w:line="149" w:lineRule="exact"/>
              <w:rPr>
                <w:sz w:val="20"/>
                <w:szCs w:val="20"/>
                <w:color w:val="auto"/>
              </w:rPr>
            </w:pPr>
            <w:r>
              <w:rPr>
                <w:rFonts w:ascii="Arial" w:cs="Arial" w:eastAsia="Arial" w:hAnsi="Arial"/>
                <w:sz w:val="14"/>
                <w:szCs w:val="14"/>
                <w:color w:val="auto"/>
              </w:rPr>
              <w:t>KRQI-FM</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680" w:type="dxa"/>
            <w:vAlign w:val="bottom"/>
          </w:tcPr>
          <w:p>
            <w:pPr>
              <w:ind w:left="260"/>
              <w:spacing w:after="0" w:line="149" w:lineRule="exact"/>
              <w:rPr>
                <w:sz w:val="20"/>
                <w:szCs w:val="20"/>
                <w:color w:val="auto"/>
              </w:rPr>
            </w:pPr>
            <w:r>
              <w:rPr>
                <w:rFonts w:ascii="Arial" w:cs="Arial" w:eastAsia="Arial" w:hAnsi="Arial"/>
                <w:sz w:val="14"/>
                <w:szCs w:val="14"/>
                <w:color w:val="auto"/>
              </w:rPr>
              <w:t>Classic Alternative</w:t>
            </w:r>
          </w:p>
        </w:tc>
        <w:tc>
          <w:tcPr>
            <w:tcW w:w="2580" w:type="dxa"/>
            <w:vAlign w:val="bottom"/>
          </w:tcPr>
          <w:p>
            <w:pPr>
              <w:spacing w:after="0"/>
              <w:rPr>
                <w:sz w:val="12"/>
                <w:szCs w:val="12"/>
                <w:color w:val="auto"/>
              </w:rPr>
            </w:pPr>
          </w:p>
        </w:tc>
      </w:tr>
      <w:tr>
        <w:trPr>
          <w:trHeight w:val="159"/>
        </w:trPr>
        <w:tc>
          <w:tcPr>
            <w:tcW w:w="2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780" w:type="dxa"/>
            <w:vAlign w:val="bottom"/>
          </w:tcPr>
          <w:p>
            <w:pPr>
              <w:ind w:left="420"/>
              <w:spacing w:after="0" w:line="159" w:lineRule="exact"/>
              <w:rPr>
                <w:sz w:val="20"/>
                <w:szCs w:val="20"/>
                <w:color w:val="auto"/>
              </w:rPr>
            </w:pPr>
            <w:r>
              <w:rPr>
                <w:rFonts w:ascii="Arial" w:cs="Arial" w:eastAsia="Arial" w:hAnsi="Arial"/>
                <w:sz w:val="14"/>
                <w:szCs w:val="14"/>
                <w:color w:val="auto"/>
              </w:rPr>
              <w:t>KZOK-FM</w:t>
            </w:r>
          </w:p>
        </w:tc>
        <w:tc>
          <w:tcPr>
            <w:tcW w:w="780" w:type="dxa"/>
            <w:vAlign w:val="bottom"/>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680" w:type="dxa"/>
            <w:vAlign w:val="bottom"/>
          </w:tcPr>
          <w:p>
            <w:pPr>
              <w:ind w:left="260"/>
              <w:spacing w:after="0" w:line="159" w:lineRule="exact"/>
              <w:rPr>
                <w:sz w:val="20"/>
                <w:szCs w:val="20"/>
                <w:color w:val="auto"/>
              </w:rPr>
            </w:pPr>
            <w:r>
              <w:rPr>
                <w:rFonts w:ascii="Arial" w:cs="Arial" w:eastAsia="Arial" w:hAnsi="Arial"/>
                <w:sz w:val="14"/>
                <w:szCs w:val="14"/>
                <w:color w:val="auto"/>
              </w:rPr>
              <w:t>Classic Rock</w:t>
            </w:r>
          </w:p>
        </w:tc>
        <w:tc>
          <w:tcPr>
            <w:tcW w:w="2580" w:type="dxa"/>
            <w:vAlign w:val="bottom"/>
          </w:tcPr>
          <w:p>
            <w:pPr>
              <w:spacing w:after="0"/>
              <w:rPr>
                <w:sz w:val="13"/>
                <w:szCs w:val="13"/>
                <w:color w:val="auto"/>
              </w:rPr>
            </w:pPr>
          </w:p>
        </w:tc>
      </w:tr>
      <w:tr>
        <w:trPr>
          <w:trHeight w:val="286"/>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Phoenix, AZ</w:t>
            </w:r>
          </w:p>
        </w:tc>
        <w:tc>
          <w:tcPr>
            <w:tcW w:w="1380" w:type="dxa"/>
            <w:vAlign w:val="bottom"/>
            <w:shd w:val="clear" w:color="auto" w:fill="CCEEFF"/>
          </w:tcPr>
          <w:p>
            <w:pPr>
              <w:jc w:val="center"/>
              <w:ind w:left="312"/>
              <w:spacing w:after="0"/>
              <w:rPr>
                <w:sz w:val="20"/>
                <w:szCs w:val="20"/>
                <w:color w:val="auto"/>
              </w:rPr>
            </w:pPr>
            <w:r>
              <w:rPr>
                <w:rFonts w:ascii="Arial" w:cs="Arial" w:eastAsia="Arial" w:hAnsi="Arial"/>
                <w:sz w:val="14"/>
                <w:szCs w:val="14"/>
                <w:color w:val="auto"/>
                <w:w w:val="76"/>
              </w:rPr>
              <w:t>15</w:t>
            </w:r>
          </w:p>
        </w:tc>
        <w:tc>
          <w:tcPr>
            <w:tcW w:w="17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KOOL-FM</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FM</w:t>
            </w:r>
          </w:p>
        </w:tc>
        <w:tc>
          <w:tcPr>
            <w:tcW w:w="2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Oldies</w:t>
            </w:r>
          </w:p>
        </w:tc>
        <w:tc>
          <w:tcPr>
            <w:tcW w:w="2580" w:type="dxa"/>
            <w:vAlign w:val="bottom"/>
            <w:shd w:val="clear" w:color="auto" w:fill="CCEEFF"/>
          </w:tcPr>
          <w:p>
            <w:pPr>
              <w:ind w:left="520"/>
              <w:spacing w:after="0"/>
              <w:rPr>
                <w:sz w:val="20"/>
                <w:szCs w:val="20"/>
                <w:color w:val="auto"/>
              </w:rPr>
            </w:pPr>
            <w:r>
              <w:rPr>
                <w:rFonts w:ascii="Arial" w:cs="Arial" w:eastAsia="Arial" w:hAnsi="Arial"/>
                <w:sz w:val="14"/>
                <w:szCs w:val="14"/>
                <w:color w:val="auto"/>
                <w:w w:val="89"/>
              </w:rPr>
              <w:t>Bus Shelters, Bulletins, Posters, Mall</w:t>
            </w:r>
          </w:p>
        </w:tc>
      </w:tr>
      <w:tr>
        <w:trPr>
          <w:trHeight w:val="149"/>
        </w:trPr>
        <w:tc>
          <w:tcPr>
            <w:tcW w:w="2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KZON</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6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Alternative Rock</w:t>
            </w:r>
          </w:p>
        </w:tc>
        <w:tc>
          <w:tcPr>
            <w:tcW w:w="25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Posters, Benches, Walls</w:t>
            </w:r>
          </w:p>
        </w:tc>
      </w:tr>
      <w:tr>
        <w:trPr>
          <w:trHeight w:val="159"/>
        </w:trPr>
        <w:tc>
          <w:tcPr>
            <w:tcW w:w="2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7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KMLE</w:t>
            </w:r>
          </w:p>
        </w:tc>
        <w:tc>
          <w:tcPr>
            <w:tcW w:w="7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68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Country</w:t>
            </w:r>
          </w:p>
        </w:tc>
        <w:tc>
          <w:tcPr>
            <w:tcW w:w="2580" w:type="dxa"/>
            <w:vAlign w:val="bottom"/>
            <w:shd w:val="clear" w:color="auto" w:fill="CCEEFF"/>
          </w:tcPr>
          <w:p>
            <w:pPr>
              <w:spacing w:after="0"/>
              <w:rPr>
                <w:sz w:val="13"/>
                <w:szCs w:val="13"/>
                <w:color w:val="auto"/>
              </w:rPr>
            </w:pPr>
          </w:p>
        </w:tc>
      </w:tr>
      <w:tr>
        <w:trPr>
          <w:trHeight w:val="286"/>
        </w:trPr>
        <w:tc>
          <w:tcPr>
            <w:tcW w:w="2220" w:type="dxa"/>
            <w:vAlign w:val="bottom"/>
          </w:tcPr>
          <w:p>
            <w:pPr>
              <w:spacing w:after="0"/>
              <w:rPr>
                <w:sz w:val="20"/>
                <w:szCs w:val="20"/>
                <w:color w:val="auto"/>
              </w:rPr>
            </w:pPr>
            <w:r>
              <w:rPr>
                <w:rFonts w:ascii="Arial" w:cs="Arial" w:eastAsia="Arial" w:hAnsi="Arial"/>
                <w:sz w:val="14"/>
                <w:szCs w:val="14"/>
                <w:color w:val="auto"/>
              </w:rPr>
              <w:t>Minneapolis, MN</w:t>
            </w:r>
          </w:p>
        </w:tc>
        <w:tc>
          <w:tcPr>
            <w:tcW w:w="1380" w:type="dxa"/>
            <w:vAlign w:val="bottom"/>
          </w:tcPr>
          <w:p>
            <w:pPr>
              <w:jc w:val="center"/>
              <w:ind w:left="312"/>
              <w:spacing w:after="0"/>
              <w:rPr>
                <w:sz w:val="20"/>
                <w:szCs w:val="20"/>
                <w:color w:val="auto"/>
              </w:rPr>
            </w:pPr>
            <w:r>
              <w:rPr>
                <w:rFonts w:ascii="Arial" w:cs="Arial" w:eastAsia="Arial" w:hAnsi="Arial"/>
                <w:sz w:val="14"/>
                <w:szCs w:val="14"/>
                <w:color w:val="auto"/>
                <w:w w:val="76"/>
              </w:rPr>
              <w:t>16</w:t>
            </w:r>
          </w:p>
        </w:tc>
        <w:tc>
          <w:tcPr>
            <w:tcW w:w="1780" w:type="dxa"/>
            <w:vAlign w:val="bottom"/>
          </w:tcPr>
          <w:p>
            <w:pPr>
              <w:ind w:left="420"/>
              <w:spacing w:after="0"/>
              <w:rPr>
                <w:sz w:val="20"/>
                <w:szCs w:val="20"/>
                <w:color w:val="auto"/>
              </w:rPr>
            </w:pPr>
            <w:r>
              <w:rPr>
                <w:rFonts w:ascii="Arial" w:cs="Arial" w:eastAsia="Arial" w:hAnsi="Arial"/>
                <w:sz w:val="14"/>
                <w:szCs w:val="14"/>
                <w:color w:val="auto"/>
              </w:rPr>
              <w:t>WCCO</w:t>
            </w:r>
          </w:p>
        </w:tc>
        <w:tc>
          <w:tcPr>
            <w:tcW w:w="780" w:type="dxa"/>
            <w:vAlign w:val="bottom"/>
          </w:tcPr>
          <w:p>
            <w:pPr>
              <w:jc w:val="center"/>
              <w:ind w:left="12"/>
              <w:spacing w:after="0"/>
              <w:rPr>
                <w:sz w:val="20"/>
                <w:szCs w:val="20"/>
                <w:color w:val="auto"/>
              </w:rPr>
            </w:pPr>
            <w:r>
              <w:rPr>
                <w:rFonts w:ascii="Arial" w:cs="Arial" w:eastAsia="Arial" w:hAnsi="Arial"/>
                <w:sz w:val="14"/>
                <w:szCs w:val="14"/>
                <w:color w:val="auto"/>
              </w:rPr>
              <w:t>AM</w:t>
            </w:r>
          </w:p>
        </w:tc>
        <w:tc>
          <w:tcPr>
            <w:tcW w:w="2680" w:type="dxa"/>
            <w:vAlign w:val="bottom"/>
          </w:tcPr>
          <w:p>
            <w:pPr>
              <w:ind w:left="260"/>
              <w:spacing w:after="0"/>
              <w:rPr>
                <w:sz w:val="20"/>
                <w:szCs w:val="20"/>
                <w:color w:val="auto"/>
              </w:rPr>
            </w:pPr>
            <w:r>
              <w:rPr>
                <w:rFonts w:ascii="Arial" w:cs="Arial" w:eastAsia="Arial" w:hAnsi="Arial"/>
                <w:sz w:val="14"/>
                <w:szCs w:val="14"/>
                <w:color w:val="auto"/>
              </w:rPr>
              <w:t>News/Talk/Sports</w:t>
            </w:r>
          </w:p>
        </w:tc>
        <w:tc>
          <w:tcPr>
            <w:tcW w:w="2580" w:type="dxa"/>
            <w:vAlign w:val="bottom"/>
          </w:tcPr>
          <w:p>
            <w:pPr>
              <w:ind w:left="520"/>
              <w:spacing w:after="0"/>
              <w:rPr>
                <w:sz w:val="20"/>
                <w:szCs w:val="20"/>
                <w:color w:val="auto"/>
              </w:rPr>
            </w:pPr>
            <w:r>
              <w:rPr>
                <w:rFonts w:ascii="Arial" w:cs="Arial" w:eastAsia="Arial" w:hAnsi="Arial"/>
                <w:sz w:val="14"/>
                <w:szCs w:val="14"/>
                <w:color w:val="auto"/>
              </w:rPr>
              <w:t>Bus, Rail, Bulletins, Mall Posters</w:t>
            </w:r>
          </w:p>
        </w:tc>
      </w:tr>
      <w:tr>
        <w:trPr>
          <w:trHeight w:val="149"/>
        </w:trPr>
        <w:tc>
          <w:tcPr>
            <w:tcW w:w="2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80" w:type="dxa"/>
            <w:vAlign w:val="bottom"/>
          </w:tcPr>
          <w:p>
            <w:pPr>
              <w:ind w:left="420"/>
              <w:spacing w:after="0" w:line="149" w:lineRule="exact"/>
              <w:rPr>
                <w:sz w:val="20"/>
                <w:szCs w:val="20"/>
                <w:color w:val="auto"/>
              </w:rPr>
            </w:pPr>
            <w:r>
              <w:rPr>
                <w:rFonts w:ascii="Arial" w:cs="Arial" w:eastAsia="Arial" w:hAnsi="Arial"/>
                <w:sz w:val="14"/>
                <w:szCs w:val="14"/>
                <w:color w:val="auto"/>
              </w:rPr>
              <w:t>WLTE</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680" w:type="dxa"/>
            <w:vAlign w:val="bottom"/>
          </w:tcPr>
          <w:p>
            <w:pPr>
              <w:ind w:left="260"/>
              <w:spacing w:after="0" w:line="149" w:lineRule="exact"/>
              <w:rPr>
                <w:sz w:val="20"/>
                <w:szCs w:val="20"/>
                <w:color w:val="auto"/>
              </w:rPr>
            </w:pPr>
            <w:r>
              <w:rPr>
                <w:rFonts w:ascii="Arial" w:cs="Arial" w:eastAsia="Arial" w:hAnsi="Arial"/>
                <w:sz w:val="14"/>
                <w:szCs w:val="14"/>
                <w:color w:val="auto"/>
              </w:rPr>
              <w:t>Adult Contemporary</w:t>
            </w:r>
          </w:p>
        </w:tc>
        <w:tc>
          <w:tcPr>
            <w:tcW w:w="2580" w:type="dxa"/>
            <w:vAlign w:val="bottom"/>
          </w:tcPr>
          <w:p>
            <w:pPr>
              <w:spacing w:after="0"/>
              <w:rPr>
                <w:sz w:val="12"/>
                <w:szCs w:val="12"/>
                <w:color w:val="auto"/>
              </w:rPr>
            </w:pPr>
          </w:p>
        </w:tc>
      </w:tr>
      <w:tr>
        <w:trPr>
          <w:trHeight w:val="159"/>
        </w:trPr>
        <w:tc>
          <w:tcPr>
            <w:tcW w:w="2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780" w:type="dxa"/>
            <w:vAlign w:val="bottom"/>
          </w:tcPr>
          <w:p>
            <w:pPr>
              <w:ind w:left="420"/>
              <w:spacing w:after="0" w:line="159" w:lineRule="exact"/>
              <w:rPr>
                <w:sz w:val="20"/>
                <w:szCs w:val="20"/>
                <w:color w:val="auto"/>
              </w:rPr>
            </w:pPr>
            <w:r>
              <w:rPr>
                <w:rFonts w:ascii="Arial" w:cs="Arial" w:eastAsia="Arial" w:hAnsi="Arial"/>
                <w:sz w:val="14"/>
                <w:szCs w:val="14"/>
                <w:color w:val="auto"/>
              </w:rPr>
              <w:t>WXPT</w:t>
            </w:r>
          </w:p>
        </w:tc>
        <w:tc>
          <w:tcPr>
            <w:tcW w:w="780" w:type="dxa"/>
            <w:vAlign w:val="bottom"/>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680" w:type="dxa"/>
            <w:vAlign w:val="bottom"/>
          </w:tcPr>
          <w:p>
            <w:pPr>
              <w:ind w:left="260"/>
              <w:spacing w:after="0" w:line="159" w:lineRule="exact"/>
              <w:rPr>
                <w:sz w:val="20"/>
                <w:szCs w:val="20"/>
                <w:color w:val="auto"/>
              </w:rPr>
            </w:pPr>
            <w:r>
              <w:rPr>
                <w:rFonts w:ascii="Arial" w:cs="Arial" w:eastAsia="Arial" w:hAnsi="Arial"/>
                <w:sz w:val="14"/>
                <w:szCs w:val="14"/>
                <w:color w:val="auto"/>
              </w:rPr>
              <w:t>Hot Adult Contemporary</w:t>
            </w:r>
          </w:p>
        </w:tc>
        <w:tc>
          <w:tcPr>
            <w:tcW w:w="2580" w:type="dxa"/>
            <w:vAlign w:val="bottom"/>
          </w:tcPr>
          <w:p>
            <w:pPr>
              <w:spacing w:after="0"/>
              <w:rPr>
                <w:sz w:val="13"/>
                <w:szCs w:val="13"/>
                <w:color w:val="auto"/>
              </w:rPr>
            </w:pPr>
          </w:p>
        </w:tc>
      </w:tr>
      <w:tr>
        <w:trPr>
          <w:trHeight w:val="286"/>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San Diego, CA</w:t>
            </w:r>
          </w:p>
        </w:tc>
        <w:tc>
          <w:tcPr>
            <w:tcW w:w="1380" w:type="dxa"/>
            <w:vAlign w:val="bottom"/>
            <w:shd w:val="clear" w:color="auto" w:fill="CCEEFF"/>
          </w:tcPr>
          <w:p>
            <w:pPr>
              <w:jc w:val="center"/>
              <w:ind w:left="312"/>
              <w:spacing w:after="0"/>
              <w:rPr>
                <w:sz w:val="20"/>
                <w:szCs w:val="20"/>
                <w:color w:val="auto"/>
              </w:rPr>
            </w:pPr>
            <w:r>
              <w:rPr>
                <w:rFonts w:ascii="Arial" w:cs="Arial" w:eastAsia="Arial" w:hAnsi="Arial"/>
                <w:sz w:val="14"/>
                <w:szCs w:val="14"/>
                <w:color w:val="auto"/>
                <w:w w:val="76"/>
              </w:rPr>
              <w:t>17</w:t>
            </w:r>
          </w:p>
        </w:tc>
        <w:tc>
          <w:tcPr>
            <w:tcW w:w="17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KPLN</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FM</w:t>
            </w:r>
          </w:p>
        </w:tc>
        <w:tc>
          <w:tcPr>
            <w:tcW w:w="2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Classic Rock</w:t>
            </w:r>
          </w:p>
        </w:tc>
        <w:tc>
          <w:tcPr>
            <w:tcW w:w="2580" w:type="dxa"/>
            <w:vAlign w:val="bottom"/>
            <w:shd w:val="clear" w:color="auto" w:fill="CCEEFF"/>
          </w:tcPr>
          <w:p>
            <w:pPr>
              <w:ind w:left="520"/>
              <w:spacing w:after="0"/>
              <w:rPr>
                <w:sz w:val="20"/>
                <w:szCs w:val="20"/>
                <w:color w:val="auto"/>
              </w:rPr>
            </w:pPr>
            <w:r>
              <w:rPr>
                <w:rFonts w:ascii="Arial" w:cs="Arial" w:eastAsia="Arial" w:hAnsi="Arial"/>
                <w:sz w:val="14"/>
                <w:szCs w:val="14"/>
                <w:color w:val="auto"/>
                <w:w w:val="88"/>
              </w:rPr>
              <w:t>Bus, Bus Shelters, Bulletins, Posters,</w:t>
            </w:r>
          </w:p>
        </w:tc>
      </w:tr>
      <w:tr>
        <w:trPr>
          <w:trHeight w:val="159"/>
        </w:trPr>
        <w:tc>
          <w:tcPr>
            <w:tcW w:w="2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7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KYXY</w:t>
            </w:r>
          </w:p>
        </w:tc>
        <w:tc>
          <w:tcPr>
            <w:tcW w:w="7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68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Adult Contemporary</w:t>
            </w:r>
          </w:p>
        </w:tc>
        <w:tc>
          <w:tcPr>
            <w:tcW w:w="258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Mall Posters</w:t>
            </w:r>
          </w:p>
        </w:tc>
      </w:tr>
      <w:tr>
        <w:trPr>
          <w:trHeight w:val="297"/>
        </w:trPr>
        <w:tc>
          <w:tcPr>
            <w:tcW w:w="2220" w:type="dxa"/>
            <w:vAlign w:val="bottom"/>
          </w:tcPr>
          <w:p>
            <w:pPr>
              <w:spacing w:after="0"/>
              <w:rPr>
                <w:sz w:val="20"/>
                <w:szCs w:val="20"/>
                <w:color w:val="auto"/>
              </w:rPr>
            </w:pPr>
            <w:r>
              <w:rPr>
                <w:rFonts w:ascii="Arial" w:cs="Arial" w:eastAsia="Arial" w:hAnsi="Arial"/>
                <w:sz w:val="14"/>
                <w:szCs w:val="14"/>
                <w:color w:val="auto"/>
              </w:rPr>
              <w:t>Nassau-Suffolk, NY(2)</w:t>
            </w:r>
          </w:p>
        </w:tc>
        <w:tc>
          <w:tcPr>
            <w:tcW w:w="1380" w:type="dxa"/>
            <w:vAlign w:val="bottom"/>
          </w:tcPr>
          <w:p>
            <w:pPr>
              <w:jc w:val="center"/>
              <w:ind w:left="312"/>
              <w:spacing w:after="0"/>
              <w:rPr>
                <w:sz w:val="20"/>
                <w:szCs w:val="20"/>
                <w:color w:val="auto"/>
              </w:rPr>
            </w:pPr>
            <w:r>
              <w:rPr>
                <w:rFonts w:ascii="Arial" w:cs="Arial" w:eastAsia="Arial" w:hAnsi="Arial"/>
                <w:sz w:val="14"/>
                <w:szCs w:val="14"/>
                <w:color w:val="auto"/>
                <w:w w:val="76"/>
              </w:rPr>
              <w:t>18</w:t>
            </w:r>
          </w:p>
        </w:tc>
        <w:tc>
          <w:tcPr>
            <w:tcW w:w="1780" w:type="dxa"/>
            <w:vAlign w:val="bottom"/>
          </w:tcPr>
          <w:p>
            <w:pPr>
              <w:ind w:left="420"/>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2680" w:type="dxa"/>
            <w:vAlign w:val="bottom"/>
          </w:tcPr>
          <w:p>
            <w:pPr>
              <w:ind w:left="260"/>
              <w:spacing w:after="0"/>
              <w:rPr>
                <w:sz w:val="20"/>
                <w:szCs w:val="20"/>
                <w:color w:val="auto"/>
              </w:rPr>
            </w:pPr>
            <w:r>
              <w:rPr>
                <w:rFonts w:ascii="Arial" w:cs="Arial" w:eastAsia="Arial" w:hAnsi="Arial"/>
                <w:sz w:val="14"/>
                <w:szCs w:val="14"/>
                <w:color w:val="auto"/>
              </w:rPr>
              <w:t>—</w:t>
            </w:r>
          </w:p>
        </w:tc>
        <w:tc>
          <w:tcPr>
            <w:tcW w:w="2580" w:type="dxa"/>
            <w:vAlign w:val="bottom"/>
          </w:tcPr>
          <w:p>
            <w:pPr>
              <w:ind w:left="520"/>
              <w:spacing w:after="0"/>
              <w:rPr>
                <w:sz w:val="20"/>
                <w:szCs w:val="20"/>
                <w:color w:val="auto"/>
              </w:rPr>
            </w:pPr>
            <w:r>
              <w:rPr>
                <w:rFonts w:ascii="Arial" w:cs="Arial" w:eastAsia="Arial" w:hAnsi="Arial"/>
                <w:sz w:val="14"/>
                <w:szCs w:val="14"/>
                <w:color w:val="auto"/>
              </w:rPr>
              <w:t>Bus, Bulletins</w:t>
            </w:r>
          </w:p>
        </w:tc>
      </w:tr>
      <w:tr>
        <w:trPr>
          <w:trHeight w:val="286"/>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St. Louis, MO</w:t>
            </w:r>
          </w:p>
        </w:tc>
        <w:tc>
          <w:tcPr>
            <w:tcW w:w="1380" w:type="dxa"/>
            <w:vAlign w:val="bottom"/>
            <w:shd w:val="clear" w:color="auto" w:fill="CCEEFF"/>
          </w:tcPr>
          <w:p>
            <w:pPr>
              <w:jc w:val="center"/>
              <w:ind w:left="312"/>
              <w:spacing w:after="0"/>
              <w:rPr>
                <w:sz w:val="20"/>
                <w:szCs w:val="20"/>
                <w:color w:val="auto"/>
              </w:rPr>
            </w:pPr>
            <w:r>
              <w:rPr>
                <w:rFonts w:ascii="Arial" w:cs="Arial" w:eastAsia="Arial" w:hAnsi="Arial"/>
                <w:sz w:val="14"/>
                <w:szCs w:val="14"/>
                <w:color w:val="auto"/>
                <w:w w:val="76"/>
              </w:rPr>
              <w:t>19</w:t>
            </w:r>
          </w:p>
        </w:tc>
        <w:tc>
          <w:tcPr>
            <w:tcW w:w="17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KEZK-FM KMOX</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FM</w:t>
            </w:r>
          </w:p>
        </w:tc>
        <w:tc>
          <w:tcPr>
            <w:tcW w:w="2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Adult Contemporary</w:t>
            </w:r>
          </w:p>
        </w:tc>
        <w:tc>
          <w:tcPr>
            <w:tcW w:w="25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Bulletins, Posters, Mall Posters</w:t>
            </w:r>
          </w:p>
        </w:tc>
      </w:tr>
      <w:tr>
        <w:trPr>
          <w:trHeight w:val="149"/>
        </w:trPr>
        <w:tc>
          <w:tcPr>
            <w:tcW w:w="2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KYKY</w:t>
            </w:r>
          </w:p>
        </w:tc>
        <w:tc>
          <w:tcPr>
            <w:tcW w:w="7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rPr>
              <w:t>AM</w:t>
            </w:r>
          </w:p>
        </w:tc>
        <w:tc>
          <w:tcPr>
            <w:tcW w:w="26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News/Talk</w:t>
            </w:r>
          </w:p>
        </w:tc>
        <w:tc>
          <w:tcPr>
            <w:tcW w:w="2580" w:type="dxa"/>
            <w:vAlign w:val="bottom"/>
            <w:shd w:val="clear" w:color="auto" w:fill="CCEEFF"/>
          </w:tcPr>
          <w:p>
            <w:pPr>
              <w:spacing w:after="0"/>
              <w:rPr>
                <w:sz w:val="12"/>
                <w:szCs w:val="12"/>
                <w:color w:val="auto"/>
              </w:rPr>
            </w:pPr>
          </w:p>
        </w:tc>
      </w:tr>
      <w:tr>
        <w:trPr>
          <w:trHeight w:val="159"/>
        </w:trPr>
        <w:tc>
          <w:tcPr>
            <w:tcW w:w="2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7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68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Hot Adult Contemporary</w:t>
            </w:r>
          </w:p>
        </w:tc>
        <w:tc>
          <w:tcPr>
            <w:tcW w:w="2580" w:type="dxa"/>
            <w:vAlign w:val="bottom"/>
            <w:shd w:val="clear" w:color="auto" w:fill="CCEEFF"/>
          </w:tcPr>
          <w:p>
            <w:pPr>
              <w:spacing w:after="0"/>
              <w:rPr>
                <w:sz w:val="13"/>
                <w:szCs w:val="13"/>
                <w:color w:val="auto"/>
              </w:rPr>
            </w:pPr>
          </w:p>
        </w:tc>
      </w:tr>
      <w:tr>
        <w:trPr>
          <w:trHeight w:val="286"/>
        </w:trPr>
        <w:tc>
          <w:tcPr>
            <w:tcW w:w="2220" w:type="dxa"/>
            <w:vAlign w:val="bottom"/>
          </w:tcPr>
          <w:p>
            <w:pPr>
              <w:spacing w:after="0"/>
              <w:rPr>
                <w:sz w:val="20"/>
                <w:szCs w:val="20"/>
                <w:color w:val="auto"/>
              </w:rPr>
            </w:pPr>
            <w:r>
              <w:rPr>
                <w:rFonts w:ascii="Arial" w:cs="Arial" w:eastAsia="Arial" w:hAnsi="Arial"/>
                <w:sz w:val="14"/>
                <w:szCs w:val="14"/>
                <w:color w:val="auto"/>
              </w:rPr>
              <w:t>Baltimore, MD</w:t>
            </w:r>
          </w:p>
        </w:tc>
        <w:tc>
          <w:tcPr>
            <w:tcW w:w="1380" w:type="dxa"/>
            <w:vAlign w:val="bottom"/>
          </w:tcPr>
          <w:p>
            <w:pPr>
              <w:jc w:val="center"/>
              <w:ind w:left="312"/>
              <w:spacing w:after="0"/>
              <w:rPr>
                <w:sz w:val="20"/>
                <w:szCs w:val="20"/>
                <w:color w:val="auto"/>
              </w:rPr>
            </w:pPr>
            <w:r>
              <w:rPr>
                <w:rFonts w:ascii="Arial" w:cs="Arial" w:eastAsia="Arial" w:hAnsi="Arial"/>
                <w:sz w:val="14"/>
                <w:szCs w:val="14"/>
                <w:color w:val="auto"/>
                <w:w w:val="76"/>
              </w:rPr>
              <w:t>20</w:t>
            </w:r>
          </w:p>
        </w:tc>
        <w:tc>
          <w:tcPr>
            <w:tcW w:w="1780" w:type="dxa"/>
            <w:vAlign w:val="bottom"/>
          </w:tcPr>
          <w:p>
            <w:pPr>
              <w:ind w:left="420"/>
              <w:spacing w:after="0"/>
              <w:rPr>
                <w:sz w:val="20"/>
                <w:szCs w:val="20"/>
                <w:color w:val="auto"/>
              </w:rPr>
            </w:pPr>
            <w:r>
              <w:rPr>
                <w:rFonts w:ascii="Arial" w:cs="Arial" w:eastAsia="Arial" w:hAnsi="Arial"/>
                <w:sz w:val="14"/>
                <w:szCs w:val="14"/>
                <w:color w:val="auto"/>
              </w:rPr>
              <w:t>WBGR</w:t>
            </w:r>
          </w:p>
        </w:tc>
        <w:tc>
          <w:tcPr>
            <w:tcW w:w="780" w:type="dxa"/>
            <w:vAlign w:val="bottom"/>
          </w:tcPr>
          <w:p>
            <w:pPr>
              <w:jc w:val="center"/>
              <w:ind w:left="12"/>
              <w:spacing w:after="0"/>
              <w:rPr>
                <w:sz w:val="20"/>
                <w:szCs w:val="20"/>
                <w:color w:val="auto"/>
              </w:rPr>
            </w:pPr>
            <w:r>
              <w:rPr>
                <w:rFonts w:ascii="Arial" w:cs="Arial" w:eastAsia="Arial" w:hAnsi="Arial"/>
                <w:sz w:val="14"/>
                <w:szCs w:val="14"/>
                <w:color w:val="auto"/>
              </w:rPr>
              <w:t>AM</w:t>
            </w:r>
          </w:p>
        </w:tc>
        <w:tc>
          <w:tcPr>
            <w:tcW w:w="2680" w:type="dxa"/>
            <w:vAlign w:val="bottom"/>
          </w:tcPr>
          <w:p>
            <w:pPr>
              <w:ind w:left="260"/>
              <w:spacing w:after="0"/>
              <w:rPr>
                <w:sz w:val="20"/>
                <w:szCs w:val="20"/>
                <w:color w:val="auto"/>
              </w:rPr>
            </w:pPr>
            <w:r>
              <w:rPr>
                <w:rFonts w:ascii="Arial" w:cs="Arial" w:eastAsia="Arial" w:hAnsi="Arial"/>
                <w:sz w:val="14"/>
                <w:szCs w:val="14"/>
                <w:color w:val="auto"/>
              </w:rPr>
              <w:t>Gospel</w:t>
            </w:r>
          </w:p>
        </w:tc>
        <w:tc>
          <w:tcPr>
            <w:tcW w:w="2580" w:type="dxa"/>
            <w:vAlign w:val="bottom"/>
          </w:tcPr>
          <w:p>
            <w:pPr>
              <w:ind w:left="520"/>
              <w:spacing w:after="0"/>
              <w:rPr>
                <w:sz w:val="20"/>
                <w:szCs w:val="20"/>
                <w:color w:val="auto"/>
              </w:rPr>
            </w:pPr>
            <w:r>
              <w:rPr>
                <w:rFonts w:ascii="Arial" w:cs="Arial" w:eastAsia="Arial" w:hAnsi="Arial"/>
                <w:sz w:val="14"/>
                <w:szCs w:val="14"/>
                <w:color w:val="auto"/>
              </w:rPr>
              <w:t>Mall Posters, Bus Shelters</w:t>
            </w:r>
          </w:p>
        </w:tc>
      </w:tr>
      <w:tr>
        <w:trPr>
          <w:trHeight w:val="149"/>
        </w:trPr>
        <w:tc>
          <w:tcPr>
            <w:tcW w:w="2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80" w:type="dxa"/>
            <w:vAlign w:val="bottom"/>
          </w:tcPr>
          <w:p>
            <w:pPr>
              <w:ind w:left="420"/>
              <w:spacing w:after="0" w:line="149" w:lineRule="exact"/>
              <w:rPr>
                <w:sz w:val="20"/>
                <w:szCs w:val="20"/>
                <w:color w:val="auto"/>
              </w:rPr>
            </w:pPr>
            <w:r>
              <w:rPr>
                <w:rFonts w:ascii="Arial" w:cs="Arial" w:eastAsia="Arial" w:hAnsi="Arial"/>
                <w:sz w:val="14"/>
                <w:szCs w:val="14"/>
                <w:color w:val="auto"/>
              </w:rPr>
              <w:t>WBMD</w:t>
            </w:r>
          </w:p>
        </w:tc>
        <w:tc>
          <w:tcPr>
            <w:tcW w:w="780" w:type="dxa"/>
            <w:vAlign w:val="bottom"/>
          </w:tcPr>
          <w:p>
            <w:pPr>
              <w:jc w:val="center"/>
              <w:ind w:left="12"/>
              <w:spacing w:after="0" w:line="149" w:lineRule="exact"/>
              <w:rPr>
                <w:sz w:val="20"/>
                <w:szCs w:val="20"/>
                <w:color w:val="auto"/>
              </w:rPr>
            </w:pPr>
            <w:r>
              <w:rPr>
                <w:rFonts w:ascii="Arial" w:cs="Arial" w:eastAsia="Arial" w:hAnsi="Arial"/>
                <w:sz w:val="14"/>
                <w:szCs w:val="14"/>
                <w:color w:val="auto"/>
              </w:rPr>
              <w:t>AM</w:t>
            </w:r>
          </w:p>
        </w:tc>
        <w:tc>
          <w:tcPr>
            <w:tcW w:w="2680" w:type="dxa"/>
            <w:vAlign w:val="bottom"/>
          </w:tcPr>
          <w:p>
            <w:pPr>
              <w:ind w:left="260"/>
              <w:spacing w:after="0" w:line="149" w:lineRule="exact"/>
              <w:rPr>
                <w:sz w:val="20"/>
                <w:szCs w:val="20"/>
                <w:color w:val="auto"/>
              </w:rPr>
            </w:pPr>
            <w:r>
              <w:rPr>
                <w:rFonts w:ascii="Arial" w:cs="Arial" w:eastAsia="Arial" w:hAnsi="Arial"/>
                <w:sz w:val="14"/>
                <w:szCs w:val="14"/>
                <w:color w:val="auto"/>
              </w:rPr>
              <w:t>Gospel</w:t>
            </w:r>
          </w:p>
        </w:tc>
        <w:tc>
          <w:tcPr>
            <w:tcW w:w="258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80" w:type="dxa"/>
            <w:vAlign w:val="bottom"/>
          </w:tcPr>
          <w:p>
            <w:pPr>
              <w:ind w:left="420"/>
              <w:spacing w:after="0" w:line="149" w:lineRule="exact"/>
              <w:rPr>
                <w:sz w:val="20"/>
                <w:szCs w:val="20"/>
                <w:color w:val="auto"/>
              </w:rPr>
            </w:pPr>
            <w:r>
              <w:rPr>
                <w:rFonts w:ascii="Arial" w:cs="Arial" w:eastAsia="Arial" w:hAnsi="Arial"/>
                <w:sz w:val="14"/>
                <w:szCs w:val="14"/>
                <w:color w:val="auto"/>
              </w:rPr>
              <w:t>WJFK</w:t>
            </w:r>
          </w:p>
        </w:tc>
        <w:tc>
          <w:tcPr>
            <w:tcW w:w="780" w:type="dxa"/>
            <w:vAlign w:val="bottom"/>
          </w:tcPr>
          <w:p>
            <w:pPr>
              <w:jc w:val="center"/>
              <w:ind w:left="12"/>
              <w:spacing w:after="0" w:line="149" w:lineRule="exact"/>
              <w:rPr>
                <w:sz w:val="20"/>
                <w:szCs w:val="20"/>
                <w:color w:val="auto"/>
              </w:rPr>
            </w:pPr>
            <w:r>
              <w:rPr>
                <w:rFonts w:ascii="Arial" w:cs="Arial" w:eastAsia="Arial" w:hAnsi="Arial"/>
                <w:sz w:val="14"/>
                <w:szCs w:val="14"/>
                <w:color w:val="auto"/>
              </w:rPr>
              <w:t>AM</w:t>
            </w:r>
          </w:p>
        </w:tc>
        <w:tc>
          <w:tcPr>
            <w:tcW w:w="2680" w:type="dxa"/>
            <w:vAlign w:val="bottom"/>
          </w:tcPr>
          <w:p>
            <w:pPr>
              <w:ind w:left="260"/>
              <w:spacing w:after="0" w:line="149" w:lineRule="exact"/>
              <w:rPr>
                <w:sz w:val="20"/>
                <w:szCs w:val="20"/>
                <w:color w:val="auto"/>
              </w:rPr>
            </w:pPr>
            <w:r>
              <w:rPr>
                <w:rFonts w:ascii="Arial" w:cs="Arial" w:eastAsia="Arial" w:hAnsi="Arial"/>
                <w:sz w:val="14"/>
                <w:szCs w:val="14"/>
                <w:color w:val="auto"/>
              </w:rPr>
              <w:t>Sports</w:t>
            </w:r>
          </w:p>
        </w:tc>
        <w:tc>
          <w:tcPr>
            <w:tcW w:w="258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80" w:type="dxa"/>
            <w:vAlign w:val="bottom"/>
          </w:tcPr>
          <w:p>
            <w:pPr>
              <w:ind w:left="420"/>
              <w:spacing w:after="0" w:line="149" w:lineRule="exact"/>
              <w:rPr>
                <w:sz w:val="20"/>
                <w:szCs w:val="20"/>
                <w:color w:val="auto"/>
              </w:rPr>
            </w:pPr>
            <w:r>
              <w:rPr>
                <w:rFonts w:ascii="Arial" w:cs="Arial" w:eastAsia="Arial" w:hAnsi="Arial"/>
                <w:sz w:val="14"/>
                <w:szCs w:val="14"/>
                <w:color w:val="auto"/>
              </w:rPr>
              <w:t>WLIF</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680" w:type="dxa"/>
            <w:vAlign w:val="bottom"/>
          </w:tcPr>
          <w:p>
            <w:pPr>
              <w:ind w:left="260"/>
              <w:spacing w:after="0" w:line="149" w:lineRule="exact"/>
              <w:rPr>
                <w:sz w:val="20"/>
                <w:szCs w:val="20"/>
                <w:color w:val="auto"/>
              </w:rPr>
            </w:pPr>
            <w:r>
              <w:rPr>
                <w:rFonts w:ascii="Arial" w:cs="Arial" w:eastAsia="Arial" w:hAnsi="Arial"/>
                <w:sz w:val="14"/>
                <w:szCs w:val="14"/>
                <w:color w:val="auto"/>
              </w:rPr>
              <w:t>Soft Adult Contemporary</w:t>
            </w:r>
          </w:p>
        </w:tc>
        <w:tc>
          <w:tcPr>
            <w:tcW w:w="258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80" w:type="dxa"/>
            <w:vAlign w:val="bottom"/>
          </w:tcPr>
          <w:p>
            <w:pPr>
              <w:ind w:left="420"/>
              <w:spacing w:after="0" w:line="149" w:lineRule="exact"/>
              <w:rPr>
                <w:sz w:val="20"/>
                <w:szCs w:val="20"/>
                <w:color w:val="auto"/>
              </w:rPr>
            </w:pPr>
            <w:r>
              <w:rPr>
                <w:rFonts w:ascii="Arial" w:cs="Arial" w:eastAsia="Arial" w:hAnsi="Arial"/>
                <w:sz w:val="14"/>
                <w:szCs w:val="14"/>
                <w:color w:val="auto"/>
              </w:rPr>
              <w:t>WQSR</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680" w:type="dxa"/>
            <w:vAlign w:val="bottom"/>
          </w:tcPr>
          <w:p>
            <w:pPr>
              <w:ind w:left="260"/>
              <w:spacing w:after="0" w:line="149" w:lineRule="exact"/>
              <w:rPr>
                <w:sz w:val="20"/>
                <w:szCs w:val="20"/>
                <w:color w:val="auto"/>
              </w:rPr>
            </w:pPr>
            <w:r>
              <w:rPr>
                <w:rFonts w:ascii="Arial" w:cs="Arial" w:eastAsia="Arial" w:hAnsi="Arial"/>
                <w:sz w:val="14"/>
                <w:szCs w:val="14"/>
                <w:color w:val="auto"/>
              </w:rPr>
              <w:t>Oldies</w:t>
            </w:r>
          </w:p>
        </w:tc>
        <w:tc>
          <w:tcPr>
            <w:tcW w:w="258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80" w:type="dxa"/>
            <w:vAlign w:val="bottom"/>
          </w:tcPr>
          <w:p>
            <w:pPr>
              <w:ind w:left="420"/>
              <w:spacing w:after="0" w:line="149" w:lineRule="exact"/>
              <w:rPr>
                <w:sz w:val="20"/>
                <w:szCs w:val="20"/>
                <w:color w:val="auto"/>
              </w:rPr>
            </w:pPr>
            <w:r>
              <w:rPr>
                <w:rFonts w:ascii="Arial" w:cs="Arial" w:eastAsia="Arial" w:hAnsi="Arial"/>
                <w:sz w:val="14"/>
                <w:szCs w:val="14"/>
                <w:color w:val="auto"/>
              </w:rPr>
              <w:t>WWMX</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680" w:type="dxa"/>
            <w:vAlign w:val="bottom"/>
          </w:tcPr>
          <w:p>
            <w:pPr>
              <w:ind w:left="260"/>
              <w:spacing w:after="0" w:line="149" w:lineRule="exact"/>
              <w:rPr>
                <w:sz w:val="20"/>
                <w:szCs w:val="20"/>
                <w:color w:val="auto"/>
              </w:rPr>
            </w:pPr>
            <w:r>
              <w:rPr>
                <w:rFonts w:ascii="Arial" w:cs="Arial" w:eastAsia="Arial" w:hAnsi="Arial"/>
                <w:sz w:val="14"/>
                <w:szCs w:val="14"/>
                <w:color w:val="auto"/>
              </w:rPr>
              <w:t>Hot Adult Contemporary</w:t>
            </w:r>
          </w:p>
        </w:tc>
        <w:tc>
          <w:tcPr>
            <w:tcW w:w="2580" w:type="dxa"/>
            <w:vAlign w:val="bottom"/>
          </w:tcPr>
          <w:p>
            <w:pPr>
              <w:spacing w:after="0"/>
              <w:rPr>
                <w:sz w:val="12"/>
                <w:szCs w:val="12"/>
                <w:color w:val="auto"/>
              </w:rPr>
            </w:pPr>
          </w:p>
        </w:tc>
      </w:tr>
      <w:tr>
        <w:trPr>
          <w:trHeight w:val="159"/>
        </w:trPr>
        <w:tc>
          <w:tcPr>
            <w:tcW w:w="2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780" w:type="dxa"/>
            <w:vAlign w:val="bottom"/>
          </w:tcPr>
          <w:p>
            <w:pPr>
              <w:ind w:left="420"/>
              <w:spacing w:after="0" w:line="159" w:lineRule="exact"/>
              <w:rPr>
                <w:sz w:val="20"/>
                <w:szCs w:val="20"/>
                <w:color w:val="auto"/>
              </w:rPr>
            </w:pPr>
            <w:r>
              <w:rPr>
                <w:rFonts w:ascii="Arial" w:cs="Arial" w:eastAsia="Arial" w:hAnsi="Arial"/>
                <w:sz w:val="14"/>
                <w:szCs w:val="14"/>
                <w:color w:val="auto"/>
              </w:rPr>
              <w:t>WHFS</w:t>
            </w:r>
          </w:p>
        </w:tc>
        <w:tc>
          <w:tcPr>
            <w:tcW w:w="780" w:type="dxa"/>
            <w:vAlign w:val="bottom"/>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680" w:type="dxa"/>
            <w:vAlign w:val="bottom"/>
          </w:tcPr>
          <w:p>
            <w:pPr>
              <w:ind w:left="260"/>
              <w:spacing w:after="0" w:line="159" w:lineRule="exact"/>
              <w:rPr>
                <w:sz w:val="20"/>
                <w:szCs w:val="20"/>
                <w:color w:val="auto"/>
              </w:rPr>
            </w:pPr>
            <w:r>
              <w:rPr>
                <w:rFonts w:ascii="Arial" w:cs="Arial" w:eastAsia="Arial" w:hAnsi="Arial"/>
                <w:sz w:val="14"/>
                <w:szCs w:val="14"/>
                <w:color w:val="auto"/>
              </w:rPr>
              <w:t>Hot Talk/Alternative Rock</w:t>
            </w:r>
          </w:p>
        </w:tc>
        <w:tc>
          <w:tcPr>
            <w:tcW w:w="2580" w:type="dxa"/>
            <w:vAlign w:val="bottom"/>
          </w:tcPr>
          <w:p>
            <w:pPr>
              <w:spacing w:after="0"/>
              <w:rPr>
                <w:sz w:val="13"/>
                <w:szCs w:val="13"/>
                <w:color w:val="auto"/>
              </w:rPr>
            </w:pPr>
          </w:p>
        </w:tc>
      </w:tr>
      <w:tr>
        <w:trPr>
          <w:trHeight w:val="286"/>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Tampa-St. Petersburg, FL</w:t>
            </w:r>
          </w:p>
        </w:tc>
        <w:tc>
          <w:tcPr>
            <w:tcW w:w="1380" w:type="dxa"/>
            <w:vAlign w:val="bottom"/>
            <w:shd w:val="clear" w:color="auto" w:fill="CCEEFF"/>
          </w:tcPr>
          <w:p>
            <w:pPr>
              <w:jc w:val="center"/>
              <w:ind w:left="312"/>
              <w:spacing w:after="0"/>
              <w:rPr>
                <w:sz w:val="20"/>
                <w:szCs w:val="20"/>
                <w:color w:val="auto"/>
              </w:rPr>
            </w:pPr>
            <w:r>
              <w:rPr>
                <w:rFonts w:ascii="Arial" w:cs="Arial" w:eastAsia="Arial" w:hAnsi="Arial"/>
                <w:sz w:val="14"/>
                <w:szCs w:val="14"/>
                <w:color w:val="auto"/>
                <w:w w:val="76"/>
              </w:rPr>
              <w:t>21</w:t>
            </w:r>
          </w:p>
        </w:tc>
        <w:tc>
          <w:tcPr>
            <w:tcW w:w="17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WLLD</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FM</w:t>
            </w:r>
          </w:p>
        </w:tc>
        <w:tc>
          <w:tcPr>
            <w:tcW w:w="2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Rhythmic Contemporary Hit Radio</w:t>
            </w:r>
          </w:p>
        </w:tc>
        <w:tc>
          <w:tcPr>
            <w:tcW w:w="25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Bulletins, Mall Posters</w:t>
            </w:r>
          </w:p>
        </w:tc>
      </w:tr>
      <w:tr>
        <w:trPr>
          <w:trHeight w:val="149"/>
        </w:trPr>
        <w:tc>
          <w:tcPr>
            <w:tcW w:w="2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WQYK-FM</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6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Country</w:t>
            </w:r>
          </w:p>
        </w:tc>
        <w:tc>
          <w:tcPr>
            <w:tcW w:w="2580" w:type="dxa"/>
            <w:vAlign w:val="bottom"/>
            <w:shd w:val="clear" w:color="auto" w:fill="CCEEFF"/>
          </w:tcPr>
          <w:p>
            <w:pPr>
              <w:spacing w:after="0"/>
              <w:rPr>
                <w:sz w:val="12"/>
                <w:szCs w:val="12"/>
                <w:color w:val="auto"/>
              </w:rPr>
            </w:pPr>
          </w:p>
        </w:tc>
      </w:tr>
      <w:tr>
        <w:trPr>
          <w:trHeight w:val="149"/>
        </w:trPr>
        <w:tc>
          <w:tcPr>
            <w:tcW w:w="2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WBZZ</w:t>
            </w:r>
          </w:p>
        </w:tc>
        <w:tc>
          <w:tcPr>
            <w:tcW w:w="7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rPr>
              <w:t>AM</w:t>
            </w:r>
          </w:p>
        </w:tc>
        <w:tc>
          <w:tcPr>
            <w:tcW w:w="26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Hot Talk</w:t>
            </w:r>
          </w:p>
        </w:tc>
        <w:tc>
          <w:tcPr>
            <w:tcW w:w="2580" w:type="dxa"/>
            <w:vAlign w:val="bottom"/>
            <w:shd w:val="clear" w:color="auto" w:fill="CCEEFF"/>
          </w:tcPr>
          <w:p>
            <w:pPr>
              <w:spacing w:after="0"/>
              <w:rPr>
                <w:sz w:val="12"/>
                <w:szCs w:val="12"/>
                <w:color w:val="auto"/>
              </w:rPr>
            </w:pPr>
          </w:p>
        </w:tc>
      </w:tr>
      <w:tr>
        <w:trPr>
          <w:trHeight w:val="149"/>
        </w:trPr>
        <w:tc>
          <w:tcPr>
            <w:tcW w:w="2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WYUU</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6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Country</w:t>
            </w:r>
          </w:p>
        </w:tc>
        <w:tc>
          <w:tcPr>
            <w:tcW w:w="2580" w:type="dxa"/>
            <w:vAlign w:val="bottom"/>
            <w:shd w:val="clear" w:color="auto" w:fill="CCEEFF"/>
          </w:tcPr>
          <w:p>
            <w:pPr>
              <w:spacing w:after="0"/>
              <w:rPr>
                <w:sz w:val="12"/>
                <w:szCs w:val="12"/>
                <w:color w:val="auto"/>
              </w:rPr>
            </w:pPr>
          </w:p>
        </w:tc>
      </w:tr>
      <w:tr>
        <w:trPr>
          <w:trHeight w:val="149"/>
        </w:trPr>
        <w:tc>
          <w:tcPr>
            <w:tcW w:w="2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WRBQ-FM</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6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Oldies</w:t>
            </w:r>
          </w:p>
        </w:tc>
        <w:tc>
          <w:tcPr>
            <w:tcW w:w="2580" w:type="dxa"/>
            <w:vAlign w:val="bottom"/>
            <w:shd w:val="clear" w:color="auto" w:fill="CCEEFF"/>
          </w:tcPr>
          <w:p>
            <w:pPr>
              <w:spacing w:after="0"/>
              <w:rPr>
                <w:sz w:val="12"/>
                <w:szCs w:val="12"/>
                <w:color w:val="auto"/>
              </w:rPr>
            </w:pPr>
          </w:p>
        </w:tc>
      </w:tr>
      <w:tr>
        <w:trPr>
          <w:trHeight w:val="159"/>
        </w:trPr>
        <w:tc>
          <w:tcPr>
            <w:tcW w:w="2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7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WSJT</w:t>
            </w:r>
          </w:p>
        </w:tc>
        <w:tc>
          <w:tcPr>
            <w:tcW w:w="7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68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Smooth Jazz</w:t>
            </w:r>
          </w:p>
        </w:tc>
        <w:tc>
          <w:tcPr>
            <w:tcW w:w="2580" w:type="dxa"/>
            <w:vAlign w:val="bottom"/>
            <w:shd w:val="clear" w:color="auto" w:fill="CCEEFF"/>
          </w:tcPr>
          <w:p>
            <w:pPr>
              <w:spacing w:after="0"/>
              <w:rPr>
                <w:sz w:val="13"/>
                <w:szCs w:val="13"/>
                <w:color w:val="auto"/>
              </w:rPr>
            </w:pPr>
          </w:p>
        </w:tc>
      </w:tr>
      <w:tr>
        <w:trPr>
          <w:trHeight w:val="286"/>
        </w:trPr>
        <w:tc>
          <w:tcPr>
            <w:tcW w:w="2220" w:type="dxa"/>
            <w:vAlign w:val="bottom"/>
          </w:tcPr>
          <w:p>
            <w:pPr>
              <w:spacing w:after="0"/>
              <w:rPr>
                <w:sz w:val="20"/>
                <w:szCs w:val="20"/>
                <w:color w:val="auto"/>
              </w:rPr>
            </w:pPr>
            <w:r>
              <w:rPr>
                <w:rFonts w:ascii="Arial" w:cs="Arial" w:eastAsia="Arial" w:hAnsi="Arial"/>
                <w:sz w:val="14"/>
                <w:szCs w:val="14"/>
                <w:color w:val="auto"/>
              </w:rPr>
              <w:t>Denver, CO</w:t>
            </w:r>
          </w:p>
        </w:tc>
        <w:tc>
          <w:tcPr>
            <w:tcW w:w="1380" w:type="dxa"/>
            <w:vAlign w:val="bottom"/>
          </w:tcPr>
          <w:p>
            <w:pPr>
              <w:jc w:val="center"/>
              <w:ind w:left="312"/>
              <w:spacing w:after="0"/>
              <w:rPr>
                <w:sz w:val="20"/>
                <w:szCs w:val="20"/>
                <w:color w:val="auto"/>
              </w:rPr>
            </w:pPr>
            <w:r>
              <w:rPr>
                <w:rFonts w:ascii="Arial" w:cs="Arial" w:eastAsia="Arial" w:hAnsi="Arial"/>
                <w:sz w:val="14"/>
                <w:szCs w:val="14"/>
                <w:color w:val="auto"/>
                <w:w w:val="76"/>
              </w:rPr>
              <w:t>22</w:t>
            </w:r>
          </w:p>
        </w:tc>
        <w:tc>
          <w:tcPr>
            <w:tcW w:w="1780" w:type="dxa"/>
            <w:vAlign w:val="bottom"/>
          </w:tcPr>
          <w:p>
            <w:pPr>
              <w:ind w:left="420"/>
              <w:spacing w:after="0"/>
              <w:rPr>
                <w:sz w:val="20"/>
                <w:szCs w:val="20"/>
                <w:color w:val="auto"/>
              </w:rPr>
            </w:pPr>
            <w:r>
              <w:rPr>
                <w:rFonts w:ascii="Arial" w:cs="Arial" w:eastAsia="Arial" w:hAnsi="Arial"/>
                <w:sz w:val="14"/>
                <w:szCs w:val="14"/>
                <w:color w:val="auto"/>
              </w:rPr>
              <w:t>KDJM</w:t>
            </w: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FM</w:t>
            </w:r>
          </w:p>
        </w:tc>
        <w:tc>
          <w:tcPr>
            <w:tcW w:w="2680" w:type="dxa"/>
            <w:vAlign w:val="bottom"/>
          </w:tcPr>
          <w:p>
            <w:pPr>
              <w:ind w:left="260"/>
              <w:spacing w:after="0"/>
              <w:rPr>
                <w:sz w:val="20"/>
                <w:szCs w:val="20"/>
                <w:color w:val="auto"/>
              </w:rPr>
            </w:pPr>
            <w:r>
              <w:rPr>
                <w:rFonts w:ascii="Arial" w:cs="Arial" w:eastAsia="Arial" w:hAnsi="Arial"/>
                <w:sz w:val="14"/>
                <w:szCs w:val="14"/>
                <w:color w:val="auto"/>
              </w:rPr>
              <w:t>Rhythmic Oldies</w:t>
            </w:r>
          </w:p>
        </w:tc>
        <w:tc>
          <w:tcPr>
            <w:tcW w:w="2580" w:type="dxa"/>
            <w:vAlign w:val="bottom"/>
          </w:tcPr>
          <w:p>
            <w:pPr>
              <w:ind w:left="520"/>
              <w:spacing w:after="0"/>
              <w:rPr>
                <w:sz w:val="20"/>
                <w:szCs w:val="20"/>
                <w:color w:val="auto"/>
              </w:rPr>
            </w:pPr>
            <w:r>
              <w:rPr>
                <w:rFonts w:ascii="Arial" w:cs="Arial" w:eastAsia="Arial" w:hAnsi="Arial"/>
                <w:sz w:val="14"/>
                <w:szCs w:val="14"/>
                <w:color w:val="auto"/>
                <w:w w:val="98"/>
              </w:rPr>
              <w:t>Bus Shelters, Benches, Bulletins,</w:t>
            </w:r>
          </w:p>
        </w:tc>
      </w:tr>
      <w:tr>
        <w:trPr>
          <w:trHeight w:val="149"/>
        </w:trPr>
        <w:tc>
          <w:tcPr>
            <w:tcW w:w="2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80" w:type="dxa"/>
            <w:vAlign w:val="bottom"/>
          </w:tcPr>
          <w:p>
            <w:pPr>
              <w:ind w:left="420"/>
              <w:spacing w:after="0" w:line="149" w:lineRule="exact"/>
              <w:rPr>
                <w:sz w:val="20"/>
                <w:szCs w:val="20"/>
                <w:color w:val="auto"/>
              </w:rPr>
            </w:pPr>
            <w:r>
              <w:rPr>
                <w:rFonts w:ascii="Arial" w:cs="Arial" w:eastAsia="Arial" w:hAnsi="Arial"/>
                <w:sz w:val="14"/>
                <w:szCs w:val="14"/>
                <w:color w:val="auto"/>
              </w:rPr>
              <w:t>KIMN</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680" w:type="dxa"/>
            <w:vAlign w:val="bottom"/>
          </w:tcPr>
          <w:p>
            <w:pPr>
              <w:ind w:left="260"/>
              <w:spacing w:after="0" w:line="149" w:lineRule="exact"/>
              <w:rPr>
                <w:sz w:val="20"/>
                <w:szCs w:val="20"/>
                <w:color w:val="auto"/>
              </w:rPr>
            </w:pPr>
            <w:r>
              <w:rPr>
                <w:rFonts w:ascii="Arial" w:cs="Arial" w:eastAsia="Arial" w:hAnsi="Arial"/>
                <w:sz w:val="14"/>
                <w:szCs w:val="14"/>
                <w:color w:val="auto"/>
              </w:rPr>
              <w:t>Hot Adult Contemporary</w:t>
            </w:r>
          </w:p>
        </w:tc>
        <w:tc>
          <w:tcPr>
            <w:tcW w:w="2580" w:type="dxa"/>
            <w:vAlign w:val="bottom"/>
          </w:tcPr>
          <w:p>
            <w:pPr>
              <w:ind w:left="520"/>
              <w:spacing w:after="0" w:line="149" w:lineRule="exact"/>
              <w:rPr>
                <w:sz w:val="20"/>
                <w:szCs w:val="20"/>
                <w:color w:val="auto"/>
              </w:rPr>
            </w:pPr>
            <w:r>
              <w:rPr>
                <w:rFonts w:ascii="Arial" w:cs="Arial" w:eastAsia="Arial" w:hAnsi="Arial"/>
                <w:sz w:val="14"/>
                <w:szCs w:val="14"/>
                <w:color w:val="auto"/>
              </w:rPr>
              <w:t>Posters, Mall Posters</w:t>
            </w:r>
          </w:p>
        </w:tc>
      </w:tr>
      <w:tr>
        <w:trPr>
          <w:trHeight w:val="172"/>
        </w:trPr>
        <w:tc>
          <w:tcPr>
            <w:tcW w:w="2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ind w:left="420"/>
              <w:spacing w:after="0"/>
              <w:rPr>
                <w:sz w:val="20"/>
                <w:szCs w:val="20"/>
                <w:color w:val="auto"/>
              </w:rPr>
            </w:pPr>
            <w:r>
              <w:rPr>
                <w:rFonts w:ascii="Arial" w:cs="Arial" w:eastAsia="Arial" w:hAnsi="Arial"/>
                <w:sz w:val="14"/>
                <w:szCs w:val="14"/>
                <w:color w:val="auto"/>
              </w:rPr>
              <w:t>KXKL-FM</w:t>
            </w: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FM</w:t>
            </w:r>
          </w:p>
        </w:tc>
        <w:tc>
          <w:tcPr>
            <w:tcW w:w="2680" w:type="dxa"/>
            <w:vAlign w:val="bottom"/>
          </w:tcPr>
          <w:p>
            <w:pPr>
              <w:ind w:left="260"/>
              <w:spacing w:after="0"/>
              <w:rPr>
                <w:sz w:val="20"/>
                <w:szCs w:val="20"/>
                <w:color w:val="auto"/>
              </w:rPr>
            </w:pPr>
            <w:r>
              <w:rPr>
                <w:rFonts w:ascii="Arial" w:cs="Arial" w:eastAsia="Arial" w:hAnsi="Arial"/>
                <w:sz w:val="14"/>
                <w:szCs w:val="14"/>
                <w:color w:val="auto"/>
              </w:rPr>
              <w:t>Oldies</w:t>
            </w:r>
          </w:p>
        </w:tc>
        <w:tc>
          <w:tcPr>
            <w:tcW w:w="2580" w:type="dxa"/>
            <w:vAlign w:val="bottom"/>
          </w:tcPr>
          <w:p>
            <w:pPr>
              <w:spacing w:after="0"/>
              <w:rPr>
                <w:sz w:val="14"/>
                <w:szCs w:val="14"/>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86"/>
        </w:trPr>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Pittsburgh, PA</w:t>
            </w:r>
          </w:p>
        </w:tc>
        <w:tc>
          <w:tcPr>
            <w:tcW w:w="1940" w:type="dxa"/>
            <w:vAlign w:val="bottom"/>
            <w:shd w:val="clear" w:color="auto" w:fill="CCEEFF"/>
          </w:tcPr>
          <w:p>
            <w:pPr>
              <w:jc w:val="right"/>
              <w:ind w:right="372"/>
              <w:spacing w:after="0"/>
              <w:rPr>
                <w:sz w:val="20"/>
                <w:szCs w:val="20"/>
                <w:color w:val="auto"/>
              </w:rPr>
            </w:pPr>
            <w:r>
              <w:rPr>
                <w:rFonts w:ascii="Arial" w:cs="Arial" w:eastAsia="Arial" w:hAnsi="Arial"/>
                <w:sz w:val="14"/>
                <w:szCs w:val="14"/>
                <w:color w:val="auto"/>
              </w:rPr>
              <w:t>23</w:t>
            </w:r>
          </w:p>
        </w:tc>
        <w:tc>
          <w:tcPr>
            <w:tcW w:w="15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KDKA</w:t>
            </w:r>
          </w:p>
        </w:tc>
        <w:tc>
          <w:tcPr>
            <w:tcW w:w="1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AM</w:t>
            </w:r>
          </w:p>
        </w:tc>
        <w:tc>
          <w:tcPr>
            <w:tcW w:w="2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News/Talk</w:t>
            </w:r>
          </w:p>
        </w:tc>
        <w:tc>
          <w:tcPr>
            <w:tcW w:w="2840" w:type="dxa"/>
            <w:vAlign w:val="bottom"/>
            <w:shd w:val="clear" w:color="auto" w:fill="CCEEFF"/>
          </w:tcPr>
          <w:p>
            <w:pPr>
              <w:ind w:left="780"/>
              <w:spacing w:after="0"/>
              <w:rPr>
                <w:sz w:val="20"/>
                <w:szCs w:val="20"/>
                <w:color w:val="auto"/>
              </w:rPr>
            </w:pPr>
            <w:r>
              <w:rPr>
                <w:rFonts w:ascii="Arial" w:cs="Arial" w:eastAsia="Arial" w:hAnsi="Arial"/>
                <w:sz w:val="14"/>
                <w:szCs w:val="14"/>
                <w:color w:val="auto"/>
              </w:rPr>
              <w:t>Bulletins, Mall Posters</w:t>
            </w:r>
          </w:p>
        </w:tc>
      </w:tr>
      <w:tr>
        <w:trPr>
          <w:trHeight w:val="149"/>
        </w:trPr>
        <w:tc>
          <w:tcPr>
            <w:tcW w:w="16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WRKZ</w:t>
            </w:r>
          </w:p>
        </w:tc>
        <w:tc>
          <w:tcPr>
            <w:tcW w:w="10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FM</w:t>
            </w:r>
          </w:p>
        </w:tc>
        <w:tc>
          <w:tcPr>
            <w:tcW w:w="2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Rock</w:t>
            </w:r>
          </w:p>
        </w:tc>
        <w:tc>
          <w:tcPr>
            <w:tcW w:w="2840" w:type="dxa"/>
            <w:vAlign w:val="bottom"/>
            <w:shd w:val="clear" w:color="auto" w:fill="CCEEFF"/>
          </w:tcPr>
          <w:p>
            <w:pPr>
              <w:spacing w:after="0"/>
              <w:rPr>
                <w:sz w:val="12"/>
                <w:szCs w:val="12"/>
                <w:color w:val="auto"/>
              </w:rPr>
            </w:pPr>
          </w:p>
        </w:tc>
      </w:tr>
      <w:tr>
        <w:trPr>
          <w:trHeight w:val="149"/>
        </w:trPr>
        <w:tc>
          <w:tcPr>
            <w:tcW w:w="16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WDSY-FM</w:t>
            </w:r>
          </w:p>
        </w:tc>
        <w:tc>
          <w:tcPr>
            <w:tcW w:w="10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FM</w:t>
            </w:r>
          </w:p>
        </w:tc>
        <w:tc>
          <w:tcPr>
            <w:tcW w:w="2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Country</w:t>
            </w:r>
          </w:p>
        </w:tc>
        <w:tc>
          <w:tcPr>
            <w:tcW w:w="2840" w:type="dxa"/>
            <w:vAlign w:val="bottom"/>
            <w:shd w:val="clear" w:color="auto" w:fill="CCEEFF"/>
          </w:tcPr>
          <w:p>
            <w:pPr>
              <w:spacing w:after="0"/>
              <w:rPr>
                <w:sz w:val="12"/>
                <w:szCs w:val="12"/>
                <w:color w:val="auto"/>
              </w:rPr>
            </w:pPr>
          </w:p>
        </w:tc>
      </w:tr>
      <w:tr>
        <w:trPr>
          <w:trHeight w:val="159"/>
        </w:trPr>
        <w:tc>
          <w:tcPr>
            <w:tcW w:w="16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5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WZPT</w:t>
            </w:r>
          </w:p>
        </w:tc>
        <w:tc>
          <w:tcPr>
            <w:tcW w:w="1000" w:type="dxa"/>
            <w:vAlign w:val="bottom"/>
            <w:shd w:val="clear" w:color="auto" w:fill="CCEEFF"/>
          </w:tcPr>
          <w:p>
            <w:pPr>
              <w:ind w:left="540"/>
              <w:spacing w:after="0" w:line="159" w:lineRule="exact"/>
              <w:rPr>
                <w:sz w:val="20"/>
                <w:szCs w:val="20"/>
                <w:color w:val="auto"/>
              </w:rPr>
            </w:pPr>
            <w:r>
              <w:rPr>
                <w:rFonts w:ascii="Arial" w:cs="Arial" w:eastAsia="Arial" w:hAnsi="Arial"/>
                <w:sz w:val="14"/>
                <w:szCs w:val="14"/>
                <w:color w:val="auto"/>
              </w:rPr>
              <w:t>FM</w:t>
            </w:r>
          </w:p>
        </w:tc>
        <w:tc>
          <w:tcPr>
            <w:tcW w:w="242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Hot Adult Contemporary</w:t>
            </w:r>
          </w:p>
        </w:tc>
        <w:tc>
          <w:tcPr>
            <w:tcW w:w="2840" w:type="dxa"/>
            <w:vAlign w:val="bottom"/>
            <w:shd w:val="clear" w:color="auto" w:fill="CCEEFF"/>
          </w:tcPr>
          <w:p>
            <w:pPr>
              <w:spacing w:after="0"/>
              <w:rPr>
                <w:sz w:val="13"/>
                <w:szCs w:val="13"/>
                <w:color w:val="auto"/>
              </w:rPr>
            </w:pPr>
          </w:p>
        </w:tc>
      </w:tr>
      <w:tr>
        <w:trPr>
          <w:trHeight w:val="286"/>
        </w:trPr>
        <w:tc>
          <w:tcPr>
            <w:tcW w:w="1660" w:type="dxa"/>
            <w:vAlign w:val="bottom"/>
          </w:tcPr>
          <w:p>
            <w:pPr>
              <w:spacing w:after="0"/>
              <w:rPr>
                <w:sz w:val="20"/>
                <w:szCs w:val="20"/>
                <w:color w:val="auto"/>
              </w:rPr>
            </w:pPr>
            <w:r>
              <w:rPr>
                <w:rFonts w:ascii="Arial" w:cs="Arial" w:eastAsia="Arial" w:hAnsi="Arial"/>
                <w:sz w:val="14"/>
                <w:szCs w:val="14"/>
                <w:color w:val="auto"/>
              </w:rPr>
              <w:t>Portland, OR</w:t>
            </w:r>
          </w:p>
        </w:tc>
        <w:tc>
          <w:tcPr>
            <w:tcW w:w="1940" w:type="dxa"/>
            <w:vAlign w:val="bottom"/>
          </w:tcPr>
          <w:p>
            <w:pPr>
              <w:jc w:val="right"/>
              <w:ind w:right="372"/>
              <w:spacing w:after="0"/>
              <w:rPr>
                <w:sz w:val="20"/>
                <w:szCs w:val="20"/>
                <w:color w:val="auto"/>
              </w:rPr>
            </w:pPr>
            <w:r>
              <w:rPr>
                <w:rFonts w:ascii="Arial" w:cs="Arial" w:eastAsia="Arial" w:hAnsi="Arial"/>
                <w:sz w:val="14"/>
                <w:szCs w:val="14"/>
                <w:color w:val="auto"/>
              </w:rPr>
              <w:t>24</w:t>
            </w:r>
          </w:p>
        </w:tc>
        <w:tc>
          <w:tcPr>
            <w:tcW w:w="1560" w:type="dxa"/>
            <w:vAlign w:val="bottom"/>
          </w:tcPr>
          <w:p>
            <w:pPr>
              <w:ind w:left="420"/>
              <w:spacing w:after="0"/>
              <w:rPr>
                <w:sz w:val="20"/>
                <w:szCs w:val="20"/>
                <w:color w:val="auto"/>
              </w:rPr>
            </w:pPr>
            <w:r>
              <w:rPr>
                <w:rFonts w:ascii="Arial" w:cs="Arial" w:eastAsia="Arial" w:hAnsi="Arial"/>
                <w:sz w:val="14"/>
                <w:szCs w:val="14"/>
                <w:color w:val="auto"/>
              </w:rPr>
              <w:t>KVMX</w:t>
            </w:r>
          </w:p>
        </w:tc>
        <w:tc>
          <w:tcPr>
            <w:tcW w:w="1000" w:type="dxa"/>
            <w:vAlign w:val="bottom"/>
          </w:tcPr>
          <w:p>
            <w:pPr>
              <w:ind w:left="540"/>
              <w:spacing w:after="0"/>
              <w:rPr>
                <w:sz w:val="20"/>
                <w:szCs w:val="20"/>
                <w:color w:val="auto"/>
              </w:rPr>
            </w:pPr>
            <w:r>
              <w:rPr>
                <w:rFonts w:ascii="Arial" w:cs="Arial" w:eastAsia="Arial" w:hAnsi="Arial"/>
                <w:sz w:val="14"/>
                <w:szCs w:val="14"/>
                <w:color w:val="auto"/>
              </w:rPr>
              <w:t>FM</w:t>
            </w:r>
          </w:p>
        </w:tc>
        <w:tc>
          <w:tcPr>
            <w:tcW w:w="2420" w:type="dxa"/>
            <w:vAlign w:val="bottom"/>
          </w:tcPr>
          <w:p>
            <w:pPr>
              <w:ind w:left="260"/>
              <w:spacing w:after="0"/>
              <w:rPr>
                <w:sz w:val="20"/>
                <w:szCs w:val="20"/>
                <w:color w:val="auto"/>
              </w:rPr>
            </w:pPr>
            <w:r>
              <w:rPr>
                <w:rFonts w:ascii="Arial" w:cs="Arial" w:eastAsia="Arial" w:hAnsi="Arial"/>
                <w:sz w:val="14"/>
                <w:szCs w:val="14"/>
                <w:color w:val="auto"/>
              </w:rPr>
              <w:t>80s Hits</w:t>
            </w:r>
          </w:p>
        </w:tc>
        <w:tc>
          <w:tcPr>
            <w:tcW w:w="2840" w:type="dxa"/>
            <w:vAlign w:val="bottom"/>
          </w:tcPr>
          <w:p>
            <w:pPr>
              <w:ind w:left="780"/>
              <w:spacing w:after="0"/>
              <w:rPr>
                <w:sz w:val="20"/>
                <w:szCs w:val="20"/>
                <w:color w:val="auto"/>
              </w:rPr>
            </w:pPr>
            <w:r>
              <w:rPr>
                <w:rFonts w:ascii="Arial" w:cs="Arial" w:eastAsia="Arial" w:hAnsi="Arial"/>
                <w:sz w:val="14"/>
                <w:szCs w:val="14"/>
                <w:color w:val="auto"/>
              </w:rPr>
              <w:t>Bulletins, Mall Posters, Walls,</w:t>
            </w:r>
          </w:p>
        </w:tc>
      </w:tr>
      <w:tr>
        <w:trPr>
          <w:trHeight w:val="149"/>
        </w:trPr>
        <w:tc>
          <w:tcPr>
            <w:tcW w:w="1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60" w:type="dxa"/>
            <w:vAlign w:val="bottom"/>
          </w:tcPr>
          <w:p>
            <w:pPr>
              <w:ind w:left="420"/>
              <w:spacing w:after="0" w:line="149" w:lineRule="exact"/>
              <w:rPr>
                <w:sz w:val="20"/>
                <w:szCs w:val="20"/>
                <w:color w:val="auto"/>
              </w:rPr>
            </w:pPr>
            <w:r>
              <w:rPr>
                <w:rFonts w:ascii="Arial" w:cs="Arial" w:eastAsia="Arial" w:hAnsi="Arial"/>
                <w:sz w:val="14"/>
                <w:szCs w:val="14"/>
                <w:color w:val="auto"/>
              </w:rPr>
              <w:t>KINK</w:t>
            </w:r>
          </w:p>
        </w:tc>
        <w:tc>
          <w:tcPr>
            <w:tcW w:w="1000" w:type="dxa"/>
            <w:vAlign w:val="bottom"/>
          </w:tcPr>
          <w:p>
            <w:pPr>
              <w:ind w:left="540"/>
              <w:spacing w:after="0" w:line="149" w:lineRule="exact"/>
              <w:rPr>
                <w:sz w:val="20"/>
                <w:szCs w:val="20"/>
                <w:color w:val="auto"/>
              </w:rPr>
            </w:pPr>
            <w:r>
              <w:rPr>
                <w:rFonts w:ascii="Arial" w:cs="Arial" w:eastAsia="Arial" w:hAnsi="Arial"/>
                <w:sz w:val="14"/>
                <w:szCs w:val="14"/>
                <w:color w:val="auto"/>
              </w:rPr>
              <w:t>FM</w:t>
            </w:r>
          </w:p>
        </w:tc>
        <w:tc>
          <w:tcPr>
            <w:tcW w:w="2420" w:type="dxa"/>
            <w:vAlign w:val="bottom"/>
          </w:tcPr>
          <w:p>
            <w:pPr>
              <w:ind w:left="260"/>
              <w:spacing w:after="0" w:line="149" w:lineRule="exact"/>
              <w:rPr>
                <w:sz w:val="20"/>
                <w:szCs w:val="20"/>
                <w:color w:val="auto"/>
              </w:rPr>
            </w:pPr>
            <w:r>
              <w:rPr>
                <w:rFonts w:ascii="Arial" w:cs="Arial" w:eastAsia="Arial" w:hAnsi="Arial"/>
                <w:sz w:val="14"/>
                <w:szCs w:val="14"/>
                <w:color w:val="auto"/>
              </w:rPr>
              <w:t>Adult Album Alternative</w:t>
            </w:r>
          </w:p>
        </w:tc>
        <w:tc>
          <w:tcPr>
            <w:tcW w:w="2840" w:type="dxa"/>
            <w:vAlign w:val="bottom"/>
          </w:tcPr>
          <w:p>
            <w:pPr>
              <w:ind w:left="780"/>
              <w:spacing w:after="0" w:line="149" w:lineRule="exact"/>
              <w:rPr>
                <w:sz w:val="20"/>
                <w:szCs w:val="20"/>
                <w:color w:val="auto"/>
              </w:rPr>
            </w:pPr>
            <w:r>
              <w:rPr>
                <w:rFonts w:ascii="Arial" w:cs="Arial" w:eastAsia="Arial" w:hAnsi="Arial"/>
                <w:sz w:val="14"/>
                <w:szCs w:val="14"/>
                <w:color w:val="auto"/>
              </w:rPr>
              <w:t>Posters</w:t>
            </w:r>
          </w:p>
        </w:tc>
      </w:tr>
      <w:tr>
        <w:trPr>
          <w:trHeight w:val="149"/>
        </w:trPr>
        <w:tc>
          <w:tcPr>
            <w:tcW w:w="1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60" w:type="dxa"/>
            <w:vAlign w:val="bottom"/>
          </w:tcPr>
          <w:p>
            <w:pPr>
              <w:ind w:left="420"/>
              <w:spacing w:after="0" w:line="149" w:lineRule="exact"/>
              <w:rPr>
                <w:sz w:val="20"/>
                <w:szCs w:val="20"/>
                <w:color w:val="auto"/>
              </w:rPr>
            </w:pPr>
            <w:r>
              <w:rPr>
                <w:rFonts w:ascii="Arial" w:cs="Arial" w:eastAsia="Arial" w:hAnsi="Arial"/>
                <w:sz w:val="14"/>
                <w:szCs w:val="14"/>
                <w:color w:val="auto"/>
              </w:rPr>
              <w:t>KLTH</w:t>
            </w:r>
          </w:p>
        </w:tc>
        <w:tc>
          <w:tcPr>
            <w:tcW w:w="1000" w:type="dxa"/>
            <w:vAlign w:val="bottom"/>
          </w:tcPr>
          <w:p>
            <w:pPr>
              <w:ind w:left="540"/>
              <w:spacing w:after="0" w:line="149" w:lineRule="exact"/>
              <w:rPr>
                <w:sz w:val="20"/>
                <w:szCs w:val="20"/>
                <w:color w:val="auto"/>
              </w:rPr>
            </w:pPr>
            <w:r>
              <w:rPr>
                <w:rFonts w:ascii="Arial" w:cs="Arial" w:eastAsia="Arial" w:hAnsi="Arial"/>
                <w:sz w:val="14"/>
                <w:szCs w:val="14"/>
                <w:color w:val="auto"/>
              </w:rPr>
              <w:t>FM</w:t>
            </w:r>
          </w:p>
        </w:tc>
        <w:tc>
          <w:tcPr>
            <w:tcW w:w="2420" w:type="dxa"/>
            <w:vAlign w:val="bottom"/>
          </w:tcPr>
          <w:p>
            <w:pPr>
              <w:ind w:left="260"/>
              <w:spacing w:after="0" w:line="149" w:lineRule="exact"/>
              <w:rPr>
                <w:sz w:val="20"/>
                <w:szCs w:val="20"/>
                <w:color w:val="auto"/>
              </w:rPr>
            </w:pPr>
            <w:r>
              <w:rPr>
                <w:rFonts w:ascii="Arial" w:cs="Arial" w:eastAsia="Arial" w:hAnsi="Arial"/>
                <w:sz w:val="14"/>
                <w:szCs w:val="14"/>
                <w:color w:val="auto"/>
              </w:rPr>
              <w:t>Adult Contemporary</w:t>
            </w:r>
          </w:p>
        </w:tc>
        <w:tc>
          <w:tcPr>
            <w:tcW w:w="28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60" w:type="dxa"/>
            <w:vAlign w:val="bottom"/>
          </w:tcPr>
          <w:p>
            <w:pPr>
              <w:ind w:left="420"/>
              <w:spacing w:after="0" w:line="149" w:lineRule="exact"/>
              <w:rPr>
                <w:sz w:val="20"/>
                <w:szCs w:val="20"/>
                <w:color w:val="auto"/>
              </w:rPr>
            </w:pPr>
            <w:r>
              <w:rPr>
                <w:rFonts w:ascii="Arial" w:cs="Arial" w:eastAsia="Arial" w:hAnsi="Arial"/>
                <w:sz w:val="14"/>
                <w:szCs w:val="14"/>
                <w:color w:val="auto"/>
              </w:rPr>
              <w:t>KUFO-FM</w:t>
            </w:r>
          </w:p>
        </w:tc>
        <w:tc>
          <w:tcPr>
            <w:tcW w:w="1000" w:type="dxa"/>
            <w:vAlign w:val="bottom"/>
          </w:tcPr>
          <w:p>
            <w:pPr>
              <w:ind w:left="540"/>
              <w:spacing w:after="0" w:line="149" w:lineRule="exact"/>
              <w:rPr>
                <w:sz w:val="20"/>
                <w:szCs w:val="20"/>
                <w:color w:val="auto"/>
              </w:rPr>
            </w:pPr>
            <w:r>
              <w:rPr>
                <w:rFonts w:ascii="Arial" w:cs="Arial" w:eastAsia="Arial" w:hAnsi="Arial"/>
                <w:sz w:val="14"/>
                <w:szCs w:val="14"/>
                <w:color w:val="auto"/>
              </w:rPr>
              <w:t>FM</w:t>
            </w:r>
          </w:p>
        </w:tc>
        <w:tc>
          <w:tcPr>
            <w:tcW w:w="2420" w:type="dxa"/>
            <w:vAlign w:val="bottom"/>
          </w:tcPr>
          <w:p>
            <w:pPr>
              <w:ind w:left="260"/>
              <w:spacing w:after="0" w:line="149" w:lineRule="exact"/>
              <w:rPr>
                <w:sz w:val="20"/>
                <w:szCs w:val="20"/>
                <w:color w:val="auto"/>
              </w:rPr>
            </w:pPr>
            <w:r>
              <w:rPr>
                <w:rFonts w:ascii="Arial" w:cs="Arial" w:eastAsia="Arial" w:hAnsi="Arial"/>
                <w:sz w:val="14"/>
                <w:szCs w:val="14"/>
                <w:color w:val="auto"/>
              </w:rPr>
              <w:t>Rock</w:t>
            </w:r>
          </w:p>
        </w:tc>
        <w:tc>
          <w:tcPr>
            <w:tcW w:w="28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60" w:type="dxa"/>
            <w:vAlign w:val="bottom"/>
          </w:tcPr>
          <w:p>
            <w:pPr>
              <w:ind w:left="420"/>
              <w:spacing w:after="0" w:line="149" w:lineRule="exact"/>
              <w:rPr>
                <w:sz w:val="20"/>
                <w:szCs w:val="20"/>
                <w:color w:val="auto"/>
              </w:rPr>
            </w:pPr>
            <w:r>
              <w:rPr>
                <w:rFonts w:ascii="Arial" w:cs="Arial" w:eastAsia="Arial" w:hAnsi="Arial"/>
                <w:sz w:val="14"/>
                <w:szCs w:val="14"/>
                <w:color w:val="auto"/>
              </w:rPr>
              <w:t>KUPL-FM</w:t>
            </w:r>
          </w:p>
        </w:tc>
        <w:tc>
          <w:tcPr>
            <w:tcW w:w="1000" w:type="dxa"/>
            <w:vAlign w:val="bottom"/>
          </w:tcPr>
          <w:p>
            <w:pPr>
              <w:ind w:left="540"/>
              <w:spacing w:after="0" w:line="149" w:lineRule="exact"/>
              <w:rPr>
                <w:sz w:val="20"/>
                <w:szCs w:val="20"/>
                <w:color w:val="auto"/>
              </w:rPr>
            </w:pPr>
            <w:r>
              <w:rPr>
                <w:rFonts w:ascii="Arial" w:cs="Arial" w:eastAsia="Arial" w:hAnsi="Arial"/>
                <w:sz w:val="14"/>
                <w:szCs w:val="14"/>
                <w:color w:val="auto"/>
              </w:rPr>
              <w:t>FM</w:t>
            </w:r>
          </w:p>
        </w:tc>
        <w:tc>
          <w:tcPr>
            <w:tcW w:w="2420" w:type="dxa"/>
            <w:vAlign w:val="bottom"/>
          </w:tcPr>
          <w:p>
            <w:pPr>
              <w:ind w:left="260"/>
              <w:spacing w:after="0" w:line="149" w:lineRule="exact"/>
              <w:rPr>
                <w:sz w:val="20"/>
                <w:szCs w:val="20"/>
                <w:color w:val="auto"/>
              </w:rPr>
            </w:pPr>
            <w:r>
              <w:rPr>
                <w:rFonts w:ascii="Arial" w:cs="Arial" w:eastAsia="Arial" w:hAnsi="Arial"/>
                <w:sz w:val="14"/>
                <w:szCs w:val="14"/>
                <w:color w:val="auto"/>
              </w:rPr>
              <w:t>Country</w:t>
            </w:r>
          </w:p>
        </w:tc>
        <w:tc>
          <w:tcPr>
            <w:tcW w:w="2840" w:type="dxa"/>
            <w:vAlign w:val="bottom"/>
          </w:tcPr>
          <w:p>
            <w:pPr>
              <w:spacing w:after="0"/>
              <w:rPr>
                <w:sz w:val="12"/>
                <w:szCs w:val="12"/>
                <w:color w:val="auto"/>
              </w:rPr>
            </w:pPr>
          </w:p>
        </w:tc>
      </w:tr>
      <w:tr>
        <w:trPr>
          <w:trHeight w:val="159"/>
        </w:trPr>
        <w:tc>
          <w:tcPr>
            <w:tcW w:w="16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560" w:type="dxa"/>
            <w:vAlign w:val="bottom"/>
          </w:tcPr>
          <w:p>
            <w:pPr>
              <w:ind w:left="420"/>
              <w:spacing w:after="0" w:line="159" w:lineRule="exact"/>
              <w:rPr>
                <w:sz w:val="20"/>
                <w:szCs w:val="20"/>
                <w:color w:val="auto"/>
              </w:rPr>
            </w:pPr>
            <w:r>
              <w:rPr>
                <w:rFonts w:ascii="Arial" w:cs="Arial" w:eastAsia="Arial" w:hAnsi="Arial"/>
                <w:sz w:val="14"/>
                <w:szCs w:val="14"/>
                <w:color w:val="auto"/>
              </w:rPr>
              <w:t>KCDM</w:t>
            </w:r>
          </w:p>
        </w:tc>
        <w:tc>
          <w:tcPr>
            <w:tcW w:w="1000" w:type="dxa"/>
            <w:vAlign w:val="bottom"/>
          </w:tcPr>
          <w:p>
            <w:pPr>
              <w:ind w:left="540"/>
              <w:spacing w:after="0" w:line="159" w:lineRule="exact"/>
              <w:rPr>
                <w:sz w:val="20"/>
                <w:szCs w:val="20"/>
                <w:color w:val="auto"/>
              </w:rPr>
            </w:pPr>
            <w:r>
              <w:rPr>
                <w:rFonts w:ascii="Arial" w:cs="Arial" w:eastAsia="Arial" w:hAnsi="Arial"/>
                <w:sz w:val="14"/>
                <w:szCs w:val="14"/>
                <w:color w:val="auto"/>
              </w:rPr>
              <w:t>AM</w:t>
            </w:r>
          </w:p>
        </w:tc>
        <w:tc>
          <w:tcPr>
            <w:tcW w:w="2420" w:type="dxa"/>
            <w:vAlign w:val="bottom"/>
          </w:tcPr>
          <w:p>
            <w:pPr>
              <w:ind w:left="260"/>
              <w:spacing w:after="0" w:line="159" w:lineRule="exact"/>
              <w:rPr>
                <w:sz w:val="20"/>
                <w:szCs w:val="20"/>
                <w:color w:val="auto"/>
              </w:rPr>
            </w:pPr>
            <w:r>
              <w:rPr>
                <w:rFonts w:ascii="Arial" w:cs="Arial" w:eastAsia="Arial" w:hAnsi="Arial"/>
                <w:sz w:val="14"/>
                <w:szCs w:val="14"/>
                <w:color w:val="auto"/>
              </w:rPr>
              <w:t>Comedy</w:t>
            </w:r>
          </w:p>
        </w:tc>
        <w:tc>
          <w:tcPr>
            <w:tcW w:w="2840" w:type="dxa"/>
            <w:vAlign w:val="bottom"/>
          </w:tcPr>
          <w:p>
            <w:pPr>
              <w:spacing w:after="0"/>
              <w:rPr>
                <w:sz w:val="13"/>
                <w:szCs w:val="13"/>
                <w:color w:val="auto"/>
              </w:rPr>
            </w:pPr>
          </w:p>
        </w:tc>
      </w:tr>
      <w:tr>
        <w:trPr>
          <w:trHeight w:val="286"/>
        </w:trPr>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Cleveland, OH</w:t>
            </w:r>
          </w:p>
        </w:tc>
        <w:tc>
          <w:tcPr>
            <w:tcW w:w="1940" w:type="dxa"/>
            <w:vAlign w:val="bottom"/>
            <w:shd w:val="clear" w:color="auto" w:fill="CCEEFF"/>
          </w:tcPr>
          <w:p>
            <w:pPr>
              <w:jc w:val="right"/>
              <w:ind w:right="372"/>
              <w:spacing w:after="0"/>
              <w:rPr>
                <w:sz w:val="20"/>
                <w:szCs w:val="20"/>
                <w:color w:val="auto"/>
              </w:rPr>
            </w:pPr>
            <w:r>
              <w:rPr>
                <w:rFonts w:ascii="Arial" w:cs="Arial" w:eastAsia="Arial" w:hAnsi="Arial"/>
                <w:sz w:val="14"/>
                <w:szCs w:val="14"/>
                <w:color w:val="auto"/>
              </w:rPr>
              <w:t>25</w:t>
            </w:r>
          </w:p>
        </w:tc>
        <w:tc>
          <w:tcPr>
            <w:tcW w:w="15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WNCX</w:t>
            </w:r>
          </w:p>
        </w:tc>
        <w:tc>
          <w:tcPr>
            <w:tcW w:w="1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FM</w:t>
            </w:r>
          </w:p>
        </w:tc>
        <w:tc>
          <w:tcPr>
            <w:tcW w:w="2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Classic Rock</w:t>
            </w:r>
          </w:p>
        </w:tc>
        <w:tc>
          <w:tcPr>
            <w:tcW w:w="2840" w:type="dxa"/>
            <w:vAlign w:val="bottom"/>
            <w:shd w:val="clear" w:color="auto" w:fill="CCEEFF"/>
          </w:tcPr>
          <w:p>
            <w:pPr>
              <w:ind w:left="780"/>
              <w:spacing w:after="0"/>
              <w:rPr>
                <w:sz w:val="20"/>
                <w:szCs w:val="20"/>
                <w:color w:val="auto"/>
              </w:rPr>
            </w:pPr>
            <w:r>
              <w:rPr>
                <w:rFonts w:ascii="Arial" w:cs="Arial" w:eastAsia="Arial" w:hAnsi="Arial"/>
                <w:sz w:val="14"/>
                <w:szCs w:val="14"/>
                <w:color w:val="auto"/>
              </w:rPr>
              <w:t>Bus, Bulletins, Mall Posters, Rail</w:t>
            </w:r>
          </w:p>
        </w:tc>
      </w:tr>
      <w:tr>
        <w:trPr>
          <w:trHeight w:val="149"/>
        </w:trPr>
        <w:tc>
          <w:tcPr>
            <w:tcW w:w="16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WDOK</w:t>
            </w:r>
          </w:p>
        </w:tc>
        <w:tc>
          <w:tcPr>
            <w:tcW w:w="10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FM</w:t>
            </w:r>
          </w:p>
        </w:tc>
        <w:tc>
          <w:tcPr>
            <w:tcW w:w="2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Soft Adult Contemporary</w:t>
            </w:r>
          </w:p>
        </w:tc>
        <w:tc>
          <w:tcPr>
            <w:tcW w:w="2840" w:type="dxa"/>
            <w:vAlign w:val="bottom"/>
            <w:shd w:val="clear" w:color="auto" w:fill="CCEEFF"/>
          </w:tcPr>
          <w:p>
            <w:pPr>
              <w:spacing w:after="0"/>
              <w:rPr>
                <w:sz w:val="12"/>
                <w:szCs w:val="12"/>
                <w:color w:val="auto"/>
              </w:rPr>
            </w:pPr>
          </w:p>
        </w:tc>
      </w:tr>
      <w:tr>
        <w:trPr>
          <w:trHeight w:val="149"/>
        </w:trPr>
        <w:tc>
          <w:tcPr>
            <w:tcW w:w="16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WQAL</w:t>
            </w:r>
          </w:p>
        </w:tc>
        <w:tc>
          <w:tcPr>
            <w:tcW w:w="10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FM</w:t>
            </w:r>
          </w:p>
        </w:tc>
        <w:tc>
          <w:tcPr>
            <w:tcW w:w="2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Hot Adult Contemporary</w:t>
            </w:r>
          </w:p>
        </w:tc>
        <w:tc>
          <w:tcPr>
            <w:tcW w:w="2840" w:type="dxa"/>
            <w:vAlign w:val="bottom"/>
            <w:shd w:val="clear" w:color="auto" w:fill="CCEEFF"/>
          </w:tcPr>
          <w:p>
            <w:pPr>
              <w:spacing w:after="0"/>
              <w:rPr>
                <w:sz w:val="12"/>
                <w:szCs w:val="12"/>
                <w:color w:val="auto"/>
              </w:rPr>
            </w:pPr>
          </w:p>
        </w:tc>
      </w:tr>
      <w:tr>
        <w:trPr>
          <w:trHeight w:val="159"/>
        </w:trPr>
        <w:tc>
          <w:tcPr>
            <w:tcW w:w="16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5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WXTM</w:t>
            </w:r>
          </w:p>
        </w:tc>
        <w:tc>
          <w:tcPr>
            <w:tcW w:w="1000" w:type="dxa"/>
            <w:vAlign w:val="bottom"/>
            <w:shd w:val="clear" w:color="auto" w:fill="CCEEFF"/>
          </w:tcPr>
          <w:p>
            <w:pPr>
              <w:ind w:left="540"/>
              <w:spacing w:after="0" w:line="159" w:lineRule="exact"/>
              <w:rPr>
                <w:sz w:val="20"/>
                <w:szCs w:val="20"/>
                <w:color w:val="auto"/>
              </w:rPr>
            </w:pPr>
            <w:r>
              <w:rPr>
                <w:rFonts w:ascii="Arial" w:cs="Arial" w:eastAsia="Arial" w:hAnsi="Arial"/>
                <w:sz w:val="14"/>
                <w:szCs w:val="14"/>
                <w:color w:val="auto"/>
              </w:rPr>
              <w:t>FM</w:t>
            </w:r>
          </w:p>
        </w:tc>
        <w:tc>
          <w:tcPr>
            <w:tcW w:w="242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Alternative Rock</w:t>
            </w:r>
          </w:p>
        </w:tc>
        <w:tc>
          <w:tcPr>
            <w:tcW w:w="2840" w:type="dxa"/>
            <w:vAlign w:val="bottom"/>
            <w:shd w:val="clear" w:color="auto" w:fill="CCEEFF"/>
          </w:tcPr>
          <w:p>
            <w:pPr>
              <w:spacing w:after="0"/>
              <w:rPr>
                <w:sz w:val="13"/>
                <w:szCs w:val="13"/>
                <w:color w:val="auto"/>
              </w:rPr>
            </w:pPr>
          </w:p>
        </w:tc>
      </w:tr>
      <w:tr>
        <w:trPr>
          <w:trHeight w:val="118"/>
        </w:trPr>
        <w:tc>
          <w:tcPr>
            <w:tcW w:w="1660" w:type="dxa"/>
            <w:vAlign w:val="bottom"/>
            <w:tcBorders>
              <w:bottom w:val="single" w:sz="8" w:color="808080"/>
            </w:tcBorders>
          </w:tcPr>
          <w:p>
            <w:pPr>
              <w:spacing w:after="0"/>
              <w:rPr>
                <w:sz w:val="10"/>
                <w:szCs w:val="10"/>
                <w:color w:val="auto"/>
              </w:rPr>
            </w:pPr>
          </w:p>
        </w:tc>
        <w:tc>
          <w:tcPr>
            <w:tcW w:w="19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8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55"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Market Rank based on Fall 2004 Radio Market Survey Schedule and Population Rankings as provided by Arbitron Inc.</w:t>
      </w:r>
    </w:p>
    <w:p>
      <w:pPr>
        <w:ind w:left="540" w:hanging="532"/>
        <w:spacing w:after="0"/>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Sub-market of New York City. Radio's New York City radio stations serve Nassau-Suffolk.</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Outdoor </w:t>
      </w:r>
      <w:r>
        <w:rPr>
          <w:rFonts w:ascii="Arial" w:cs="Arial" w:eastAsia="Arial" w:hAnsi="Arial"/>
          <w:sz w:val="18"/>
          <w:szCs w:val="18"/>
          <w:color w:val="auto"/>
        </w:rPr>
        <w:t>(8%, 8% and 9% of the Company's consolidated revenue in 2004, 2003 and 2002, respectively)</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Company sells, through Viacom Outdoor, advertising space on various media, including billboards, transit shelters, buses, rail systems (in-car, station platform and terminal), mall kiosks and stadium signage. It has outdoor advertising operations in more than 90 markets in North America, including all 50 of the largest metropolitan markets in the U.S., 14 of the 15 largest metropolitan markets in Canada and all of the 45 largest metropolitan markets in Mexico. Additionally, Viacom Outdoor has the exclusive rights to manage advertising space within the London Underground and on more than 90% of the buses in London and the U.K., has the exclusive rights to public transit advertising in the Republic of Ireland and parts of Northern Ireland, and has a variety of outdoor advertising displays in the Netherlands, France, Italy, Spain, Finland and Puerto Rico. The Radio Stations and Outdoor Advertising Displays table above includes information with regard to the Company's outdoor advertising properties in the top 25 U.S. radio markets.</w:t>
      </w:r>
    </w:p>
    <w:p>
      <w:pPr>
        <w:spacing w:after="0" w:line="17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substantial majority of Viacom Outdoor's revenues are generated from the sale of local, regional and national advertising. Advertising rates are based on supply and demand for the particular locations, which are influenced by a particular display's exposure known as "impressions" delivered in relation to the demographics of the particular market and its location within that market. Nielsen Media Research and Arbitron Inc. are testing the market for measuring these impressions. The Company cannot predict the impact, if any, on the Outdoor business should measuring impressions become widespread. The major categories of out-of-home advertisers include: automotive, retail, healthcare, telecommunications, fast food, beverage, media, entertainment and services. Out-of-home media industry advertising expenditures by retailers and the entertainment industry fluctuate, which has an effect on Viacom Outdoor's revenues.</w:t>
      </w:r>
    </w:p>
    <w:p>
      <w:pPr>
        <w:spacing w:after="0" w:line="174" w:lineRule="exact"/>
        <w:rPr>
          <w:sz w:val="20"/>
          <w:szCs w:val="20"/>
          <w:color w:val="auto"/>
        </w:rPr>
      </w:pPr>
    </w:p>
    <w:p>
      <w:pPr>
        <w:ind w:right="400" w:firstLine="348"/>
        <w:spacing w:after="0" w:line="286" w:lineRule="auto"/>
        <w:rPr>
          <w:sz w:val="20"/>
          <w:szCs w:val="20"/>
          <w:color w:val="auto"/>
        </w:rPr>
      </w:pPr>
      <w:r>
        <w:rPr>
          <w:rFonts w:ascii="Arial" w:cs="Arial" w:eastAsia="Arial" w:hAnsi="Arial"/>
          <w:sz w:val="16"/>
          <w:szCs w:val="16"/>
          <w:color w:val="auto"/>
        </w:rPr>
        <w:t>Viacom Outdoor generally operates in the billboard, transit and street furniture advertising markets. Viacom Outdoor primarily operates two types of billboard advertising displays, commonly referred to as "bulletins" and "posters." Bulletin space and poster space are generally sold for periods ranging from</w:t>
      </w:r>
    </w:p>
    <w:p>
      <w:pPr>
        <w:ind w:right="60"/>
        <w:spacing w:after="0" w:line="302" w:lineRule="auto"/>
        <w:rPr>
          <w:sz w:val="20"/>
          <w:szCs w:val="20"/>
          <w:color w:val="auto"/>
        </w:rPr>
      </w:pPr>
      <w:r>
        <w:rPr>
          <w:rFonts w:ascii="Arial" w:cs="Arial" w:eastAsia="Arial" w:hAnsi="Arial"/>
          <w:sz w:val="16"/>
          <w:szCs w:val="16"/>
          <w:color w:val="auto"/>
        </w:rPr>
        <w:t>30 days to 12 months. Billboards are generally mounted on structures owned or leased by Viacom Outdoor. Lease agreements are negotiated with both public and private landowners for varying terms ranging from month-to-month to year-to-year and can be for terms of 10 years or longer, and many provide for renewal options. There is no significant concentration of displays under any one lease or subject to negotiation with any one landlord.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8" w:name="page19"/>
    <w:bookmarkEnd w:id="18"/>
    <w:p>
      <w:pPr>
        <w:ind w:right="280" w:firstLine="348"/>
        <w:spacing w:after="0" w:line="255" w:lineRule="auto"/>
        <w:rPr>
          <w:sz w:val="20"/>
          <w:szCs w:val="20"/>
          <w:color w:val="auto"/>
        </w:rPr>
      </w:pPr>
      <w:r>
        <w:rPr>
          <w:rFonts w:ascii="Arial" w:cs="Arial" w:eastAsia="Arial" w:hAnsi="Arial"/>
          <w:sz w:val="18"/>
          <w:szCs w:val="18"/>
          <w:color w:val="auto"/>
        </w:rPr>
        <w:t>Transit advertising includes advertising on or in transit systems, including the interiors and exteriors of buses, trains, trams and at rail stations. Transit advertising contracts are negotiated with public transit authorities and private transit operators and generally provide for payment to the transit authority of a percentage of the revenues, a fixed payment, or the greater of a percentage of the revenues or a fixed payment. Where revenues are lower than anticipated, the minimum amount required to be paid to a transit authority may exceed, or be a high percentage of, the advertising revenues received by Outdoor under that advertising contract.</w:t>
      </w:r>
    </w:p>
    <w:p>
      <w:pPr>
        <w:spacing w:after="0" w:line="197"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Street furniture displays, the most common of which are bus shelters, reach both vehicular and pedestrian audiences. Bus shelters are usually constructed, installed and maintained by Outdoor. Most of Outdoor's bus shelter contracts include revenue-sharing arrangements with a municipality or transit authority and often include minimum required payments. Street furniture contracts usually involve a competitive bidding process and contracts typically are for a term of between 10 to 20 years. Contracts are awarded on the basis of projected revenues to the municipality, including minimum payments, and Viacom Outdoor's willingness to construct public facilities, such as bus shelters, public toilets and information kiosks. In both its transit and street furniture negotiations, Outdoor seeks to reduce minimum payment obligations on new agreements and on renewal of existing agreements. This position may make it more difficult to enter into new agreements or to renew certain existing agreements.</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Viacom Outdoor's business strategy involves expanding its presence in major selected markets, to grow its revenues and cash flow by being a leading provider of out of home advertising services in the markets it serves, controlling costs and developing and entering into new markets. In addition, the Company purchases outdoor advertising assets within its existing markets or in contiguous markets. During 2004, Viacom Outdoor acquired new properties and entered into new markets and ventures, including the acquisition of advertising rights and billboards at the Oakland-Alameda County Coliseum Complex in California. The Company believes that there will be continuing opportunities for implementing its acquisition and development strategies given the outdoor advertising industry's fragmentation. This is particularly true in the international markets, where Viacom Outdoor's presence offers opportunities to increase profitability both from existing operations and from future acquisitions.</w:t>
      </w:r>
    </w:p>
    <w:p>
      <w:pPr>
        <w:spacing w:after="0" w:line="16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color w:val="auto"/>
        </w:rPr>
        <w:t xml:space="preserve">Outdoor Competition. </w:t>
      </w:r>
      <w:r>
        <w:rPr>
          <w:rFonts w:ascii="Arial" w:cs="Arial" w:eastAsia="Arial" w:hAnsi="Arial"/>
          <w:sz w:val="16"/>
          <w:szCs w:val="16"/>
          <w:color w:val="auto"/>
        </w:rPr>
        <w:t>The outdoor advertising industry is fragmented, consisting of several large companies involved in outdoor advertising such as</w:t>
      </w:r>
      <w:r>
        <w:rPr>
          <w:rFonts w:ascii="Arial" w:cs="Arial" w:eastAsia="Arial" w:hAnsi="Arial"/>
          <w:sz w:val="16"/>
          <w:szCs w:val="16"/>
          <w:b w:val="1"/>
          <w:bCs w:val="1"/>
          <w:color w:val="auto"/>
        </w:rPr>
        <w:t xml:space="preserve"> </w:t>
      </w:r>
      <w:r>
        <w:rPr>
          <w:rFonts w:ascii="Arial" w:cs="Arial" w:eastAsia="Arial" w:hAnsi="Arial"/>
          <w:sz w:val="16"/>
          <w:szCs w:val="16"/>
          <w:color w:val="auto"/>
        </w:rPr>
        <w:t>Clear Channel Communications and Lamar Advertising as well as hundreds of smaller and local companies operating a limited number of structures in a single or a few local markets. The Company also competes with other media, including broadcast and cable television, radio, print media, the Internet and direct mail marketers, within their respective markets. In addition, it competes with a wide variety of out-of-home media, including advertising in shopping centers, airports, movie theaters, supermarkets and taxis. Advertisers compare relative costs of available media and cost-per-thousand impressions, particularly when delivering a message to customers with distinct demographic characteristics. In competing with other media, the outdoor advertising industry relies on its relative cost efficiency and its ability to reach a broad segment in a specific market or to target a particular geographic area or population with a particular demographic within that market. New technologies for outdoor advertising displays, such as animated billboards, continue to develop. The Company keeps apprised of new technologies and endeavors to remain competitive in this regard. If these new technologies prove desirable to Viacom Outdoor's customers, the Company's costs could increase.</w:t>
      </w:r>
    </w:p>
    <w:p>
      <w:pPr>
        <w:spacing w:after="0" w:line="17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 believes that its strong emphasis in sales and customer service and its position as a leading provider of advertising services in each of its primary markets as well as its nationwide inventory enables it to compete effectively with the other outdoor advertising companies, as well as other media, within those markets.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ind w:left="180"/>
        <w:spacing w:after="0"/>
        <w:tabs>
          <w:tab w:leader="none" w:pos="1440" w:val="left"/>
        </w:tabs>
        <w:rPr>
          <w:sz w:val="20"/>
          <w:szCs w:val="20"/>
          <w:color w:val="auto"/>
        </w:rPr>
      </w:pPr>
      <w:r>
        <w:rPr>
          <w:rFonts w:ascii="Arial" w:cs="Arial" w:eastAsia="Arial" w:hAnsi="Arial"/>
          <w:sz w:val="18"/>
          <w:szCs w:val="18"/>
          <w:b w:val="1"/>
          <w:bCs w:val="1"/>
          <w:color w:val="auto"/>
        </w:rPr>
        <w:t>Entertainment</w:t>
      </w:r>
      <w:r>
        <w:rPr>
          <w:sz w:val="20"/>
          <w:szCs w:val="20"/>
          <w:color w:val="auto"/>
        </w:rPr>
        <w:tab/>
      </w:r>
      <w:r>
        <w:rPr>
          <w:rFonts w:ascii="Arial" w:cs="Arial" w:eastAsia="Arial" w:hAnsi="Arial"/>
          <w:sz w:val="15"/>
          <w:szCs w:val="15"/>
          <w:color w:val="auto"/>
        </w:rPr>
        <w:t>(18%, 20% and 19% of the Company's consolidated revenues in 2004, 2003 and 2002, respectively)</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Entertainment segment's principal businesses are Paramount Pictures, which produces and distributes theatrical motion pictures; Simon &amp; Schuster, which publishes and distributes consumer books; Paramount Parks, which is principally engaged in the ownership and operation of five regional theme parks and a themed attraction in the U.S. and Canada; Famous Players™, which operates movie theaters in Canada; and Famous Music®, which is involved in music publishing.</w:t>
      </w:r>
    </w:p>
    <w:p>
      <w:pPr>
        <w:spacing w:after="0" w:line="197"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b w:val="1"/>
          <w:bCs w:val="1"/>
          <w:i w:val="1"/>
          <w:iCs w:val="1"/>
          <w:color w:val="auto"/>
        </w:rPr>
        <w:t xml:space="preserve">Theatrical Motion Pictures. </w:t>
      </w:r>
      <w:r>
        <w:rPr>
          <w:rFonts w:ascii="Arial" w:cs="Arial" w:eastAsia="Arial" w:hAnsi="Arial"/>
          <w:sz w:val="15"/>
          <w:szCs w:val="15"/>
          <w:color w:val="auto"/>
        </w:rPr>
        <w:t>Through Paramount Pictures, the Company produces, finances and distributes feature motion pictures. Each picture is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separate and distinct product with its financial success dependent upon many factors, among which cost and public response are of fundamental importance. In general, motion pictures produced or acquired for distribution by Paramount Pictures are exhibited in U.S. and foreign theaters followed by DVDs and videocassettes, pay-per-view television, premium subscription television, network television and basic cable and syndicated television exploitation. During 2004, Paramount Pictures produced, co-produced or acquired, and theatrically released, 16 feature motion pictures, including </w:t>
      </w:r>
      <w:r>
        <w:rPr>
          <w:rFonts w:ascii="Arial" w:cs="Arial" w:eastAsia="Arial" w:hAnsi="Arial"/>
          <w:sz w:val="15"/>
          <w:szCs w:val="15"/>
          <w:i w:val="1"/>
          <w:iCs w:val="1"/>
          <w:color w:val="auto"/>
        </w:rPr>
        <w:t>Mean Girls, Collateral, The SpongeBob</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SquarePants Movie </w:t>
      </w:r>
      <w:r>
        <w:rPr>
          <w:rFonts w:ascii="Arial" w:cs="Arial" w:eastAsia="Arial" w:hAnsi="Arial"/>
          <w:sz w:val="15"/>
          <w:szCs w:val="15"/>
          <w:color w:val="auto"/>
        </w:rPr>
        <w:t>and</w:t>
      </w:r>
      <w:r>
        <w:rPr>
          <w:rFonts w:ascii="Arial" w:cs="Arial" w:eastAsia="Arial" w:hAnsi="Arial"/>
          <w:sz w:val="15"/>
          <w:szCs w:val="15"/>
          <w:i w:val="1"/>
          <w:iCs w:val="1"/>
          <w:color w:val="auto"/>
        </w:rPr>
        <w:t xml:space="preserve"> Lemony Snicket's A Series Of Unfortunate Events</w:t>
      </w:r>
      <w:r>
        <w:rPr>
          <w:rFonts w:ascii="Arial" w:cs="Arial" w:eastAsia="Arial" w:hAnsi="Arial"/>
          <w:sz w:val="15"/>
          <w:szCs w:val="15"/>
          <w:color w:val="auto"/>
        </w:rPr>
        <w:t>. Paramount Pictures currently plans to release approximately 15 films in 2005 including</w:t>
      </w:r>
      <w:r>
        <w:rPr>
          <w:rFonts w:ascii="Arial" w:cs="Arial" w:eastAsia="Arial" w:hAnsi="Arial"/>
          <w:sz w:val="15"/>
          <w:szCs w:val="15"/>
          <w:i w:val="1"/>
          <w:iCs w:val="1"/>
          <w:color w:val="auto"/>
        </w:rPr>
        <w:t xml:space="preserve"> Coach Carter</w:t>
      </w:r>
      <w:r>
        <w:rPr>
          <w:rFonts w:ascii="Arial" w:cs="Arial" w:eastAsia="Arial" w:hAnsi="Arial"/>
          <w:sz w:val="15"/>
          <w:szCs w:val="15"/>
          <w:color w:val="auto"/>
        </w:rPr>
        <w:t>, produced by</w:t>
      </w:r>
      <w:r>
        <w:rPr>
          <w:rFonts w:ascii="Arial" w:cs="Arial" w:eastAsia="Arial" w:hAnsi="Arial"/>
          <w:sz w:val="15"/>
          <w:szCs w:val="15"/>
          <w:i w:val="1"/>
          <w:iCs w:val="1"/>
          <w:color w:val="auto"/>
        </w:rPr>
        <w:t xml:space="preserve"> MTV Films </w:t>
      </w:r>
      <w:r>
        <w:rPr>
          <w:rFonts w:ascii="Arial" w:cs="Arial" w:eastAsia="Arial" w:hAnsi="Arial"/>
          <w:sz w:val="15"/>
          <w:szCs w:val="15"/>
          <w:color w:val="auto"/>
        </w:rPr>
        <w:t>and released in the first quarter of 2005. Generally, Paramount Pictures incurs the production and marketing costs of films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produced by </w:t>
      </w:r>
      <w:r>
        <w:rPr>
          <w:rFonts w:ascii="Arial" w:cs="Arial" w:eastAsia="Arial" w:hAnsi="Arial"/>
          <w:sz w:val="15"/>
          <w:szCs w:val="15"/>
          <w:i w:val="1"/>
          <w:iCs w:val="1"/>
          <w:color w:val="auto"/>
        </w:rPr>
        <w:t>MTV Films</w:t>
      </w:r>
      <w:r>
        <w:rPr>
          <w:rFonts w:ascii="Arial" w:cs="Arial" w:eastAsia="Arial" w:hAnsi="Arial"/>
          <w:sz w:val="15"/>
          <w:szCs w:val="15"/>
          <w:color w:val="auto"/>
        </w:rPr>
        <w:t xml:space="preserve"> or </w:t>
      </w:r>
      <w:r>
        <w:rPr>
          <w:rFonts w:ascii="Arial" w:cs="Arial" w:eastAsia="Arial" w:hAnsi="Arial"/>
          <w:sz w:val="15"/>
          <w:szCs w:val="15"/>
          <w:i w:val="1"/>
          <w:iCs w:val="1"/>
          <w:color w:val="auto"/>
        </w:rPr>
        <w:t>Nickelodeon Movies</w:t>
      </w:r>
      <w:r>
        <w:rPr>
          <w:rFonts w:ascii="Arial" w:cs="Arial" w:eastAsia="Arial" w:hAnsi="Arial"/>
          <w:sz w:val="15"/>
          <w:szCs w:val="15"/>
          <w:color w:val="auto"/>
        </w:rPr>
        <w:t xml:space="preserve"> and released by Paramount Pictures. </w:t>
      </w:r>
      <w:r>
        <w:rPr>
          <w:rFonts w:ascii="Arial" w:cs="Arial" w:eastAsia="Arial" w:hAnsi="Arial"/>
          <w:sz w:val="15"/>
          <w:szCs w:val="15"/>
          <w:i w:val="1"/>
          <w:iCs w:val="1"/>
          <w:color w:val="auto"/>
        </w:rPr>
        <w:t>MTV Films</w:t>
      </w:r>
      <w:r>
        <w:rPr>
          <w:rFonts w:ascii="Arial" w:cs="Arial" w:eastAsia="Arial" w:hAnsi="Arial"/>
          <w:sz w:val="15"/>
          <w:szCs w:val="15"/>
          <w:color w:val="auto"/>
        </w:rPr>
        <w:t xml:space="preserve"> or </w:t>
      </w:r>
      <w:r>
        <w:rPr>
          <w:rFonts w:ascii="Arial" w:cs="Arial" w:eastAsia="Arial" w:hAnsi="Arial"/>
          <w:sz w:val="15"/>
          <w:szCs w:val="15"/>
          <w:i w:val="1"/>
          <w:iCs w:val="1"/>
          <w:color w:val="auto"/>
        </w:rPr>
        <w:t>Nickelodeon Movies</w:t>
      </w:r>
      <w:r>
        <w:rPr>
          <w:rFonts w:ascii="Arial" w:cs="Arial" w:eastAsia="Arial" w:hAnsi="Arial"/>
          <w:sz w:val="15"/>
          <w:szCs w:val="15"/>
          <w:color w:val="auto"/>
        </w:rPr>
        <w:t xml:space="preserve"> receives a participation based on the performance of these films and producer fees. </w:t>
      </w:r>
      <w:r>
        <w:rPr>
          <w:rFonts w:ascii="Arial" w:cs="Arial" w:eastAsia="Arial" w:hAnsi="Arial"/>
          <w:sz w:val="15"/>
          <w:szCs w:val="15"/>
          <w:i w:val="1"/>
          <w:iCs w:val="1"/>
          <w:color w:val="auto"/>
        </w:rPr>
        <w:t>Paramount Classics®</w:t>
      </w:r>
      <w:r>
        <w:rPr>
          <w:rFonts w:ascii="Arial" w:cs="Arial" w:eastAsia="Arial" w:hAnsi="Arial"/>
          <w:sz w:val="15"/>
          <w:szCs w:val="15"/>
          <w:color w:val="auto"/>
        </w:rPr>
        <w:t>, a division of Paramount Pictures established to handle the distribution of specialized film product, released 10 films in 2004 and currently plans to release approximately 9 titles in 2005. Release plans for films may change due to a variety of factors.</w:t>
      </w:r>
    </w:p>
    <w:p>
      <w:pPr>
        <w:spacing w:after="0" w:line="163"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seeking to limit Paramount Pictures' financial exposure, the Company has pursued a strategy of entering into agreements to share the financing of certain films with other parties. The parties to these arrangements include studio and non-studio entities, both domestic and foreign. In various of these arrangements, other parties control certain distribution and/or other ownership rights.</w:t>
      </w:r>
    </w:p>
    <w:p>
      <w:pPr>
        <w:spacing w:after="0" w:line="194"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Paramount Pictures generally distributes its motion pictures for theatrical release outside the U.S. and Canada through United International Pictures ("UIP"), a company owned by the Company and an affiliate of Universal Studios, Inc. Pursuant to their agreement, UIP will continue to distribute each studio's films through 2006. Paramount Pictures distributes its motion pictures on DVDs and videocassettes in the U.S. and Canada through Paramount Home Entertainment™ and outside the U.S. and Canada, generally through Paramount Home Entertainment International. Paramount Pictures' feature films initially theatrically released in the U.S. on or after January 1, 1998 have been exhibited exclusively to U.S. premium subscription television on SNI program services for certain windows. Paramount Pictures also distributes its motion pictures for premium subscription, free and basic cable television release outside the U.S. and licenses its motion pictures to residential and hotel/motel pay-per-view, airlines, schools and universities. License fees for exhibition on broadcast and/or cable television are generally collected in installments. License fees for television exhibition (including international and U.S. premium television and basic cable television) are recorded as revenue in the period that licensed films are available for such exhibition, which, among other reasons, may cause substantial fluctuation in Paramount Pictures' operating results. At December 31, 2004 and December 31, 2003, the unrecognized revenues attributable to such licensing of completed films from Paramount Pictures' license agreements were approximately $1.2 billion, including intercompany revenues of $287.4 million and $281.1 million, respectively. At December 31, 2004, Paramount Pictures had approximately 1,100 motion pictures in its library. The Company also has a library of additional motion picture titles, most of which comprise the Spelling Entertainment™ library. These libraries consist of titles for which Paramount Pictures and the Company control rights for various media and territories and for varying terms.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ind w:right="40" w:firstLine="351"/>
        <w:spacing w:after="0" w:line="312" w:lineRule="auto"/>
        <w:rPr>
          <w:sz w:val="20"/>
          <w:szCs w:val="20"/>
          <w:color w:val="auto"/>
        </w:rPr>
      </w:pPr>
      <w:r>
        <w:rPr>
          <w:rFonts w:ascii="Arial" w:cs="Arial" w:eastAsia="Arial" w:hAnsi="Arial"/>
          <w:sz w:val="15"/>
          <w:szCs w:val="15"/>
          <w:b w:val="1"/>
          <w:bCs w:val="1"/>
          <w:i w:val="1"/>
          <w:iCs w:val="1"/>
          <w:color w:val="auto"/>
        </w:rPr>
        <w:t xml:space="preserve">Publishing. </w:t>
      </w:r>
      <w:r>
        <w:rPr>
          <w:rFonts w:ascii="Arial" w:cs="Arial" w:eastAsia="Arial" w:hAnsi="Arial"/>
          <w:sz w:val="15"/>
          <w:szCs w:val="15"/>
          <w:color w:val="auto"/>
        </w:rPr>
        <w:t>Simon &amp; Schuster publishes and distributes adult and children's consumer books in the U.S. and internationally. Simon &amp; Schuster's major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adult imprints include </w:t>
      </w:r>
      <w:r>
        <w:rPr>
          <w:rFonts w:ascii="Arial" w:cs="Arial" w:eastAsia="Arial" w:hAnsi="Arial"/>
          <w:sz w:val="15"/>
          <w:szCs w:val="15"/>
          <w:i w:val="1"/>
          <w:iCs w:val="1"/>
          <w:color w:val="auto"/>
        </w:rPr>
        <w:t>Simon &amp; Schuster</w:t>
      </w:r>
      <w:r>
        <w:rPr>
          <w:rFonts w:ascii="Arial" w:cs="Arial" w:eastAsia="Arial" w:hAnsi="Arial"/>
          <w:sz w:val="15"/>
          <w:szCs w:val="15"/>
          <w:color w:val="auto"/>
        </w:rPr>
        <w:t xml:space="preserve">, </w:t>
      </w:r>
      <w:r>
        <w:rPr>
          <w:rFonts w:ascii="Arial" w:cs="Arial" w:eastAsia="Arial" w:hAnsi="Arial"/>
          <w:sz w:val="15"/>
          <w:szCs w:val="15"/>
          <w:i w:val="1"/>
          <w:iCs w:val="1"/>
          <w:color w:val="auto"/>
        </w:rPr>
        <w:t>Pocket Books, Scribner</w:t>
      </w:r>
      <w:r>
        <w:rPr>
          <w:rFonts w:ascii="Arial" w:cs="Arial" w:eastAsia="Arial" w:hAnsi="Arial"/>
          <w:sz w:val="15"/>
          <w:szCs w:val="15"/>
          <w:color w:val="auto"/>
        </w:rPr>
        <w:t xml:space="preserve"> and </w:t>
      </w:r>
      <w:r>
        <w:rPr>
          <w:rFonts w:ascii="Arial" w:cs="Arial" w:eastAsia="Arial" w:hAnsi="Arial"/>
          <w:sz w:val="15"/>
          <w:szCs w:val="15"/>
          <w:i w:val="1"/>
          <w:iCs w:val="1"/>
          <w:color w:val="auto"/>
        </w:rPr>
        <w:t>Simon Spotlight Entertainment™</w:t>
      </w:r>
      <w:r>
        <w:rPr>
          <w:rFonts w:ascii="Arial" w:cs="Arial" w:eastAsia="Arial" w:hAnsi="Arial"/>
          <w:sz w:val="15"/>
          <w:szCs w:val="15"/>
          <w:color w:val="auto"/>
        </w:rPr>
        <w:t xml:space="preserve">. Simon &amp; Schuster's major children's imprints include </w:t>
      </w:r>
      <w:r>
        <w:rPr>
          <w:rFonts w:ascii="Arial" w:cs="Arial" w:eastAsia="Arial" w:hAnsi="Arial"/>
          <w:sz w:val="15"/>
          <w:szCs w:val="15"/>
          <w:i w:val="1"/>
          <w:iCs w:val="1"/>
          <w:color w:val="auto"/>
        </w:rPr>
        <w:t xml:space="preserve">Simon Spotlight®, Aladdin Paperbacks™ </w:t>
      </w:r>
      <w:r>
        <w:rPr>
          <w:rFonts w:ascii="Arial" w:cs="Arial" w:eastAsia="Arial" w:hAnsi="Arial"/>
          <w:sz w:val="15"/>
          <w:szCs w:val="15"/>
          <w:color w:val="auto"/>
        </w:rPr>
        <w:t>and</w:t>
      </w:r>
      <w:r>
        <w:rPr>
          <w:rFonts w:ascii="Arial" w:cs="Arial" w:eastAsia="Arial" w:hAnsi="Arial"/>
          <w:sz w:val="15"/>
          <w:szCs w:val="15"/>
          <w:i w:val="1"/>
          <w:iCs w:val="1"/>
          <w:color w:val="auto"/>
        </w:rPr>
        <w:t xml:space="preserve"> Simon &amp; Schuster Books For Young Readers™. </w:t>
      </w:r>
      <w:r>
        <w:rPr>
          <w:rFonts w:ascii="Arial" w:cs="Arial" w:eastAsia="Arial" w:hAnsi="Arial"/>
          <w:sz w:val="15"/>
          <w:szCs w:val="15"/>
          <w:color w:val="auto"/>
        </w:rPr>
        <w:t>Simon &amp; Schuster also develops special imprints and publishes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titles based on MTVN, Paramount Pictures and </w:t>
      </w:r>
      <w:r>
        <w:rPr>
          <w:rFonts w:ascii="Arial" w:cs="Arial" w:eastAsia="Arial" w:hAnsi="Arial"/>
          <w:sz w:val="15"/>
          <w:szCs w:val="15"/>
          <w:i w:val="1"/>
          <w:iCs w:val="1"/>
          <w:color w:val="auto"/>
        </w:rPr>
        <w:t>Showtime</w:t>
      </w:r>
      <w:r>
        <w:rPr>
          <w:rFonts w:ascii="Arial" w:cs="Arial" w:eastAsia="Arial" w:hAnsi="Arial"/>
          <w:sz w:val="15"/>
          <w:szCs w:val="15"/>
          <w:color w:val="auto"/>
        </w:rPr>
        <w:t xml:space="preserve"> products as well as that of third parties and distributes products for other publishers. Simon &amp; Schuster distributes its products directly and through third parties. Simon &amp; Schuster also delivers content and promotes its products on Internet sites operated by various imprints or linked to individual titles. International publishing includes the international distribution of English-language titles through Simon &amp; Schuster UK, Simon &amp; Schuster Canada and Simon &amp; Schuster Australia and other distributors, as well as the publication of local titles by Simon &amp; Schuster UK.</w:t>
      </w:r>
    </w:p>
    <w:p>
      <w:pPr>
        <w:spacing w:after="0" w:line="159"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In 2004, Simon &amp; Schuster published 100 titles that were New York Times bestsellers, including 17 New York Times number one bestsellers. Best-selling titles in 2004 include </w:t>
      </w:r>
      <w:r>
        <w:rPr>
          <w:rFonts w:ascii="Arial" w:cs="Arial" w:eastAsia="Arial" w:hAnsi="Arial"/>
          <w:sz w:val="16"/>
          <w:szCs w:val="16"/>
          <w:i w:val="1"/>
          <w:iCs w:val="1"/>
          <w:color w:val="auto"/>
        </w:rPr>
        <w:t>"Angels &amp; Demons"</w:t>
      </w:r>
      <w:r>
        <w:rPr>
          <w:rFonts w:ascii="Arial" w:cs="Arial" w:eastAsia="Arial" w:hAnsi="Arial"/>
          <w:sz w:val="16"/>
          <w:szCs w:val="16"/>
          <w:color w:val="auto"/>
        </w:rPr>
        <w:t xml:space="preserve"> by Dan Brown, </w:t>
      </w:r>
      <w:r>
        <w:rPr>
          <w:rFonts w:ascii="Arial" w:cs="Arial" w:eastAsia="Arial" w:hAnsi="Arial"/>
          <w:sz w:val="16"/>
          <w:szCs w:val="16"/>
          <w:i w:val="1"/>
          <w:iCs w:val="1"/>
          <w:color w:val="auto"/>
        </w:rPr>
        <w:t>"He's Just Not That Into You"</w:t>
      </w:r>
      <w:r>
        <w:rPr>
          <w:rFonts w:ascii="Arial" w:cs="Arial" w:eastAsia="Arial" w:hAnsi="Arial"/>
          <w:sz w:val="16"/>
          <w:szCs w:val="16"/>
          <w:color w:val="auto"/>
        </w:rPr>
        <w:t xml:space="preserve"> by Greg Behrendt and Liz Tuccillo, </w:t>
      </w:r>
      <w:r>
        <w:rPr>
          <w:rFonts w:ascii="Arial" w:cs="Arial" w:eastAsia="Arial" w:hAnsi="Arial"/>
          <w:sz w:val="16"/>
          <w:szCs w:val="16"/>
          <w:i w:val="1"/>
          <w:iCs w:val="1"/>
          <w:color w:val="auto"/>
        </w:rPr>
        <w:t>"Family First"</w:t>
      </w:r>
      <w:r>
        <w:rPr>
          <w:rFonts w:ascii="Arial" w:cs="Arial" w:eastAsia="Arial" w:hAnsi="Arial"/>
          <w:sz w:val="16"/>
          <w:szCs w:val="16"/>
          <w:color w:val="auto"/>
        </w:rPr>
        <w:t xml:space="preserve"> by Dr. Phil McGraw and several series featuring characters from popular </w:t>
      </w:r>
      <w:r>
        <w:rPr>
          <w:rFonts w:ascii="Arial" w:cs="Arial" w:eastAsia="Arial" w:hAnsi="Arial"/>
          <w:sz w:val="16"/>
          <w:szCs w:val="16"/>
          <w:i w:val="1"/>
          <w:iCs w:val="1"/>
          <w:color w:val="auto"/>
        </w:rPr>
        <w:t>Nickelodeon</w:t>
      </w:r>
      <w:r>
        <w:rPr>
          <w:rFonts w:ascii="Arial" w:cs="Arial" w:eastAsia="Arial" w:hAnsi="Arial"/>
          <w:sz w:val="16"/>
          <w:szCs w:val="16"/>
          <w:color w:val="auto"/>
        </w:rPr>
        <w:t xml:space="preserve"> programs. </w:t>
      </w:r>
      <w:r>
        <w:rPr>
          <w:rFonts w:ascii="Arial" w:cs="Arial" w:eastAsia="Arial" w:hAnsi="Arial"/>
          <w:sz w:val="16"/>
          <w:szCs w:val="16"/>
          <w:i w:val="1"/>
          <w:iCs w:val="1"/>
          <w:color w:val="auto"/>
        </w:rPr>
        <w:t>Simon &amp; Schuster Online™,</w:t>
      </w:r>
      <w:r>
        <w:rPr>
          <w:rFonts w:ascii="Arial" w:cs="Arial" w:eastAsia="Arial" w:hAnsi="Arial"/>
          <w:sz w:val="16"/>
          <w:szCs w:val="16"/>
          <w:color w:val="auto"/>
        </w:rPr>
        <w:t xml:space="preserve"> through </w:t>
      </w:r>
      <w:r>
        <w:rPr>
          <w:rFonts w:ascii="Arial" w:cs="Arial" w:eastAsia="Arial" w:hAnsi="Arial"/>
          <w:sz w:val="16"/>
          <w:szCs w:val="16"/>
          <w:i w:val="1"/>
          <w:iCs w:val="1"/>
          <w:color w:val="auto"/>
        </w:rPr>
        <w:t>SimonSays.com</w:t>
      </w:r>
      <w:r>
        <w:rPr>
          <w:rFonts w:ascii="Arial" w:cs="Arial" w:eastAsia="Arial" w:hAnsi="Arial"/>
          <w:sz w:val="16"/>
          <w:szCs w:val="16"/>
          <w:color w:val="auto"/>
        </w:rPr>
        <w:t>, publishes original content, builds reader communities and promotes and sells Simon &amp; Schuster's books over the Internet.</w:t>
      </w:r>
    </w:p>
    <w:p>
      <w:pPr>
        <w:spacing w:after="0" w:line="16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consumer publishing marketplace is subject to increased periods of demand in the summer months and during the end-of-year holiday season. Major new title releases represent a significant portion of Simon &amp; Schuster's sales throughout the year. Simon &amp; Schuster's top 10 accounts drive a significant portion of its annual revenue. Consumer books are generally sold on a fully returnable basis, resulting in the return of unsold books. In the domestic and international markets, the Company is subject to global trends and local economic conditions.</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b w:val="1"/>
          <w:bCs w:val="1"/>
          <w:i w:val="1"/>
          <w:iCs w:val="1"/>
          <w:color w:val="auto"/>
        </w:rPr>
        <w:t xml:space="preserve">Parks. </w:t>
      </w:r>
      <w:r>
        <w:rPr>
          <w:rFonts w:ascii="Arial" w:cs="Arial" w:eastAsia="Arial" w:hAnsi="Arial"/>
          <w:sz w:val="18"/>
          <w:szCs w:val="18"/>
          <w:color w:val="auto"/>
        </w:rPr>
        <w:t>Paramount Parks owns and operates five regional theme parks and a themed attraction in the U.S. and Canada: Paramount's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Carowinds®</w:t>
      </w:r>
      <w:r>
        <w:rPr>
          <w:rFonts w:ascii="Arial" w:cs="Arial" w:eastAsia="Arial" w:hAnsi="Arial"/>
          <w:sz w:val="18"/>
          <w:szCs w:val="18"/>
          <w:color w:val="auto"/>
        </w:rPr>
        <w: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Charlotte, North Carolina, </w:t>
      </w:r>
      <w:r>
        <w:rPr>
          <w:rFonts w:ascii="Arial" w:cs="Arial" w:eastAsia="Arial" w:hAnsi="Arial"/>
          <w:sz w:val="18"/>
          <w:szCs w:val="18"/>
          <w:i w:val="1"/>
          <w:iCs w:val="1"/>
          <w:color w:val="auto"/>
        </w:rPr>
        <w:t>Paramount's Great America™</w:t>
      </w:r>
      <w:r>
        <w:rPr>
          <w:rFonts w:ascii="Arial" w:cs="Arial" w:eastAsia="Arial" w:hAnsi="Arial"/>
          <w:sz w:val="18"/>
          <w:szCs w:val="18"/>
          <w:color w:val="auto"/>
        </w:rPr>
        <w:t xml:space="preserve">, in Santa Clara, California, Paramount's </w:t>
      </w:r>
      <w:r>
        <w:rPr>
          <w:rFonts w:ascii="Arial" w:cs="Arial" w:eastAsia="Arial" w:hAnsi="Arial"/>
          <w:sz w:val="18"/>
          <w:szCs w:val="18"/>
          <w:i w:val="1"/>
          <w:iCs w:val="1"/>
          <w:color w:val="auto"/>
        </w:rPr>
        <w:t>Kings Dominion</w:t>
      </w:r>
      <w:r>
        <w:rPr>
          <w:rFonts w:ascii="Arial" w:cs="Arial" w:eastAsia="Arial" w:hAnsi="Arial"/>
          <w:sz w:val="18"/>
          <w:szCs w:val="18"/>
          <w:color w:val="auto"/>
        </w:rPr>
        <w:t xml:space="preserve">™, located near Richmond, Virginia, Paramount's </w:t>
      </w:r>
      <w:r>
        <w:rPr>
          <w:rFonts w:ascii="Arial" w:cs="Arial" w:eastAsia="Arial" w:hAnsi="Arial"/>
          <w:sz w:val="18"/>
          <w:szCs w:val="18"/>
          <w:i w:val="1"/>
          <w:iCs w:val="1"/>
          <w:color w:val="auto"/>
        </w:rPr>
        <w:t>Kings Island™</w:t>
      </w:r>
      <w:r>
        <w:rPr>
          <w:rFonts w:ascii="Arial" w:cs="Arial" w:eastAsia="Arial" w:hAnsi="Arial"/>
          <w:sz w:val="18"/>
          <w:szCs w:val="18"/>
          <w:color w:val="auto"/>
        </w:rPr>
        <w:t xml:space="preserve">, located near Cincinnati, Ohio, Paramount </w:t>
      </w:r>
      <w:r>
        <w:rPr>
          <w:rFonts w:ascii="Arial" w:cs="Arial" w:eastAsia="Arial" w:hAnsi="Arial"/>
          <w:sz w:val="18"/>
          <w:szCs w:val="18"/>
          <w:i w:val="1"/>
          <w:iCs w:val="1"/>
          <w:color w:val="auto"/>
        </w:rPr>
        <w:t>Canada's Wonderland®</w:t>
      </w:r>
      <w:r>
        <w:rPr>
          <w:rFonts w:ascii="Arial" w:cs="Arial" w:eastAsia="Arial" w:hAnsi="Arial"/>
          <w:sz w:val="18"/>
          <w:szCs w:val="18"/>
          <w:color w:val="auto"/>
        </w:rPr>
        <w:t xml:space="preserve">, located near Toronto, Ontario, and the themed attraction, </w:t>
      </w:r>
      <w:r>
        <w:rPr>
          <w:rFonts w:ascii="Arial" w:cs="Arial" w:eastAsia="Arial" w:hAnsi="Arial"/>
          <w:sz w:val="18"/>
          <w:szCs w:val="18"/>
          <w:i w:val="1"/>
          <w:iCs w:val="1"/>
          <w:color w:val="auto"/>
        </w:rPr>
        <w:t>Star</w:t>
      </w:r>
      <w:r>
        <w:rPr>
          <w:rFonts w:ascii="Arial" w:cs="Arial" w:eastAsia="Arial" w:hAnsi="Arial"/>
          <w:sz w:val="18"/>
          <w:szCs w:val="18"/>
          <w:color w:val="auto"/>
        </w:rPr>
        <w:t xml:space="preserve"> </w:t>
      </w:r>
      <w:r>
        <w:rPr>
          <w:rFonts w:ascii="Arial" w:cs="Arial" w:eastAsia="Arial" w:hAnsi="Arial"/>
          <w:sz w:val="18"/>
          <w:szCs w:val="18"/>
          <w:i w:val="1"/>
          <w:iCs w:val="1"/>
          <w:color w:val="auto"/>
        </w:rPr>
        <w:t>Trek: The Experience®</w:t>
      </w:r>
      <w:r>
        <w:rPr>
          <w:rFonts w:ascii="Arial" w:cs="Arial" w:eastAsia="Arial" w:hAnsi="Arial"/>
          <w:sz w:val="18"/>
          <w:szCs w:val="18"/>
          <w:color w:val="auto"/>
        </w:rPr>
        <w:t>, at the Las Vegas Hilton, a futuristic, interactive environment based on the popular television and movie series. Each of the theme parks</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attractions, products and live shows based on various intellectual properties of the Company. In addition, Paramount Parks manages and operates Bonfante Gardens, a family-oriented garden theme park in Gilroy, California. The Company has received unsolicited interest in Paramount Parks and is exploring its options.</w:t>
      </w:r>
    </w:p>
    <w:p>
      <w:pPr>
        <w:spacing w:after="0" w:line="201"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substantial amount of Paramount Parks' income is generated during its seasonal operating period. Factors such as local economic conditions, competitors and their actions, and weather conditions during the operating season may impact the business' performance.</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b w:val="1"/>
          <w:bCs w:val="1"/>
          <w:i w:val="1"/>
          <w:iCs w:val="1"/>
          <w:color w:val="auto"/>
        </w:rPr>
        <w:t xml:space="preserve">Theatrical Exhibition. </w:t>
      </w:r>
      <w:r>
        <w:rPr>
          <w:rFonts w:ascii="Arial" w:cs="Arial" w:eastAsia="Arial" w:hAnsi="Arial"/>
          <w:sz w:val="16"/>
          <w:szCs w:val="16"/>
          <w:color w:val="auto"/>
        </w:rPr>
        <w:t>The Company's movie theater operations include Famous Players in Canada. At December 31, 2004, Famous Players operated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approximately 771 screens in 78 theaters across Canada. The Company is in the process of soliciting offers to purchase Famous Players. In the fourth quarter of 2004, entities affiliated with the Company and Vivendi Universal sold their respective 50% equity interests in United Cinema International. Affiliates of the Company and Vivendi Universal continue to each own a 50% interest in entities which operated approximately 122 screens in 12 theaters in the U.K., Brazil and Argentina at December 31, 2004, which are subject to proposed sale transactions. The Company also owns a 50% interest in two entities which operate approximately 123 screens in 20 theaters under the name </w:t>
      </w:r>
      <w:r>
        <w:rPr>
          <w:rFonts w:ascii="Arial" w:cs="Arial" w:eastAsia="Arial" w:hAnsi="Arial"/>
          <w:sz w:val="16"/>
          <w:szCs w:val="16"/>
          <w:i w:val="1"/>
          <w:iCs w:val="1"/>
          <w:color w:val="auto"/>
        </w:rPr>
        <w:t>Mann Theatres</w:t>
      </w:r>
      <w:r>
        <w:rPr>
          <w:rFonts w:ascii="Arial" w:cs="Arial" w:eastAsia="Arial" w:hAnsi="Arial"/>
          <w:sz w:val="16"/>
          <w:szCs w:val="16"/>
          <w:color w:val="auto"/>
        </w:rPr>
        <w:t xml:space="preserve">, the substantial majority of which are located in California. The Company and its joint venture partner are in the process of soliciting offers to purchase the </w:t>
      </w:r>
      <w:r>
        <w:rPr>
          <w:rFonts w:ascii="Arial" w:cs="Arial" w:eastAsia="Arial" w:hAnsi="Arial"/>
          <w:sz w:val="16"/>
          <w:szCs w:val="16"/>
          <w:i w:val="1"/>
          <w:iCs w:val="1"/>
          <w:color w:val="auto"/>
        </w:rPr>
        <w:t>Mann Theatres</w:t>
      </w:r>
      <w:r>
        <w:rPr>
          <w:rFonts w:ascii="Arial" w:cs="Arial" w:eastAsia="Arial" w:hAnsi="Arial"/>
          <w:sz w:val="16"/>
          <w:szCs w:val="16"/>
          <w:color w:val="auto"/>
        </w:rPr>
        <w: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ind w:right="80" w:firstLine="351"/>
        <w:spacing w:after="0" w:line="254" w:lineRule="auto"/>
        <w:rPr>
          <w:sz w:val="20"/>
          <w:szCs w:val="20"/>
          <w:color w:val="auto"/>
        </w:rPr>
      </w:pPr>
      <w:r>
        <w:rPr>
          <w:rFonts w:ascii="Arial" w:cs="Arial" w:eastAsia="Arial" w:hAnsi="Arial"/>
          <w:sz w:val="18"/>
          <w:szCs w:val="18"/>
          <w:b w:val="1"/>
          <w:bCs w:val="1"/>
          <w:i w:val="1"/>
          <w:iCs w:val="1"/>
          <w:color w:val="auto"/>
        </w:rPr>
        <w:t xml:space="preserve">Music Publishing. </w:t>
      </w:r>
      <w:r>
        <w:rPr>
          <w:rFonts w:ascii="Arial" w:cs="Arial" w:eastAsia="Arial" w:hAnsi="Arial"/>
          <w:sz w:val="18"/>
          <w:szCs w:val="18"/>
          <w:color w:val="auto"/>
        </w:rPr>
        <w:t>The Famous Music publishing companies own, control and/or administer all or a portion of the copyrights to more than 125,000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musical works (songs, scores, cues). These rights include the right to license and exploit such works, as well as the right to collect income generated by such licensing and exploitation and are principally derived from (i) agreements entered into by Paramount Pictures, Paramount Television, Spelling Television, CBS Broadcasting, MTVN and various other divisions of the Company respecting certain motion pictures, television programs and other properties produced by such units and (ii) agreements entered into directly by Famous Music with songwriters and music publishers, including exclusive songwriting agreements, music administration agreements and catalog purchases.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Entertainment Competition.</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Theatrical Motion Pictures. </w:t>
      </w:r>
      <w:r>
        <w:rPr>
          <w:rFonts w:ascii="Arial" w:cs="Arial" w:eastAsia="Arial" w:hAnsi="Arial"/>
          <w:sz w:val="16"/>
          <w:szCs w:val="16"/>
          <w:color w:val="auto"/>
        </w:rPr>
        <w:t>The Company competes with other major studios such as Disney, DreamWorks, Fox, MGM, Sony, Universal and Warner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Bros. and independent film producers in the production and distribution of motion pictures, DVDs and videocassettes. Paramount Pictures' competitive position primarily depends on the quality of the product produced, its distribution and marketing success, and public response. The Company also competes to obtain creative talent and story properties which are essential to the success of all of the Company's entertainment businesses.</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i w:val="1"/>
          <w:iCs w:val="1"/>
          <w:color w:val="auto"/>
        </w:rPr>
        <w:t xml:space="preserve">Publishing. </w:t>
      </w:r>
      <w:r>
        <w:rPr>
          <w:rFonts w:ascii="Arial" w:cs="Arial" w:eastAsia="Arial" w:hAnsi="Arial"/>
          <w:sz w:val="18"/>
          <w:szCs w:val="18"/>
          <w:color w:val="auto"/>
        </w:rPr>
        <w:t>The consumer publishing business is highly competitive and has been affected over the years by consolidation trends. Significant mergers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occurred among the leading consumer publishers. The book superstore remains a significant factor in the industry contributing to the general trend toward consolidation in the retail channel. There have also been a number of mergers completed in the distribution channel. The Company must compete with other larger publishers such as Random House, Penguin Group and Harper Collins for the rights to works by authors. Competition is particularly strong for well-known authors and public personalities.</w:t>
      </w:r>
    </w:p>
    <w:p>
      <w:pPr>
        <w:spacing w:after="0" w:line="197" w:lineRule="exact"/>
        <w:rPr>
          <w:sz w:val="20"/>
          <w:szCs w:val="20"/>
          <w:color w:val="auto"/>
        </w:rPr>
      </w:pPr>
    </w:p>
    <w:p>
      <w:pPr>
        <w:jc w:val="both"/>
        <w:ind w:right="1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Parks. </w:t>
      </w:r>
      <w:r>
        <w:rPr>
          <w:rFonts w:ascii="Arial" w:cs="Arial" w:eastAsia="Arial" w:hAnsi="Arial"/>
          <w:sz w:val="18"/>
          <w:szCs w:val="18"/>
          <w:color w:val="auto"/>
        </w:rPr>
        <w:t>The Company competes with other highly-capitalized, multi-park entertainment corporations. In order to compete effectively, the Company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differentiate its products through its access to entertainment intellectual property and brands and by investing capital to attract repeat customers. The Company believes that its intellectual properties enhance existing attractions and facilitate the development of new attractions, which encourage visitors to the Paramount Parks theme parks. The Company's theme parks also compete with other forms of leisure entertainment and with smaller operations in its regions and with other forms of entertainment.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jc w:val="both"/>
        <w:ind w:right="20" w:firstLine="348"/>
        <w:spacing w:after="0" w:line="256" w:lineRule="auto"/>
        <w:rPr>
          <w:sz w:val="20"/>
          <w:szCs w:val="20"/>
          <w:color w:val="auto"/>
        </w:rPr>
      </w:pPr>
      <w:r>
        <w:rPr>
          <w:rFonts w:ascii="Arial" w:cs="Arial" w:eastAsia="Arial" w:hAnsi="Arial"/>
          <w:sz w:val="18"/>
          <w:szCs w:val="18"/>
          <w:color w:val="auto"/>
        </w:rPr>
        <w:t>The Company's businesses are either subject to or affected by regulations of federal, state and local governmental authorities. The rules, regulations, policies and procedures affecting these businesses are constantly subject to change. The descriptions which follow are summaries and should be read in conjunction with the texts of the statutes, rules and regulations described herein. The descriptions do not purport to describe all present and proposed statutes, rules and regulations affecting the Company's businesses.</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Laws affecting intellectual property are of significant importance to the Company (see "Intellectual Property" on page I-27).</w:t>
      </w:r>
    </w:p>
    <w:p>
      <w:pPr>
        <w:spacing w:after="0" w:line="225" w:lineRule="exact"/>
        <w:rPr>
          <w:sz w:val="20"/>
          <w:szCs w:val="20"/>
          <w:color w:val="auto"/>
        </w:rPr>
      </w:pPr>
    </w:p>
    <w:p>
      <w:pPr>
        <w:ind w:left="360"/>
        <w:spacing w:after="0"/>
        <w:tabs>
          <w:tab w:leader="none" w:pos="2520" w:val="left"/>
        </w:tabs>
        <w:rPr>
          <w:sz w:val="20"/>
          <w:szCs w:val="20"/>
          <w:color w:val="auto"/>
        </w:rPr>
      </w:pPr>
      <w:r>
        <w:rPr>
          <w:rFonts w:ascii="Arial" w:cs="Arial" w:eastAsia="Arial" w:hAnsi="Arial"/>
          <w:sz w:val="18"/>
          <w:szCs w:val="18"/>
          <w:i w:val="1"/>
          <w:iCs w:val="1"/>
          <w:color w:val="auto"/>
        </w:rPr>
        <w:t>Copyright Law and Content.</w:t>
      </w:r>
      <w:r>
        <w:rPr>
          <w:sz w:val="20"/>
          <w:szCs w:val="20"/>
          <w:color w:val="auto"/>
        </w:rPr>
        <w:tab/>
      </w:r>
      <w:r>
        <w:rPr>
          <w:rFonts w:ascii="Arial" w:cs="Arial" w:eastAsia="Arial" w:hAnsi="Arial"/>
          <w:sz w:val="16"/>
          <w:szCs w:val="16"/>
          <w:color w:val="auto"/>
        </w:rPr>
        <w:t>In the U.S., the copyright term for authored works is life of the author plus 70 years and 95 years for works-made-for-hire.</w:t>
      </w:r>
    </w:p>
    <w:p>
      <w:pPr>
        <w:spacing w:after="0" w:line="225" w:lineRule="exact"/>
        <w:rPr>
          <w:sz w:val="20"/>
          <w:szCs w:val="20"/>
          <w:color w:val="auto"/>
        </w:rPr>
      </w:pPr>
    </w:p>
    <w:p>
      <w:pPr>
        <w:ind w:left="540" w:right="80" w:firstLine="351"/>
        <w:spacing w:after="0" w:line="332" w:lineRule="auto"/>
        <w:rPr>
          <w:sz w:val="20"/>
          <w:szCs w:val="20"/>
          <w:color w:val="auto"/>
        </w:rPr>
      </w:pPr>
      <w:r>
        <w:rPr>
          <w:rFonts w:ascii="Arial" w:cs="Arial" w:eastAsia="Arial" w:hAnsi="Arial"/>
          <w:sz w:val="16"/>
          <w:szCs w:val="16"/>
          <w:i w:val="1"/>
          <w:iCs w:val="1"/>
          <w:color w:val="auto"/>
        </w:rPr>
        <w:t xml:space="preserve">Peer-to-Peer Piracy. </w:t>
      </w:r>
      <w:r>
        <w:rPr>
          <w:rFonts w:ascii="Arial" w:cs="Arial" w:eastAsia="Arial" w:hAnsi="Arial"/>
          <w:sz w:val="16"/>
          <w:szCs w:val="16"/>
          <w:color w:val="auto"/>
        </w:rPr>
        <w:t>Unauthorized distribution of copyrighted material over the Internet such as through so-called peer-to-peer services is a threat</w:t>
      </w:r>
      <w:r>
        <w:rPr>
          <w:rFonts w:ascii="Arial" w:cs="Arial" w:eastAsia="Arial" w:hAnsi="Arial"/>
          <w:sz w:val="16"/>
          <w:szCs w:val="16"/>
          <w:i w:val="1"/>
          <w:iCs w:val="1"/>
          <w:color w:val="auto"/>
        </w:rPr>
        <w:t xml:space="preserve"> </w:t>
      </w:r>
      <w:r>
        <w:rPr>
          <w:rFonts w:ascii="Arial" w:cs="Arial" w:eastAsia="Arial" w:hAnsi="Arial"/>
          <w:sz w:val="16"/>
          <w:szCs w:val="16"/>
          <w:color w:val="auto"/>
        </w:rPr>
        <w:t>to copyright owners' ability to protect and exploit their property. The Company is engaged in enforcement and other activities to protect its intellectual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ind w:left="540" w:right="160"/>
        <w:spacing w:after="0" w:line="259" w:lineRule="auto"/>
        <w:rPr>
          <w:sz w:val="20"/>
          <w:szCs w:val="20"/>
          <w:color w:val="auto"/>
        </w:rPr>
      </w:pPr>
      <w:r>
        <w:rPr>
          <w:rFonts w:ascii="Arial" w:cs="Arial" w:eastAsia="Arial" w:hAnsi="Arial"/>
          <w:sz w:val="18"/>
          <w:szCs w:val="18"/>
          <w:color w:val="auto"/>
        </w:rPr>
        <w:t>property and is an active participant in various industry-wide litigations, education and public relations programs and legislative activity on a worldwide basis. The U.S. Supreme Court is expected to decide, in its current term, the extent to which operators of services that facilitate infringement, such as peer-to-peer services, may be held liable for copyright infringement carried out on their services.</w:t>
      </w:r>
    </w:p>
    <w:p>
      <w:pPr>
        <w:spacing w:after="0" w:line="194" w:lineRule="exact"/>
        <w:rPr>
          <w:sz w:val="20"/>
          <w:szCs w:val="20"/>
          <w:color w:val="auto"/>
        </w:rPr>
      </w:pPr>
    </w:p>
    <w:p>
      <w:pPr>
        <w:ind w:left="540" w:firstLine="351"/>
        <w:spacing w:after="0" w:line="294" w:lineRule="auto"/>
        <w:rPr>
          <w:sz w:val="20"/>
          <w:szCs w:val="20"/>
          <w:color w:val="auto"/>
        </w:rPr>
      </w:pPr>
      <w:r>
        <w:rPr>
          <w:rFonts w:ascii="Arial" w:cs="Arial" w:eastAsia="Arial" w:hAnsi="Arial"/>
          <w:sz w:val="16"/>
          <w:szCs w:val="16"/>
          <w:i w:val="1"/>
          <w:iCs w:val="1"/>
          <w:color w:val="auto"/>
        </w:rPr>
        <w:t xml:space="preserve">Broadcast Flag. </w:t>
      </w:r>
      <w:r>
        <w:rPr>
          <w:rFonts w:ascii="Arial" w:cs="Arial" w:eastAsia="Arial" w:hAnsi="Arial"/>
          <w:sz w:val="16"/>
          <w:szCs w:val="16"/>
          <w:color w:val="auto"/>
        </w:rPr>
        <w:t>Effective July 1, 2005, all devices with television tuners must be able to recognize a Broadcast Flag which prevents programs from</w:t>
      </w:r>
      <w:r>
        <w:rPr>
          <w:rFonts w:ascii="Arial" w:cs="Arial" w:eastAsia="Arial" w:hAnsi="Arial"/>
          <w:sz w:val="16"/>
          <w:szCs w:val="16"/>
          <w:i w:val="1"/>
          <w:iCs w:val="1"/>
          <w:color w:val="auto"/>
        </w:rPr>
        <w:t xml:space="preserve"> </w:t>
      </w:r>
      <w:r>
        <w:rPr>
          <w:rFonts w:ascii="Arial" w:cs="Arial" w:eastAsia="Arial" w:hAnsi="Arial"/>
          <w:sz w:val="16"/>
          <w:szCs w:val="16"/>
          <w:color w:val="auto"/>
        </w:rPr>
        <w:t>being uploaded to the Internet or other digital networks for redistribution without authorization. The FCC imposed this requirement to prevent unauthorized redistribution on the Internet of programming digitally broadcast by free-over-the-air broadcasters and to prevent the migration of high value programming from free broadcast to subscription delivery systems. Content distributed over cable and DTH systems is already protected by those services' conditional access systems. The FCC's rules have been appealed to the U.S. Court of Appeals for the D.C. Circuit.</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Cable Networks</w:t>
      </w:r>
    </w:p>
    <w:p>
      <w:pPr>
        <w:spacing w:after="0" w:line="231"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i w:val="1"/>
          <w:iCs w:val="1"/>
          <w:color w:val="auto"/>
        </w:rPr>
        <w:t xml:space="preserve">Online Music Royalties. </w:t>
      </w:r>
      <w:r>
        <w:rPr>
          <w:rFonts w:ascii="Arial" w:cs="Arial" w:eastAsia="Arial" w:hAnsi="Arial"/>
          <w:sz w:val="16"/>
          <w:szCs w:val="16"/>
          <w:color w:val="auto"/>
        </w:rPr>
        <w:t>MTVN, on behalf of its Web sites, and BET Interactive, LLC, on behalf of</w:t>
      </w:r>
      <w:r>
        <w:rPr>
          <w:rFonts w:ascii="Arial" w:cs="Arial" w:eastAsia="Arial" w:hAnsi="Arial"/>
          <w:sz w:val="16"/>
          <w:szCs w:val="16"/>
          <w:i w:val="1"/>
          <w:iCs w:val="1"/>
          <w:color w:val="auto"/>
        </w:rPr>
        <w:t xml:space="preserve"> BET.com</w:t>
      </w:r>
      <w:r>
        <w:rPr>
          <w:rFonts w:ascii="Arial" w:cs="Arial" w:eastAsia="Arial" w:hAnsi="Arial"/>
          <w:sz w:val="16"/>
          <w:szCs w:val="16"/>
          <w:color w:val="auto"/>
        </w:rPr>
        <w:t>, currently obtain much of their Web site</w:t>
      </w:r>
      <w:r>
        <w:rPr>
          <w:rFonts w:ascii="Arial" w:cs="Arial" w:eastAsia="Arial" w:hAnsi="Arial"/>
          <w:sz w:val="16"/>
          <w:szCs w:val="16"/>
          <w:i w:val="1"/>
          <w:iCs w:val="1"/>
          <w:color w:val="auto"/>
        </w:rPr>
        <w:t xml:space="preserve"> </w:t>
      </w:r>
      <w:r>
        <w:rPr>
          <w:rFonts w:ascii="Arial" w:cs="Arial" w:eastAsia="Arial" w:hAnsi="Arial"/>
          <w:sz w:val="16"/>
          <w:szCs w:val="16"/>
          <w:color w:val="auto"/>
        </w:rPr>
        <w:t>content from record labels, music publishers and artists. MTVN and BET Interactive also obtain certain rights to some of their Web site content, such as performance rights of song composers and non-interactive rights to digital transmission of recordings, pursuant to statutory compulsory licenses established by the Digital Millennium Copyright Act. The royalties payable for such licenses are established periodically by Copyright Arbitration Royalty Panels.</w:t>
      </w:r>
    </w:p>
    <w:p>
      <w:pPr>
        <w:spacing w:after="0" w:line="167"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i w:val="1"/>
          <w:iCs w:val="1"/>
          <w:color w:val="auto"/>
        </w:rPr>
        <w:t xml:space="preserve">A la Carte. </w:t>
      </w:r>
      <w:r>
        <w:rPr>
          <w:rFonts w:ascii="Arial" w:cs="Arial" w:eastAsia="Arial" w:hAnsi="Arial"/>
          <w:sz w:val="15"/>
          <w:szCs w:val="15"/>
          <w:color w:val="auto"/>
        </w:rPr>
        <w:t>Several policymakers maintain that cable operators should be required to offer programming to subscribers on a network by network basis.</w:t>
      </w:r>
      <w:r>
        <w:rPr>
          <w:rFonts w:ascii="Arial" w:cs="Arial" w:eastAsia="Arial" w:hAnsi="Arial"/>
          <w:sz w:val="15"/>
          <w:szCs w:val="15"/>
          <w:i w:val="1"/>
          <w:iCs w:val="1"/>
          <w:color w:val="auto"/>
        </w:rPr>
        <w:t xml:space="preserve"> </w:t>
      </w:r>
      <w:r>
        <w:rPr>
          <w:rFonts w:ascii="Arial" w:cs="Arial" w:eastAsia="Arial" w:hAnsi="Arial"/>
          <w:sz w:val="15"/>
          <w:szCs w:val="15"/>
          <w:color w:val="auto"/>
        </w:rPr>
        <w:t>Unbundling packages of program services may lead to reduced viewership and increased marketing expenses, and may affect a cable network's ability to compete for or attract the same level of advertising dollars. In addition, the decline in subscribers could lead to a loss in cable operators' local advertising revenue.</w:t>
      </w:r>
    </w:p>
    <w:p>
      <w:pPr>
        <w:spacing w:after="0" w:line="142"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i w:val="1"/>
          <w:iCs w:val="1"/>
          <w:color w:val="auto"/>
        </w:rPr>
        <w:t xml:space="preserve">Children's Programming. </w:t>
      </w:r>
      <w:r>
        <w:rPr>
          <w:rFonts w:ascii="Arial" w:cs="Arial" w:eastAsia="Arial" w:hAnsi="Arial"/>
          <w:sz w:val="18"/>
          <w:szCs w:val="18"/>
          <w:color w:val="auto"/>
        </w:rPr>
        <w:t>Federal legislation and FCC rules limit the amount of commercial matter that may be shown on cable channels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designed for children 12 years of age and younger. The FCC recently issued new rules that would, as of January 1, 2006, classify promotions on a channel for programs aired on that channel as commercial matter unless the programs being promoted are educational and informational as defined under FCC rules. The Company and several other companies have asked the FCC to reconsider this rule. If not modified, this rule could have an adverse impact on the Company's children's program services. In addition, the FCC issued a rule, also effective January 1, 2006, that would limit promotions during children's cable programming of Web sites associated with children's program services. This rule, if not modified, could have an adverse impact on the Company's Web sites for children.</w:t>
      </w:r>
    </w:p>
    <w:p>
      <w:pPr>
        <w:spacing w:after="0" w:line="201"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 xml:space="preserve">In October 2004, the Company entered into a Consent Decree with the FCC to dismiss with prejudice alleged violations of the commercial limits during children's programming on </w:t>
      </w:r>
      <w:r>
        <w:rPr>
          <w:rFonts w:ascii="Arial" w:cs="Arial" w:eastAsia="Arial" w:hAnsi="Arial"/>
          <w:sz w:val="16"/>
          <w:szCs w:val="16"/>
          <w:i w:val="1"/>
          <w:iCs w:val="1"/>
          <w:color w:val="auto"/>
        </w:rPr>
        <w:t>Nickelodeon</w:t>
      </w:r>
      <w:r>
        <w:rPr>
          <w:rFonts w:ascii="Arial" w:cs="Arial" w:eastAsia="Arial" w:hAnsi="Arial"/>
          <w:sz w:val="16"/>
          <w:szCs w:val="16"/>
          <w:color w:val="auto"/>
        </w:rPr>
        <w:t xml:space="preserve">. The Company agreed to make a voluntary contribution to the U.S. Treasury in the amount of $1 million and to prospectively reduce the amount of commercial matter aired on </w:t>
      </w:r>
      <w:r>
        <w:rPr>
          <w:rFonts w:ascii="Arial" w:cs="Arial" w:eastAsia="Arial" w:hAnsi="Arial"/>
          <w:sz w:val="16"/>
          <w:szCs w:val="16"/>
          <w:i w:val="1"/>
          <w:iCs w:val="1"/>
          <w:color w:val="auto"/>
        </w:rPr>
        <w:t>Nickelodeon</w:t>
      </w:r>
      <w:r>
        <w:rPr>
          <w:rFonts w:ascii="Arial" w:cs="Arial" w:eastAsia="Arial" w:hAnsi="Arial"/>
          <w:sz w:val="16"/>
          <w:szCs w:val="16"/>
          <w:color w:val="auto"/>
        </w:rPr>
        <w:t xml:space="preserve"> representing the excess of the minutes-per-hour limitations </w:t>
      </w:r>
      <w:r>
        <w:rPr>
          <w:rFonts w:ascii="Arial" w:cs="Arial" w:eastAsia="Arial" w:hAnsi="Arial"/>
          <w:sz w:val="16"/>
          <w:szCs w:val="16"/>
          <w:i w:val="1"/>
          <w:iCs w:val="1"/>
          <w:color w:val="auto"/>
        </w:rPr>
        <w:t>Nickelodeon</w:t>
      </w:r>
      <w:r>
        <w:rPr>
          <w:rFonts w:ascii="Arial" w:cs="Arial" w:eastAsia="Arial" w:hAnsi="Arial"/>
          <w:sz w:val="16"/>
          <w:szCs w:val="16"/>
          <w:color w:val="auto"/>
        </w:rPr>
        <w:t xml:space="preserve"> allegedly aired during the period of inquiry. The Consent Decree also obligated the Company to provide training with respect to the children's television rules and to implement other measures to reduce the risk of exceeding the commercial limits.</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Broadcasting</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Television and radio broadcasting are subject to the jurisdiction of the FCC under the Communications Act. The Communications Act empowers</w:t>
      </w:r>
      <w:r>
        <w:rPr>
          <w:rFonts w:ascii="Arial" w:cs="Arial" w:eastAsia="Arial" w:hAnsi="Arial"/>
          <w:sz w:val="16"/>
          <w:szCs w:val="16"/>
          <w:i w:val="1"/>
          <w:iCs w:val="1"/>
          <w:color w:val="auto"/>
        </w:rPr>
        <w:t xml:space="preserve"> </w:t>
      </w:r>
      <w:r>
        <w:rPr>
          <w:rFonts w:ascii="Arial" w:cs="Arial" w:eastAsia="Arial" w:hAnsi="Arial"/>
          <w:sz w:val="16"/>
          <w:szCs w:val="16"/>
          <w:color w:val="auto"/>
        </w:rPr>
        <w:t>the FCC, among other actions, to: issue, renew, revoke and modify broadcasting licenses; determine stations' frequencies, locations and operating power;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ind w:right="240"/>
        <w:spacing w:after="0" w:line="259" w:lineRule="auto"/>
        <w:rPr>
          <w:sz w:val="20"/>
          <w:szCs w:val="20"/>
          <w:color w:val="auto"/>
        </w:rPr>
      </w:pPr>
      <w:r>
        <w:rPr>
          <w:rFonts w:ascii="Arial" w:cs="Arial" w:eastAsia="Arial" w:hAnsi="Arial"/>
          <w:sz w:val="18"/>
          <w:szCs w:val="18"/>
          <w:color w:val="auto"/>
        </w:rPr>
        <w:t>regulate some of the equipment used by stations; adopt other regulations to carry out the provisions of the Communications Act and other laws, including requirements affecting the content of broadcasts; and to impose penalties for violation of its regulations, including monetary forfeitures, short-term renewal of licenses and, in egregious cases, license revocation or denial of license renewals.</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the Communications Act, the FCC also regulates certain aspects of the operation of cable and DTH systems and other electronic media that compete with broadcast stations.</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 xml:space="preserve">Indecency Regulation. </w:t>
      </w:r>
      <w:r>
        <w:rPr>
          <w:rFonts w:ascii="Arial" w:cs="Arial" w:eastAsia="Arial" w:hAnsi="Arial"/>
          <w:sz w:val="16"/>
          <w:szCs w:val="16"/>
          <w:color w:val="auto"/>
        </w:rPr>
        <w:t>The FCC's rules prohibit the broadcast of obscene material at any time and indecent material between the hours of 6 am and 10 pm.</w:t>
      </w:r>
      <w:r>
        <w:rPr>
          <w:rFonts w:ascii="Arial" w:cs="Arial" w:eastAsia="Arial" w:hAnsi="Arial"/>
          <w:sz w:val="16"/>
          <w:szCs w:val="16"/>
          <w:i w:val="1"/>
          <w:iCs w:val="1"/>
          <w:color w:val="auto"/>
        </w:rPr>
        <w:t xml:space="preserve"> </w:t>
      </w:r>
      <w:r>
        <w:rPr>
          <w:rFonts w:ascii="Arial" w:cs="Arial" w:eastAsia="Arial" w:hAnsi="Arial"/>
          <w:sz w:val="16"/>
          <w:szCs w:val="16"/>
          <w:color w:val="auto"/>
        </w:rPr>
        <w:t>Broadcasters risk violating the prohibition against broadcasting indecent material because of the vagueness of the FCC's definition of indecent material, coupled with the spontaneity of live programming. The FCC in the last few years has stepped up its enforcement activities as they apply to indecency, and has threatened to initiate license revocation proceedings against broadcast licensees for "serious" indecency violations. Legislation has also been introduced in Congress that would increase the penalties for broadcasting indecent programming and potentially increase the exposure of broadcasters to license revocation, renewal or qualifications proceedings in the event that they broadcast indecent material. In 2004, the FCC notified the Company of apparent liability for a $550,000 forfeiture relating to the broadcast of the Super Bowl half-time show by the Company's CBS broadcast television station affiliates and the CBS Television Network. The FCC had also previously initiated enforcement proceedings in response to allegations that several of the Company's radio stations had broadcast indecent material. In November 2004, the Company entered into a Consent Decree with the FCC pursuant to which all of these proceedings, other than the Super Bowl proceeding, were dismissed with prejudice and the Company agreed to make a voluntary contribution to the U.S. Treasury in the amount of $3.5 million when the Consent Decree becomes a "final order." The Company is defending the Consent Decree, which is being challenged by a third party, and is contesting the Super Bowl forfeiture. The Consent Decree also obligated the Company to provide training with respect to FCC indecency regulation to programming-related personnel at its broadcast radio and television operations and to implement other measures, such as audio and video delay mechanisms and editorial controls, to reduce the risk of broadcasting indecent material. Modifications to the Company's programming to reduce the risk of indecency violations could have an adverse effect on the competitive position of the Company's radio and television stations and the CBS Television Network.</w:t>
      </w:r>
    </w:p>
    <w:p>
      <w:pPr>
        <w:spacing w:after="0" w:line="180"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i w:val="1"/>
          <w:iCs w:val="1"/>
          <w:color w:val="auto"/>
        </w:rPr>
        <w:t xml:space="preserve">License Renewals. </w:t>
      </w:r>
      <w:r>
        <w:rPr>
          <w:rFonts w:ascii="Arial" w:cs="Arial" w:eastAsia="Arial" w:hAnsi="Arial"/>
          <w:sz w:val="18"/>
          <w:szCs w:val="18"/>
          <w:color w:val="auto"/>
        </w:rPr>
        <w:t>Radio and television broadcast licenses are granted for a term of eight years. The Communications Act requires the FCC to renew a</w:t>
      </w:r>
      <w:r>
        <w:rPr>
          <w:rFonts w:ascii="Arial" w:cs="Arial" w:eastAsia="Arial" w:hAnsi="Arial"/>
          <w:sz w:val="18"/>
          <w:szCs w:val="18"/>
          <w:i w:val="1"/>
          <w:iCs w:val="1"/>
          <w:color w:val="auto"/>
        </w:rPr>
        <w:t xml:space="preserve"> </w:t>
      </w:r>
      <w:r>
        <w:rPr>
          <w:rFonts w:ascii="Arial" w:cs="Arial" w:eastAsia="Arial" w:hAnsi="Arial"/>
          <w:sz w:val="18"/>
          <w:szCs w:val="18"/>
          <w:color w:val="auto"/>
        </w:rPr>
        <w:t>broadcast license if the FCC finds that the station has served the public interest, convenience and necessity and with respect to the station, there have been no serious violations by the licensee of either the Communications Act or the FCC's rules and regulations and there have been no other violations by the licensee of the Communications Act or the FCC's rules and regulations that, taken together, constitute a pattern of abuse. The Company has pending and will file renewal applications for a number of its radio and television station licenses in 2005 and 2006, two of which have been opposed by third parties, and other renewal applications may be so opposed in the future.</w:t>
      </w:r>
    </w:p>
    <w:p>
      <w:pPr>
        <w:spacing w:after="0" w:line="198" w:lineRule="exact"/>
        <w:rPr>
          <w:sz w:val="20"/>
          <w:szCs w:val="20"/>
          <w:color w:val="auto"/>
        </w:rPr>
      </w:pPr>
    </w:p>
    <w:p>
      <w:pPr>
        <w:ind w:left="360"/>
        <w:spacing w:after="0"/>
        <w:tabs>
          <w:tab w:leader="none" w:pos="2020" w:val="left"/>
        </w:tabs>
        <w:rPr>
          <w:sz w:val="20"/>
          <w:szCs w:val="20"/>
          <w:color w:val="auto"/>
        </w:rPr>
      </w:pPr>
      <w:r>
        <w:rPr>
          <w:rFonts w:ascii="Arial" w:cs="Arial" w:eastAsia="Arial" w:hAnsi="Arial"/>
          <w:sz w:val="18"/>
          <w:szCs w:val="18"/>
          <w:i w:val="1"/>
          <w:iCs w:val="1"/>
          <w:color w:val="auto"/>
        </w:rPr>
        <w:t>License Assignments.</w:t>
      </w:r>
      <w:r>
        <w:rPr>
          <w:sz w:val="20"/>
          <w:szCs w:val="20"/>
          <w:color w:val="auto"/>
        </w:rPr>
        <w:tab/>
      </w:r>
      <w:r>
        <w:rPr>
          <w:rFonts w:ascii="Arial" w:cs="Arial" w:eastAsia="Arial" w:hAnsi="Arial"/>
          <w:sz w:val="16"/>
          <w:szCs w:val="16"/>
          <w:color w:val="auto"/>
        </w:rPr>
        <w:t>The Communications Act requires prior FCC approval for the assignment of a license or transfer of control of an FCC licensee.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parties may oppose the Company's applications to acquire additional broadcast licenses.</w:t>
      </w:r>
    </w:p>
    <w:p>
      <w:pPr>
        <w:spacing w:after="0" w:line="219"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Ownership Regulation. </w:t>
      </w:r>
      <w:r>
        <w:rPr>
          <w:rFonts w:ascii="Arial" w:cs="Arial" w:eastAsia="Arial" w:hAnsi="Arial"/>
          <w:sz w:val="16"/>
          <w:szCs w:val="16"/>
          <w:color w:val="auto"/>
        </w:rPr>
        <w:t>The Communications Act and FCC rules and regulations limit the ability of individuals and entities to have an official position or</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interest, known as an "attributable" interest, above specific levels in broadcast stations as well as in other specified mass media entities. In seeking FCC approval for the acquisition of a broadcast radio or television station license, the acquiring person or entity must demonstrate that the acquisition complies with the FCC's ownership rules or that a waiver of the rules is in the public interest.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ind w:right="60" w:firstLine="351"/>
        <w:spacing w:after="0" w:line="309" w:lineRule="auto"/>
        <w:rPr>
          <w:sz w:val="20"/>
          <w:szCs w:val="20"/>
          <w:color w:val="auto"/>
        </w:rPr>
      </w:pPr>
      <w:r>
        <w:rPr>
          <w:rFonts w:ascii="Arial" w:cs="Arial" w:eastAsia="Arial" w:hAnsi="Arial"/>
          <w:sz w:val="15"/>
          <w:szCs w:val="15"/>
          <w:color w:val="auto"/>
        </w:rPr>
        <w:t>In 2003, the FCC completed a comprehensive review of all of its broadcast ownership rules (the "Omnibus Ownership Review"), including the local radio ownership rule, the local television ownership rule, the television national audience reach limitation, the dual network rule, the newspaper-broadcast cross-ownership rule and the radio-television cross-ownership rule, and adopted revised rules. Under the new rules, the Company would be permitted to expand its television and radio station holdings in a number of markets. Several parties, however, appealed the FCC's decision to the U.S. Court of Appeals for the Third Circuit. In January 2004, Congress passed legislation establishing a national television audience reach limitation of 39%. This legislation superseded the FCC's decision in the Omnibus Ownership Review to raise the limitation to 45%. In June 2004, the Third Circuit remanded most of the other revised rules to the FCC for additional justification or modification, including new cross-media limits the FCC had established and certain revisions to the local radio and television ownership rules. Pending the Third Circuit's subsequent review of the FCC's decision on remand, a stay of the new broadcast ownership rules, except for the new local radio ownership rules, will remain in effect. The Company has joined with others in asking the U.S. Supreme Court to review the Third Circuit's decision.</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FCC's ownership rules, as currently in effect, and the new rules that remain subject to the court's stay, are briefly summarized below.</w:t>
      </w:r>
    </w:p>
    <w:p>
      <w:pPr>
        <w:spacing w:after="0" w:line="225" w:lineRule="exact"/>
        <w:rPr>
          <w:sz w:val="20"/>
          <w:szCs w:val="20"/>
          <w:color w:val="auto"/>
        </w:rPr>
      </w:pPr>
    </w:p>
    <w:p>
      <w:pPr>
        <w:ind w:left="540" w:right="40" w:firstLine="351"/>
        <w:spacing w:after="0" w:line="291" w:lineRule="auto"/>
        <w:rPr>
          <w:sz w:val="20"/>
          <w:szCs w:val="20"/>
          <w:color w:val="auto"/>
        </w:rPr>
      </w:pPr>
      <w:r>
        <w:rPr>
          <w:rFonts w:ascii="Arial" w:cs="Arial" w:eastAsia="Arial" w:hAnsi="Arial"/>
          <w:sz w:val="16"/>
          <w:szCs w:val="16"/>
          <w:i w:val="1"/>
          <w:iCs w:val="1"/>
          <w:color w:val="auto"/>
        </w:rPr>
        <w:t xml:space="preserve">Local Radio Ownership. </w:t>
      </w:r>
      <w:r>
        <w:rPr>
          <w:rFonts w:ascii="Arial" w:cs="Arial" w:eastAsia="Arial" w:hAnsi="Arial"/>
          <w:sz w:val="16"/>
          <w:szCs w:val="16"/>
          <w:color w:val="auto"/>
        </w:rPr>
        <w:t>One party may own up to eight radio stations in the largest markets, no more than five of which may be either AM or FM.</w:t>
      </w:r>
      <w:r>
        <w:rPr>
          <w:rFonts w:ascii="Arial" w:cs="Arial" w:eastAsia="Arial" w:hAnsi="Arial"/>
          <w:sz w:val="16"/>
          <w:szCs w:val="16"/>
          <w:i w:val="1"/>
          <w:iCs w:val="1"/>
          <w:color w:val="auto"/>
        </w:rPr>
        <w:t xml:space="preserve"> </w:t>
      </w:r>
      <w:r>
        <w:rPr>
          <w:rFonts w:ascii="Arial" w:cs="Arial" w:eastAsia="Arial" w:hAnsi="Arial"/>
          <w:sz w:val="16"/>
          <w:szCs w:val="16"/>
          <w:color w:val="auto"/>
        </w:rPr>
        <w:t>With a few exceptions, the rule permits the common ownership of eight radio stations in the top 50 markets, where Radio has significant holdings. In the Omnibus Ownership Review, the FCC changed its method of defining local radio markets and counting the number of stations in a particular market, but not the numeric limits. As a result of the change in the method used for defining and counting the number of stations in a local radio market, the Company's radio portfolio exceeds the FCC's numeric limit in two markets. While the new rule does not require the divestiture of any existing radio ownership combinations, the Company is not permitted to transfer its radio portfolios in those two markets intact, except to qualified small businesses.</w:t>
      </w:r>
    </w:p>
    <w:p>
      <w:pPr>
        <w:spacing w:after="0" w:line="174" w:lineRule="exact"/>
        <w:rPr>
          <w:sz w:val="20"/>
          <w:szCs w:val="20"/>
          <w:color w:val="auto"/>
        </w:rPr>
      </w:pPr>
    </w:p>
    <w:p>
      <w:pPr>
        <w:ind w:left="540" w:firstLine="351"/>
        <w:spacing w:after="0" w:line="288" w:lineRule="auto"/>
        <w:rPr>
          <w:sz w:val="20"/>
          <w:szCs w:val="20"/>
          <w:color w:val="auto"/>
        </w:rPr>
      </w:pPr>
      <w:r>
        <w:rPr>
          <w:rFonts w:ascii="Arial" w:cs="Arial" w:eastAsia="Arial" w:hAnsi="Arial"/>
          <w:sz w:val="16"/>
          <w:szCs w:val="16"/>
          <w:i w:val="1"/>
          <w:iCs w:val="1"/>
          <w:color w:val="auto"/>
        </w:rPr>
        <w:t xml:space="preserve">Local Television Ownership. </w:t>
      </w:r>
      <w:r>
        <w:rPr>
          <w:rFonts w:ascii="Arial" w:cs="Arial" w:eastAsia="Arial" w:hAnsi="Arial"/>
          <w:sz w:val="16"/>
          <w:szCs w:val="16"/>
          <w:color w:val="auto"/>
        </w:rPr>
        <w:t>Under the FCC's local television ownership rule as currently in effect, one party may own up to two television stations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same market, referred to as a designated market area ("DMA"), so long as at least one of the two stations is not among the top four-ranked stations in the market based on audience share as of the date an application for approval of an acquisition is filed with the FCC, and at least eight independently owned and operating full-power television stations remain in the market following the acquisition. Further, without regard to numbers of remaining or independently owned TV stations, the rule as in effect permits the ownership of two television stations within the same DMA so long as certain signal contours of the stations involved do not overlap. The new rule would eliminate the exception for non-overlapping stations and the requirement for a minimum of eight independently owned and operated stations in a DMA. Under the new rule, one party could own up to 3 television stations in DMAs with 18 or more television stations and up to 2 television stations in DMAs with fewer than 18 television stations. The FCC, however, retained the prohibition of ownership of two top four-ranked stations, with limited exceptions.</w:t>
      </w:r>
    </w:p>
    <w:p>
      <w:pPr>
        <w:spacing w:after="0" w:line="174" w:lineRule="exact"/>
        <w:rPr>
          <w:sz w:val="20"/>
          <w:szCs w:val="20"/>
          <w:color w:val="auto"/>
        </w:rPr>
      </w:pPr>
    </w:p>
    <w:p>
      <w:pPr>
        <w:ind w:left="540" w:right="80" w:firstLine="351"/>
        <w:spacing w:after="0" w:line="306" w:lineRule="auto"/>
        <w:rPr>
          <w:sz w:val="20"/>
          <w:szCs w:val="20"/>
          <w:color w:val="auto"/>
        </w:rPr>
      </w:pPr>
      <w:r>
        <w:rPr>
          <w:rFonts w:ascii="Arial" w:cs="Arial" w:eastAsia="Arial" w:hAnsi="Arial"/>
          <w:sz w:val="16"/>
          <w:szCs w:val="16"/>
          <w:i w:val="1"/>
          <w:iCs w:val="1"/>
          <w:color w:val="auto"/>
        </w:rPr>
        <w:t xml:space="preserve">Television National Audience Reach Limitation. </w:t>
      </w:r>
      <w:r>
        <w:rPr>
          <w:rFonts w:ascii="Arial" w:cs="Arial" w:eastAsia="Arial" w:hAnsi="Arial"/>
          <w:sz w:val="16"/>
          <w:szCs w:val="16"/>
          <w:color w:val="auto"/>
        </w:rPr>
        <w:t>Under the national television ownership rule, as modified by Congress in 2004, one party may not</w:t>
      </w:r>
      <w:r>
        <w:rPr>
          <w:rFonts w:ascii="Arial" w:cs="Arial" w:eastAsia="Arial" w:hAnsi="Arial"/>
          <w:sz w:val="16"/>
          <w:szCs w:val="16"/>
          <w:i w:val="1"/>
          <w:iCs w:val="1"/>
          <w:color w:val="auto"/>
        </w:rPr>
        <w:t xml:space="preserve"> </w:t>
      </w:r>
      <w:r>
        <w:rPr>
          <w:rFonts w:ascii="Arial" w:cs="Arial" w:eastAsia="Arial" w:hAnsi="Arial"/>
          <w:sz w:val="16"/>
          <w:szCs w:val="16"/>
          <w:color w:val="auto"/>
        </w:rPr>
        <w:t>own television stations which reach more than 39% of all U.S. television households. For purposes of calculating the total number of television households reached by a station, the FCC attributes a UHF television station with only 50% of the television households in its market.</w:t>
      </w:r>
    </w:p>
    <w:p>
      <w:pPr>
        <w:spacing w:after="0" w:line="161" w:lineRule="exact"/>
        <w:rPr>
          <w:sz w:val="20"/>
          <w:szCs w:val="20"/>
          <w:color w:val="auto"/>
        </w:rPr>
      </w:pPr>
    </w:p>
    <w:p>
      <w:pPr>
        <w:ind w:left="540" w:right="160" w:firstLine="348"/>
        <w:spacing w:after="0" w:line="268" w:lineRule="auto"/>
        <w:rPr>
          <w:sz w:val="20"/>
          <w:szCs w:val="20"/>
          <w:color w:val="auto"/>
        </w:rPr>
      </w:pPr>
      <w:r>
        <w:rPr>
          <w:rFonts w:ascii="Arial" w:cs="Arial" w:eastAsia="Arial" w:hAnsi="Arial"/>
          <w:sz w:val="18"/>
          <w:szCs w:val="18"/>
          <w:color w:val="auto"/>
        </w:rPr>
        <w:t>The Company currently owns and operates television stations that have an aggregate television national audience reach for purposes of the national ownership limitation of approximately 38%, after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ind w:left="540"/>
        <w:spacing w:after="0"/>
        <w:rPr>
          <w:sz w:val="20"/>
          <w:szCs w:val="20"/>
          <w:color w:val="auto"/>
        </w:rPr>
      </w:pPr>
      <w:r>
        <w:rPr>
          <w:rFonts w:ascii="Arial" w:cs="Arial" w:eastAsia="Arial" w:hAnsi="Arial"/>
          <w:sz w:val="18"/>
          <w:szCs w:val="18"/>
          <w:color w:val="auto"/>
        </w:rPr>
        <w:t>taking the UHF discount and the pending acquisition of KOVR-TV and divestitures of WNDY-TV and WWHO-TV into account.</w:t>
      </w:r>
    </w:p>
    <w:p>
      <w:pPr>
        <w:spacing w:after="0" w:line="225" w:lineRule="exact"/>
        <w:rPr>
          <w:sz w:val="20"/>
          <w:szCs w:val="20"/>
          <w:color w:val="auto"/>
        </w:rPr>
      </w:pPr>
    </w:p>
    <w:p>
      <w:pPr>
        <w:ind w:left="540" w:right="40" w:firstLine="351"/>
        <w:spacing w:after="0" w:line="332" w:lineRule="auto"/>
        <w:rPr>
          <w:sz w:val="20"/>
          <w:szCs w:val="20"/>
          <w:color w:val="auto"/>
        </w:rPr>
      </w:pPr>
      <w:r>
        <w:rPr>
          <w:rFonts w:ascii="Arial" w:cs="Arial" w:eastAsia="Arial" w:hAnsi="Arial"/>
          <w:sz w:val="16"/>
          <w:szCs w:val="16"/>
          <w:i w:val="1"/>
          <w:iCs w:val="1"/>
          <w:color w:val="auto"/>
        </w:rPr>
        <w:t xml:space="preserve">Radio-Television Cross-Ownership Rule. </w:t>
      </w:r>
      <w:r>
        <w:rPr>
          <w:rFonts w:ascii="Arial" w:cs="Arial" w:eastAsia="Arial" w:hAnsi="Arial"/>
          <w:sz w:val="16"/>
          <w:szCs w:val="16"/>
          <w:color w:val="auto"/>
        </w:rPr>
        <w:t>The radio-television cross-ownership rule as currently in effect limits the common ownership of radio and</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 stations in the same market. The numeric limit varies according to the number of independent media voices in the market.</w:t>
      </w:r>
    </w:p>
    <w:p>
      <w:pPr>
        <w:spacing w:after="0" w:line="139" w:lineRule="exact"/>
        <w:rPr>
          <w:sz w:val="20"/>
          <w:szCs w:val="20"/>
          <w:color w:val="auto"/>
        </w:rPr>
      </w:pPr>
    </w:p>
    <w:p>
      <w:pPr>
        <w:ind w:left="540" w:right="40" w:firstLine="348"/>
        <w:spacing w:after="0" w:line="294" w:lineRule="auto"/>
        <w:rPr>
          <w:sz w:val="20"/>
          <w:szCs w:val="20"/>
          <w:color w:val="auto"/>
        </w:rPr>
      </w:pPr>
      <w:r>
        <w:rPr>
          <w:rFonts w:ascii="Arial" w:cs="Arial" w:eastAsia="Arial" w:hAnsi="Arial"/>
          <w:sz w:val="16"/>
          <w:szCs w:val="16"/>
          <w:color w:val="auto"/>
        </w:rPr>
        <w:t>The Company owns combinations of radio and television stations in the Los Angeles and Baltimore markets in excess of the limit currently in effect and would own a radio-television combination in the Sacramento market in excess of the limit following the acquisition of KOVR-TV. With respect to the Los Angeles market the Company has an application pending before the FCC that if granted would bring the Company into compliance with the rule. The Company has also entered into an agreement to sell the necessary radio stations in Baltimore to comply with the rule. In order to acquire KOVR-TV, the Company is required to divest one of its radio stations that serves the Sacramento market under the FCC's radio-television cross-ownership rule.</w:t>
      </w:r>
    </w:p>
    <w:p>
      <w:pPr>
        <w:spacing w:after="0" w:line="170" w:lineRule="exact"/>
        <w:rPr>
          <w:sz w:val="20"/>
          <w:szCs w:val="20"/>
          <w:color w:val="auto"/>
        </w:rPr>
      </w:pPr>
    </w:p>
    <w:p>
      <w:pPr>
        <w:ind w:left="540" w:right="40" w:firstLine="351"/>
        <w:spacing w:after="0" w:line="291" w:lineRule="auto"/>
        <w:rPr>
          <w:sz w:val="20"/>
          <w:szCs w:val="20"/>
          <w:color w:val="auto"/>
        </w:rPr>
      </w:pPr>
      <w:r>
        <w:rPr>
          <w:rFonts w:ascii="Arial" w:cs="Arial" w:eastAsia="Arial" w:hAnsi="Arial"/>
          <w:sz w:val="16"/>
          <w:szCs w:val="16"/>
          <w:i w:val="1"/>
          <w:iCs w:val="1"/>
          <w:color w:val="auto"/>
        </w:rPr>
        <w:t xml:space="preserve">New Cross-Media Limits. </w:t>
      </w:r>
      <w:r>
        <w:rPr>
          <w:rFonts w:ascii="Arial" w:cs="Arial" w:eastAsia="Arial" w:hAnsi="Arial"/>
          <w:sz w:val="16"/>
          <w:szCs w:val="16"/>
          <w:color w:val="auto"/>
        </w:rPr>
        <w:t>The FCC repealed the radio-television cross-ownership rule in the Omnibus Ownership Review and replaced it, as well</w:t>
      </w:r>
      <w:r>
        <w:rPr>
          <w:rFonts w:ascii="Arial" w:cs="Arial" w:eastAsia="Arial" w:hAnsi="Arial"/>
          <w:sz w:val="16"/>
          <w:szCs w:val="16"/>
          <w:i w:val="1"/>
          <w:iCs w:val="1"/>
          <w:color w:val="auto"/>
        </w:rPr>
        <w:t xml:space="preserve"> </w:t>
      </w:r>
      <w:r>
        <w:rPr>
          <w:rFonts w:ascii="Arial" w:cs="Arial" w:eastAsia="Arial" w:hAnsi="Arial"/>
          <w:sz w:val="16"/>
          <w:szCs w:val="16"/>
          <w:color w:val="auto"/>
        </w:rPr>
        <w:t>as the newspaper-broadcast cross-ownership rule, with new cross-media limits. Under the new cross-media limits, there would be no cross-media limits in DMAs with nine or more television stations. In DMAs with between four and eight television stations, radio and television cross-ownership would be permitted without any limitation, so long as there is no common ownership of a daily newspaper. The new rule would prohibit radio and television station cross-ownership only in markets with three or fewer television stations. The Company's radio and television portfolio complies with the new cross-media limits assuming that they go into effect without modifications.</w:t>
      </w:r>
    </w:p>
    <w:p>
      <w:pPr>
        <w:spacing w:after="0" w:line="174" w:lineRule="exact"/>
        <w:rPr>
          <w:sz w:val="20"/>
          <w:szCs w:val="20"/>
          <w:color w:val="auto"/>
        </w:rPr>
      </w:pPr>
    </w:p>
    <w:p>
      <w:pPr>
        <w:ind w:left="540" w:right="100" w:firstLine="351"/>
        <w:spacing w:after="0" w:line="268" w:lineRule="auto"/>
        <w:rPr>
          <w:sz w:val="20"/>
          <w:szCs w:val="20"/>
          <w:color w:val="auto"/>
        </w:rPr>
      </w:pPr>
      <w:r>
        <w:rPr>
          <w:rFonts w:ascii="Arial" w:cs="Arial" w:eastAsia="Arial" w:hAnsi="Arial"/>
          <w:sz w:val="18"/>
          <w:szCs w:val="18"/>
          <w:i w:val="1"/>
          <w:iCs w:val="1"/>
          <w:color w:val="auto"/>
        </w:rPr>
        <w:t xml:space="preserve">Dual Network Rule. </w:t>
      </w:r>
      <w:r>
        <w:rPr>
          <w:rFonts w:ascii="Arial" w:cs="Arial" w:eastAsia="Arial" w:hAnsi="Arial"/>
          <w:sz w:val="18"/>
          <w:szCs w:val="18"/>
          <w:color w:val="auto"/>
        </w:rPr>
        <w:t>The dual network rule prohibits any of the four major networks, ABC, CBS, FOX and NBC, from combining. The FCC made</w:t>
      </w:r>
      <w:r>
        <w:rPr>
          <w:rFonts w:ascii="Arial" w:cs="Arial" w:eastAsia="Arial" w:hAnsi="Arial"/>
          <w:sz w:val="18"/>
          <w:szCs w:val="18"/>
          <w:i w:val="1"/>
          <w:iCs w:val="1"/>
          <w:color w:val="auto"/>
        </w:rPr>
        <w:t xml:space="preserve"> </w:t>
      </w:r>
      <w:r>
        <w:rPr>
          <w:rFonts w:ascii="Arial" w:cs="Arial" w:eastAsia="Arial" w:hAnsi="Arial"/>
          <w:sz w:val="18"/>
          <w:szCs w:val="18"/>
          <w:color w:val="auto"/>
        </w:rPr>
        <w:t>no change to this rule in the Omnibus Ownership Review.</w:t>
      </w:r>
    </w:p>
    <w:p>
      <w:pPr>
        <w:spacing w:after="0" w:line="186" w:lineRule="exact"/>
        <w:rPr>
          <w:sz w:val="20"/>
          <w:szCs w:val="20"/>
          <w:color w:val="auto"/>
        </w:rPr>
      </w:pPr>
    </w:p>
    <w:p>
      <w:pPr>
        <w:ind w:left="540" w:firstLine="348"/>
        <w:spacing w:after="0" w:line="287" w:lineRule="auto"/>
        <w:rPr>
          <w:sz w:val="20"/>
          <w:szCs w:val="20"/>
          <w:color w:val="auto"/>
        </w:rPr>
      </w:pPr>
      <w:r>
        <w:rPr>
          <w:rFonts w:ascii="Arial" w:cs="Arial" w:eastAsia="Arial" w:hAnsi="Arial"/>
          <w:sz w:val="16"/>
          <w:szCs w:val="16"/>
          <w:i w:val="1"/>
          <w:iCs w:val="1"/>
          <w:color w:val="auto"/>
        </w:rPr>
        <w:t xml:space="preserve">Attribution of Ownership. </w:t>
      </w:r>
      <w:r>
        <w:rPr>
          <w:rFonts w:ascii="Arial" w:cs="Arial" w:eastAsia="Arial" w:hAnsi="Arial"/>
          <w:sz w:val="16"/>
          <w:szCs w:val="16"/>
          <w:color w:val="auto"/>
        </w:rPr>
        <w:t>Under the FCC's attribution rules, a direct or indirect purchaser of various types of securities of an entity which holds</w:t>
      </w:r>
      <w:r>
        <w:rPr>
          <w:rFonts w:ascii="Arial" w:cs="Arial" w:eastAsia="Arial" w:hAnsi="Arial"/>
          <w:sz w:val="16"/>
          <w:szCs w:val="16"/>
          <w:i w:val="1"/>
          <w:iCs w:val="1"/>
          <w:color w:val="auto"/>
        </w:rPr>
        <w:t xml:space="preserve"> </w:t>
      </w:r>
      <w:r>
        <w:rPr>
          <w:rFonts w:ascii="Arial" w:cs="Arial" w:eastAsia="Arial" w:hAnsi="Arial"/>
          <w:sz w:val="16"/>
          <w:szCs w:val="16"/>
          <w:color w:val="auto"/>
        </w:rPr>
        <w:t>FCC licenses, such as the Company, could violate the foregoing FCC ownership regulations or policies if that purchaser owned or acquired an "attributable" interest in other media properties. Under the FCC's rules, an "attributable" interest for purposes of the FCC's broadcast ownership rules generally includes: equity and debt interests which combined exceed 33% of a licensee's total assets, if the interest holder supplies more than 15% of the licensee's total weekly programming, or has an attributable same-market media interest, whether television, radio, cable or newspaper; a 5% or greater direct or indirect voting stock interest, including certain interests held in trust, unless the holder is a qualified passive investor in which case the threshold is a 20% or greater voting stock interest; any equity interest in a limited liability company or a partnership, including a limited partnership, unless properly "insulated" from management activities; and any position as an officer or director of a licensee or of its direct or indirect parent. The FCC is currently reviewing its single majority voting shareholder attribution exemption which renders as non-attributable voting interests up to 49% in a licensee controlled by a single majority voting shareholder. The Company has a single majority voting shareholder.</w:t>
      </w:r>
    </w:p>
    <w:p>
      <w:pPr>
        <w:spacing w:after="0" w:line="177" w:lineRule="exact"/>
        <w:rPr>
          <w:sz w:val="20"/>
          <w:szCs w:val="20"/>
          <w:color w:val="auto"/>
        </w:rPr>
      </w:pPr>
    </w:p>
    <w:p>
      <w:pPr>
        <w:ind w:left="540" w:right="280" w:firstLine="348"/>
        <w:spacing w:after="0" w:line="268" w:lineRule="auto"/>
        <w:rPr>
          <w:sz w:val="20"/>
          <w:szCs w:val="20"/>
          <w:color w:val="auto"/>
        </w:rPr>
      </w:pPr>
      <w:r>
        <w:rPr>
          <w:rFonts w:ascii="Arial" w:cs="Arial" w:eastAsia="Arial" w:hAnsi="Arial"/>
          <w:sz w:val="18"/>
          <w:szCs w:val="18"/>
          <w:i w:val="1"/>
          <w:iCs w:val="1"/>
          <w:color w:val="auto"/>
        </w:rPr>
        <w:t xml:space="preserve">Alien Ownership. </w:t>
      </w:r>
      <w:r>
        <w:rPr>
          <w:rFonts w:ascii="Arial" w:cs="Arial" w:eastAsia="Arial" w:hAnsi="Arial"/>
          <w:sz w:val="18"/>
          <w:szCs w:val="18"/>
          <w:color w:val="auto"/>
        </w:rPr>
        <w:t>The Company periodically surveys its public shareholders to ascertain compliance with this statute. The Communications Act</w:t>
      </w:r>
      <w:r>
        <w:rPr>
          <w:rFonts w:ascii="Arial" w:cs="Arial" w:eastAsia="Arial" w:hAnsi="Arial"/>
          <w:sz w:val="18"/>
          <w:szCs w:val="18"/>
          <w:i w:val="1"/>
          <w:iCs w:val="1"/>
          <w:color w:val="auto"/>
        </w:rPr>
        <w:t xml:space="preserve"> </w:t>
      </w:r>
      <w:r>
        <w:rPr>
          <w:rFonts w:ascii="Arial" w:cs="Arial" w:eastAsia="Arial" w:hAnsi="Arial"/>
          <w:sz w:val="18"/>
          <w:szCs w:val="18"/>
          <w:color w:val="auto"/>
        </w:rPr>
        <w:t>limits the ability of foreign entities or individuals to own or hold interests in broadcast licenses.</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i w:val="1"/>
          <w:iCs w:val="1"/>
          <w:color w:val="auto"/>
        </w:rPr>
        <w:t xml:space="preserve">Digital Television Service. </w:t>
      </w:r>
      <w:r>
        <w:rPr>
          <w:rFonts w:ascii="Arial" w:cs="Arial" w:eastAsia="Arial" w:hAnsi="Arial"/>
          <w:sz w:val="16"/>
          <w:szCs w:val="16"/>
          <w:color w:val="auto"/>
        </w:rPr>
        <w:t>The FCC has taken a number of steps to implement digital television broadcasting service in the U.S. The FCC has attempted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digital television coverage areas that are comparable to stations' existing service areas and has provided all licensed television stations with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 w:name="page27"/>
    <w:bookmarkEnd w:id="26"/>
    <w:p>
      <w:pPr>
        <w:ind w:right="100"/>
        <w:spacing w:after="0" w:line="306" w:lineRule="auto"/>
        <w:rPr>
          <w:sz w:val="20"/>
          <w:szCs w:val="20"/>
          <w:color w:val="auto"/>
        </w:rPr>
      </w:pPr>
      <w:r>
        <w:rPr>
          <w:rFonts w:ascii="Arial" w:cs="Arial" w:eastAsia="Arial" w:hAnsi="Arial"/>
          <w:sz w:val="16"/>
          <w:szCs w:val="16"/>
          <w:color w:val="auto"/>
        </w:rPr>
        <w:t>second channel on which to broadcast a digital television signal. Licensees are permitted to use their digital channels for a wide variety of services such as high definition, multiple channels of standard definition television programming, audio, data, and other types of communications, subject to the requirement that each broadcaster provide at least one free over-the-air video program signal at least comparable in resolution to the station's analog programming transmissions.</w:t>
      </w:r>
    </w:p>
    <w:p>
      <w:pPr>
        <w:spacing w:after="0" w:line="16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FCC required all commercial television stations to begin broadcasting a digital signal by May 1, 2002. With the exception of its UPN-affiliated stations in Pittsburgh, Oklahoma City and Providence, all of the Company's stations are transmitting digital broadcasts that comply with the FCC's requirements. Two of these three UPN-affiliated stations are not broadcasting a digital signal because of FCC proceedings involving changes in their assigned digital channels, while the third station has experienced difficulties obtaining required local building permits. Beginning April 1, 2005, the Company's television stations which are transmitting a digital signal will be required to transmit a digital signal 100% of the time they are transmitting an analog signal.</w:t>
      </w:r>
    </w:p>
    <w:p>
      <w:pPr>
        <w:spacing w:after="0" w:line="170" w:lineRule="exact"/>
        <w:rPr>
          <w:sz w:val="20"/>
          <w:szCs w:val="20"/>
          <w:color w:val="auto"/>
        </w:rPr>
      </w:pPr>
    </w:p>
    <w:p>
      <w:pPr>
        <w:ind w:right="120" w:firstLine="348"/>
        <w:spacing w:after="0" w:line="312" w:lineRule="auto"/>
        <w:rPr>
          <w:sz w:val="20"/>
          <w:szCs w:val="20"/>
          <w:color w:val="auto"/>
        </w:rPr>
      </w:pPr>
      <w:r>
        <w:rPr>
          <w:rFonts w:ascii="Arial" w:cs="Arial" w:eastAsia="Arial" w:hAnsi="Arial"/>
          <w:sz w:val="15"/>
          <w:szCs w:val="15"/>
          <w:color w:val="auto"/>
        </w:rPr>
        <w:t>The FCC's plan conditionally calls for the digital television transition period to end in the year 2006, at which time current rules would require television broadcasters to cease non-digital broadcasting and return one of their two channels to the government, allowing that spectrum to be recovered for other uses. As provided by statute, however, the FCC is required to extend the end of the transition at the request of individual broadcast licensees on a market-by-market basis if one or more of the four largest network stations or affiliates is not broadcasting in digital, digital-to-analog converter technology is not generally available, or 15% or more television households are not receiving a digital signal. The FCC has recently initiated the process of assigning a final digital channel to all television stations. This process will not be completed until late 2006 at the earliest. The Company has incurred considerable costs in the conversion to digital television and is unable to predict the extent or timing of consumer demand for digital television services and the resulting impact on the Company's viewership.</w:t>
      </w:r>
    </w:p>
    <w:p>
      <w:pPr>
        <w:spacing w:after="0" w:line="159"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i w:val="1"/>
          <w:iCs w:val="1"/>
          <w:color w:val="auto"/>
        </w:rPr>
        <w:t xml:space="preserve">Cable and Satellite Carriage of Television Broadcast Stations. </w:t>
      </w:r>
      <w:r>
        <w:rPr>
          <w:rFonts w:ascii="Arial" w:cs="Arial" w:eastAsia="Arial" w:hAnsi="Arial"/>
          <w:sz w:val="16"/>
          <w:szCs w:val="16"/>
          <w:color w:val="auto"/>
        </w:rPr>
        <w:t>The 1992 Cable Act and implementing FCC regulations govern the retransmission of</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television stations by cable television operators. Every three years, each station must elect, with respect to cable systems within its DMA, either "must carry" status, pursuant to which the cable system's carriage of the station is mandatory, or "retransmission consent," pursuant to which the station gives up its right to mandatory carriage in order to negotiate consideration in return for consenting to carriage. In general, the Company's stations have elected the retransmission consent option for cable carriage for the three-year period that began January 1, 2003. The Company is still in the process of negotiating retransmission consent agreements with some cable operators, but in all cases the cable systems continue to carry the stations' signals. The next election between the must-carry and retransmission consent options must be made by October 1, 2005 for the three-year period beginning January 1, 2006.</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Satellite Home Viewer Improvement Act permits DTH carriers such as DirecTV and EchoStar to retransmit a local television station's signal into its local market without copyright liability, subject to the consent of the local broadcaster. Until the end of 2009, the DTH carrier may retransmit distant analog and digital network signals to certain households not served by local network affiliates, under the Satellite Home Viewer Extension and Reauthorization Act of 2004. Since January 1, 2002, DTH carriers have been required to carry the signals of all local television broadcast stations requesting carriage in local markets in which the DTH carrier carries at least one signal under the local-to-local compulsory license. Every three years, each station must elect "must carry" or "retransmission consent" status, in a manner similar to that described above with respect to cable systems. Almost all of the Company's owned and operated television stations are being transmitted into their local markets by the two major DTH carriers, either through retransmission consent agreements or mandatory carriage elections.</w:t>
      </w:r>
    </w:p>
    <w:p>
      <w:pPr>
        <w:spacing w:after="0" w:line="172"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foregoing relates to cable and satellite carriage of analog television broadcast stations. Although a single programming stream transmitted by each digital television station will be required to be carried 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ind w:right="20"/>
        <w:spacing w:after="0" w:line="298" w:lineRule="auto"/>
        <w:rPr>
          <w:sz w:val="20"/>
          <w:szCs w:val="20"/>
          <w:color w:val="auto"/>
        </w:rPr>
      </w:pPr>
      <w:r>
        <w:rPr>
          <w:rFonts w:ascii="Arial" w:cs="Arial" w:eastAsia="Arial" w:hAnsi="Arial"/>
          <w:sz w:val="16"/>
          <w:szCs w:val="16"/>
          <w:color w:val="auto"/>
        </w:rPr>
        <w:t>both distribution platforms after the end of the digital television transition period, the FCC in February 2005 affirmed that it will not require cable operators either to carry both a station's analog and digital signals during the transition period or, after the conversion to digital, to carry more than a station's primary video programming channel. However, the Company has agreements with a number of multiple system operators that require carriage of the digital and analog signals of the Company-owned television stations during the transition (including multiple streams of digital programming).</w:t>
      </w:r>
    </w:p>
    <w:p>
      <w:pPr>
        <w:spacing w:after="0" w:line="16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i w:val="1"/>
          <w:iCs w:val="1"/>
          <w:color w:val="auto"/>
        </w:rPr>
        <w:t xml:space="preserve">Digital Radio. </w:t>
      </w:r>
      <w:r>
        <w:rPr>
          <w:rFonts w:ascii="Arial" w:cs="Arial" w:eastAsia="Arial" w:hAnsi="Arial"/>
          <w:sz w:val="16"/>
          <w:szCs w:val="16"/>
          <w:color w:val="auto"/>
        </w:rPr>
        <w:t>For a number of years, the FCC has been developing rules that would permit existing AM and FM radio broadcast stations to broadcast</w:t>
      </w:r>
      <w:r>
        <w:rPr>
          <w:rFonts w:ascii="Arial" w:cs="Arial" w:eastAsia="Arial" w:hAnsi="Arial"/>
          <w:sz w:val="16"/>
          <w:szCs w:val="16"/>
          <w:i w:val="1"/>
          <w:iCs w:val="1"/>
          <w:color w:val="auto"/>
        </w:rPr>
        <w:t xml:space="preserve"> </w:t>
      </w:r>
      <w:r>
        <w:rPr>
          <w:rFonts w:ascii="Arial" w:cs="Arial" w:eastAsia="Arial" w:hAnsi="Arial"/>
          <w:sz w:val="16"/>
          <w:szCs w:val="16"/>
          <w:color w:val="auto"/>
        </w:rPr>
        <w:t>digitally in order both to improve sound quality and to provide spectrum for enhanced data services to complement the existing programming service and provide new business opportunities for radio broadcasters. In 2002, the FCC authorized FM radio stations (on a full-time basis) and AM radio stations (on a daytime only basis) to broadcast digital signals using excess spectrum in the same channel used for analog transmissions. The FCC is still developing final rules for the conversion of radio stations to digital, and has not mandated use of the technology or established any timetable for conversion to digital. Despite the lack of such a mandate, the Company has recently committed to converting 131 of its 183 radio stations to digital broadcasting technology over the next several years. Approximately 20 other broadcasters have made similar commitments that will result in more than 2,500 AM and FM stations converting to digital technology nationwide, including in each of the top 100 radio markets.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Outdoor</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outdoor advertising industry is subject to extensive governmental regulation at the federal, state and local levels in the U.S. and to national, regional and local restrictions in foreign countries. These regulations can affect the operation of advertising displays and include restrictions on the construction, repair, upgrading, height, size and location of outdoor advertising structures and, in some instances, content of advertising copy being displayed on these structures. In addition, in recent years, outdoor advertising has become the subject of targeted state and municipal taxes. These laws may affect competitive conditions in various markets in various ways. For example, such laws may reduce the Company's expansion opportunities, or may reduce competitive pressure from others. No assurance can be given that existing or future laws or regulations will not materially and adversely affect the Outdoor business.</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Under U.S. law, principally the Highway Beautification Act of 1965 (the "HBA"), outdoor advertising is controlled on primary and interstate highways built with federal financial assistance. As a condition to federal highway assistance, the HBA requires states to restrict billboards on such highways to commercial and industrial areas, and imposes certain additional size, spacing and other requirements associated with the installation and operation of billboards. All states have passed laws and adopted regulations at least as restrictive as the federal requirements, including the obligation on the part of the billboard owner to remove, at the owner's expense and without compensation, any signs on such highways that do not comply with such requirements. Outdoor does not believe that the number of its billboards that may be subject to removal under these regulations is material. No state in which Outdoor operates has banned billboards, but some have adopted standards more restrictive than the federal requirements. Municipal and county governments generally also have sign controls as part of their zoning laws and building codes. Some state and local governments prohibit construction of new billboards and some allow new construction only to replace existing structures, although most allow construction of billboards subject to restrictions on zones, size, spacing, height and type of construction. In some cases, the construction of new billboards or the relocation or modification of existing billboards is prohibited. A number of cities including New York City, Los Angeles and Miami have implemented or initiated legislative billboard controls, including imposing taxes, fees and registration requirements in an effort to decrease or restrict the number of outdoor signs. The Company contests such laws and regulations that it believes unlawfully restrict its constitutional or other legal rights and may adversely impact the growth of the outdoor advertising business.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8" w:name="page29"/>
    <w:bookmarkEnd w:id="28"/>
    <w:p>
      <w:pPr>
        <w:ind w:right="80" w:firstLine="351"/>
        <w:spacing w:after="0" w:line="286" w:lineRule="auto"/>
        <w:rPr>
          <w:sz w:val="20"/>
          <w:szCs w:val="20"/>
          <w:color w:val="auto"/>
        </w:rPr>
      </w:pPr>
      <w:r>
        <w:rPr>
          <w:rFonts w:ascii="Arial" w:cs="Arial" w:eastAsia="Arial" w:hAnsi="Arial"/>
          <w:sz w:val="16"/>
          <w:szCs w:val="16"/>
          <w:color w:val="auto"/>
        </w:rPr>
        <w:t>U.S. law does not require removal of existing lawful billboards, but it does require payment of compensation if a state or political subdivision compels the removal of a lawful billboard along a primary or interstate highway that was built with federal financial assistance. State governments have purchased and removed legal billboards for beautification in the past using federal funding for transportation enhancement programs, and may do so in the future. State government authorities from time to time use the power of eminent domain to remove billboards. Thus far, Outdoor has been able to obtain satisfactory compensation for its billboards purchased or removed as a result of this type of governmental action, although there is no assurance that this will continue to be the case in the future. Local governments do not generally purchase billboards for beautification, but some have attempted to force removal of legal but nonconforming billboards (billboards which conformed with applicable zoning regulations when built but which do not conform to current zoning regulations) after a period of years under a concept called amortization. Under this concept the governmental body asserts that just compensation is earned by continued operation of the billboard over time. Although there is some question as to the legality of amortization under federal and many state laws, amortization has been upheld in some instances. Outdoor generally has been successful in negotiating settlements with municipalities for billboards required to be removed. Restrictive regulations also limit Outdoor's ability to rebuild or replace nonconforming billboards.</w:t>
      </w:r>
    </w:p>
    <w:p>
      <w:pPr>
        <w:spacing w:after="0" w:line="181" w:lineRule="exact"/>
        <w:rPr>
          <w:sz w:val="20"/>
          <w:szCs w:val="20"/>
          <w:color w:val="auto"/>
        </w:rPr>
      </w:pPr>
    </w:p>
    <w:p>
      <w:pPr>
        <w:ind w:right="240" w:firstLine="341"/>
        <w:spacing w:after="0" w:line="290" w:lineRule="auto"/>
        <w:rPr>
          <w:sz w:val="20"/>
          <w:szCs w:val="20"/>
          <w:color w:val="auto"/>
        </w:rPr>
      </w:pPr>
      <w:r>
        <w:rPr>
          <w:rFonts w:ascii="Arial" w:cs="Arial" w:eastAsia="Arial" w:hAnsi="Arial"/>
          <w:sz w:val="16"/>
          <w:szCs w:val="16"/>
          <w:color w:val="auto"/>
        </w:rPr>
        <w:t>As the owner or operator of various real properties and facilities in outdoor advertising operations, the Company must comply with various U.S. federal, state and local and foreign environmental, health, safety and land use laws and regulations. Viacom Outdoor and its properties are subject to such laws and regulations relating to the use, storage, disposal, emission and release of hazardous and non-hazardous substances and employee health and safety, as well as zoning and other land use restrictions which may affect, among other things, the hours of operation and illumination as well as methods and conditions of maintenance of facilities and advertising installation. Historically, the Company has not incurred significant expenditures to comply with these laws. However, future laws or a finding of a violation of or liability under existing laws could require the Company to make significant expenditures and otherwise limit or restrict its ability to use or operate some of its displays.</w:t>
      </w:r>
    </w:p>
    <w:p>
      <w:pPr>
        <w:spacing w:after="0" w:line="17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Out-of-court settlements between the major U.S. tobacco companies and all 50 states include a ban on the outdoor advertising of tobacco products. State and local governments continue to initiate proposals designed to limit outdoor advertising of alcohol. Other products and services may be targeted in the future. Legislation regulating alcohol-related advertising due to content-related restrictions could cause a reduction in Outdoor's direct revenue from such advertisements and a simultaneous increase in the available space on the existing inventory of billboards in the outdoor advertising industry.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 xml:space="preserve">The Company is a leader in the creation, ownership and distribution of intellectual property worldwide. It is the Company's practice to protect its theatrical and television product, characters, publications and its other original and acquired works and software. The following logos and trademarks and related trademark families are among those strongly identified with the product lines they represent and are significant assets of the Company: </w:t>
      </w:r>
      <w:r>
        <w:rPr>
          <w:rFonts w:ascii="Arial" w:cs="Arial" w:eastAsia="Arial" w:hAnsi="Arial"/>
          <w:sz w:val="16"/>
          <w:szCs w:val="16"/>
          <w:i w:val="1"/>
          <w:iCs w:val="1"/>
          <w:color w:val="auto"/>
        </w:rPr>
        <w:t>Viacom®, CBS®, CBS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Entertainment™, CBS News™, CBS Sports™, UPN®, Infinity Radio®, Viacom Outdoor®, BET®, Comedy Central®, CMT®: Country Music Television™, MTV Music Television®, MTV U™, Nick at Nite®, Nickelodeon®, Spike TV®, TV Land®, VH1®, Paramount®, Paramount Pictures®, Famous Music®, Spelling Television®, Big Ticket Television®, Viacom Productions®, King World®, Paramount Parks®, Entertainment Tonight®, Star Trek®, Showtime®, The Movie Channel™, Flix®, Simon &amp; Schuster® </w:t>
      </w:r>
      <w:r>
        <w:rPr>
          <w:rFonts w:ascii="Arial" w:cs="Arial" w:eastAsia="Arial" w:hAnsi="Arial"/>
          <w:sz w:val="16"/>
          <w:szCs w:val="16"/>
          <w:color w:val="auto"/>
        </w:rPr>
        <w:t>and</w:t>
      </w:r>
      <w:r>
        <w:rPr>
          <w:rFonts w:ascii="Arial" w:cs="Arial" w:eastAsia="Arial" w:hAnsi="Arial"/>
          <w:sz w:val="16"/>
          <w:szCs w:val="16"/>
          <w:i w:val="1"/>
          <w:iCs w:val="1"/>
          <w:color w:val="auto"/>
        </w:rPr>
        <w:t xml:space="preserve"> Pocket Books®</w:t>
      </w:r>
      <w:r>
        <w:rPr>
          <w:rFonts w:ascii="Arial" w:cs="Arial" w:eastAsia="Arial" w:hAnsi="Arial"/>
          <w:sz w:val="16"/>
          <w:szCs w:val="16"/>
          <w:color w:val="auto"/>
        </w:rPr>
        <w:t>. As a result, domestic and foreign laws protecting intellectual property rights are important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the Company actively enforces its intellectual property rights against infringements.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EMPLOYEES AND LABOR MATTERS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2004, the Company employed approximately 38,350 people including full-time and part-time salaried employees.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FOREIGN AND DOMESTIC OPERATIONS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Financial and other information by segment and relating to foreign and domestic operations for each of the last three years ending December 31 is set forth in Note 14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Viacom Inc.'s Web site address is www.viacom.com. Viacom Inc. makes available free of charge on or through the Shareholder Info section of its Web site its Annual Report on Form 10-K, Quarterly Reports on Form 10-Q, Current Reports on Form 8-K, and any amendments to those reports filed or furnished pursuant to Section 13(a) or 15(d) of the Securities Exchange Act of 1934. Such material is made available through the Company's Web site as soon as reasonably practicable after such material is electronically filed with or furnished to the Securities and Exchange Commission. On June 16, 2004, the Company submitted to the New York Stock Exchange the Annual CEO Certification required by Section 303A 12(a) of the New York Stock Exchange Listing Manual. The Company filed with the Securities and Exchange Commission the certifications required under Section 302 of the Sarbanes-Oxley Act of 2002 as Exhibits 31(a) and 31(b) to its Annual Report on Form 10-K for the year ended December 31,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document and the documents incorporated by reference into this Annual Report on Form 10-K, including "Item 7. Management's Discussion and Analysis of Results of Operations and Financial Condition," contain both historical and forward-looking statements. All statements other than statements of historical fact are, or may be deemed to be, forward-looking statements within the meaning of section 27A of the Securities Act of 1933 and section 21E of the Securities Exchange Act of 1934. These forward-looking statements are not based on historical facts, but rather reflect the Company's current expectations concerning future results and events. These forward-looking statements generally can be identified by the use of statements that include phrases such as "believe," "expect," "anticipate," "intend," "plan," "foresee," "likely," "will" or other similar words or phrases. Similarly, statements that describe the Company's objectives, plans or goals are or may be forward-looking statements. These forward-looking statements involve known and unknown risks, uncertainties and other factors that are difficult to predict and which may cause the actual results, performance or achievements of the Company to be different from any future results, performance and achievements expressed or implied by these statements. More information about these risks, uncertainties and other factors is set forth on pages II-28 to II-30 of "Item 7. Management's Discussion and Analysis of Results of Operations and Financial Condition." There may be additional risks, uncertainties and factors that the Company does not currently view as material or that are not necessarily known. The forward-looking statements included in this document are only made as of the date of this document and the Company does not have any obligation to publicly update any forward-looking statements to reflect subsequent events or circumstances.</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Company maintains its world headquarters at 1515 Broadway, New York, New York, where it rents approximately 1.3 million square feet for executive offices and certain of its operating divisions. The lease for the majority of the space runs to 2010, with four renewal options for five years each thereafter. The Company also leases the following major facilities in New York City for certain of its operating divisions: (a) approximately 548,000 square feet of office space at 1633 Broadway, New York, New York,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ind w:right="120"/>
        <w:spacing w:after="0" w:line="289" w:lineRule="auto"/>
        <w:rPr>
          <w:sz w:val="20"/>
          <w:szCs w:val="20"/>
          <w:color w:val="auto"/>
        </w:rPr>
      </w:pPr>
      <w:r>
        <w:rPr>
          <w:rFonts w:ascii="Arial" w:cs="Arial" w:eastAsia="Arial" w:hAnsi="Arial"/>
          <w:sz w:val="16"/>
          <w:szCs w:val="16"/>
          <w:color w:val="auto"/>
        </w:rPr>
        <w:t>which lease runs to 2010, and (b) approximately 237,000 square feet of office space at 1230 Avenue of the Americas, New York, New York, which lease runs to 2009. The Company owns the building located at 51 West 52nd Street, New York, New York, containing approximately 900,000 square feet which is principally leased to third parties and houses approximately 200,000 square feet of office space used by the Company, and the CBS Broadcast Center complex located on approximately 3.7 acres at 524 West 57th Street, New York, New York and consists of approximately 860,000 square feet. The Company also owns three studio facilities in California: (a) the Paramount Pictures studio at 5555 Melrose Avenue, Los Angeles, California, located on approximately 62 acres, (b) the CBS Studio Center at 4204 Radford Avenue, Studio City, California, located on approximately 40 acres, and (c) CBS Television City at 7800 Beverly Boulevard, Los Angeles, California, located on approximately 11 acres. Paramount Parks' operations in the U.S. include approximately 1,950 acres owned and 108 acres leased and in Canada include approximately 380 acres owned.</w:t>
      </w:r>
    </w:p>
    <w:p>
      <w:pPr>
        <w:spacing w:after="0" w:line="17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also owns and leases office, studio, retail and warehouse space, broadcast, antenna and satellite transmission facilities and outdoor advertising properties throughout the U.S., Canada and several countries around the world for its businesses. The Company considers its properties adequate for its present needs.</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ind w:right="360" w:firstLine="348"/>
        <w:spacing w:after="0" w:line="286" w:lineRule="auto"/>
        <w:rPr>
          <w:sz w:val="20"/>
          <w:szCs w:val="20"/>
          <w:color w:val="auto"/>
        </w:rPr>
      </w:pPr>
      <w:r>
        <w:rPr>
          <w:rFonts w:ascii="Arial" w:cs="Arial" w:eastAsia="Arial" w:hAnsi="Arial"/>
          <w:sz w:val="16"/>
          <w:szCs w:val="16"/>
          <w:i w:val="1"/>
          <w:iCs w:val="1"/>
          <w:color w:val="auto"/>
        </w:rPr>
        <w:t xml:space="preserve">Asbestos and Environmental. </w:t>
      </w:r>
      <w:r>
        <w:rPr>
          <w:rFonts w:ascii="Arial" w:cs="Arial" w:eastAsia="Arial" w:hAnsi="Arial"/>
          <w:sz w:val="16"/>
          <w:szCs w:val="16"/>
          <w:color w:val="auto"/>
        </w:rPr>
        <w:t>The Company is a defendant in lawsuits claiming various personal injuries related to asbestos and other materials, which</w:t>
      </w:r>
      <w:r>
        <w:rPr>
          <w:rFonts w:ascii="Arial" w:cs="Arial" w:eastAsia="Arial" w:hAnsi="Arial"/>
          <w:sz w:val="16"/>
          <w:szCs w:val="16"/>
          <w:i w:val="1"/>
          <w:iCs w:val="1"/>
          <w:color w:val="auto"/>
        </w:rPr>
        <w:t xml:space="preserve"> </w:t>
      </w:r>
      <w:r>
        <w:rPr>
          <w:rFonts w:ascii="Arial" w:cs="Arial" w:eastAsia="Arial" w:hAnsi="Arial"/>
          <w:sz w:val="16"/>
          <w:szCs w:val="16"/>
          <w:color w:val="auto"/>
        </w:rPr>
        <w:t>allegedly occurred principally as a result of exposure caused by various products manufactured by Westinghouse, a predecessor, generally prior to the early</w:t>
      </w:r>
    </w:p>
    <w:p>
      <w:pPr>
        <w:spacing w:after="0" w:line="295" w:lineRule="auto"/>
        <w:rPr>
          <w:sz w:val="20"/>
          <w:szCs w:val="20"/>
          <w:color w:val="auto"/>
        </w:rPr>
      </w:pPr>
      <w:r>
        <w:rPr>
          <w:rFonts w:ascii="Arial" w:cs="Arial" w:eastAsia="Arial" w:hAnsi="Arial"/>
          <w:sz w:val="16"/>
          <w:szCs w:val="16"/>
          <w:color w:val="auto"/>
        </w:rPr>
        <w:t>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asbestos-containing grades of decorative micarta, a laminate used in commercial ships.</w:t>
      </w:r>
    </w:p>
    <w:p>
      <w:pPr>
        <w:spacing w:after="0" w:line="16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Claims are frequently filed and/or settled in large groups, which may make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December 31, 2004, the Company had pending approximately 112,140 asbestos claims, as compared with approximately 112,280 as of December 31, 2003 and approximately 103,800 as of December 31, 2002. Of the claims pending as of December 31, 2004, approximately 82,370 were pending in state courts, 27,180 in federal courts and approximately 2,590 were third party claims. During 2004, the Company received approximately 16,060 new claims and closed or moved to an inactive docket approximately 16,200 claims. The Company reports claims as closed when it becomes aware that a dismissal order has been entered by a court or when the Company has reached agreement with the claimants on the material terms of a settlement.</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Settlement costs depend on the seriousness of the injuries that form the basis of the claim, the quality of evidence supporting the claims and other factors. To date, the Company has not been liable for any third party claims. The Company's total costs (recovery) for the years 2004 and 2003 for settlement and defense of asbestos claims after insurance recoveries and net of tax benefits were approximately $58.4 million and $(8.7) million, respectively. A portion of such costs relates to claims settled in prior years. If proceeds received in 2003 from an insurance commutation were excluded from the Company's total costs in 2003, the Company's total costs after insurance recoveries and net of tax benefits would have been $56.6 million. The Company's costs for settlement and defense of asbestos claims may vary year to year as insurance proceeds are not always recovered in the same period as the insured portion of the expenses.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1" w:name="page32"/>
    <w:bookmarkEnd w:id="31"/>
    <w:p>
      <w:pPr>
        <w:ind w:firstLine="351"/>
        <w:spacing w:after="0" w:line="291" w:lineRule="auto"/>
        <w:rPr>
          <w:sz w:val="20"/>
          <w:szCs w:val="20"/>
          <w:color w:val="auto"/>
        </w:rPr>
      </w:pPr>
      <w:r>
        <w:rPr>
          <w:rFonts w:ascii="Arial" w:cs="Arial" w:eastAsia="Arial" w:hAnsi="Arial"/>
          <w:sz w:val="16"/>
          <w:szCs w:val="16"/>
          <w:color w:val="auto"/>
        </w:rPr>
        <w:t>Filings include claims for individuals suffering from mesothelioma, a rare cancer, the risk of which is allegedly increased primarily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Claims identified as cancer remain a small percentage of asbestos claims pending at December 31, 2004. In a substantial number of the pending claims, the plaintiff has not yet identified the claimed injury. The Company believes that its reserves and insurance are adequate to cover its asbestos liabilities and that these asbestos liabilities are not likely to have a material adverse effect on its results of operations, financial position or cash flows.</w:t>
      </w:r>
    </w:p>
    <w:p>
      <w:pPr>
        <w:spacing w:after="0" w:line="17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discontinued operations conducted by companies acquired by the Company. In addition, the Company from time to time receives personal injury claims including toxic tort and product liability claims arising from historical operations of the Company and its predecessors.</w:t>
      </w:r>
    </w:p>
    <w:p>
      <w:pPr>
        <w:spacing w:after="0" w:line="197"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i w:val="1"/>
          <w:iCs w:val="1"/>
          <w:color w:val="auto"/>
        </w:rPr>
        <w:t xml:space="preserve">Antitrust. </w:t>
      </w:r>
      <w:r>
        <w:rPr>
          <w:rFonts w:ascii="Arial" w:cs="Arial" w:eastAsia="Arial" w:hAnsi="Arial"/>
          <w:sz w:val="16"/>
          <w:szCs w:val="16"/>
          <w:color w:val="auto"/>
        </w:rPr>
        <w:t>In July 2002, judgment was entered in favor of the Company, Blockbuster, Paramount Home Entertainment and other major motion picture</w:t>
      </w:r>
      <w:r>
        <w:rPr>
          <w:rFonts w:ascii="Arial" w:cs="Arial" w:eastAsia="Arial" w:hAnsi="Arial"/>
          <w:sz w:val="16"/>
          <w:szCs w:val="16"/>
          <w:i w:val="1"/>
          <w:iCs w:val="1"/>
          <w:color w:val="auto"/>
        </w:rPr>
        <w:t xml:space="preserve"> </w:t>
      </w:r>
      <w:r>
        <w:rPr>
          <w:rFonts w:ascii="Arial" w:cs="Arial" w:eastAsia="Arial" w:hAnsi="Arial"/>
          <w:sz w:val="16"/>
          <w:szCs w:val="16"/>
          <w:color w:val="auto"/>
        </w:rPr>
        <w:t>studios and their home video subsidiaries with respect to a complaint filed in the United States District Court for the Western District of Texas. The complaint included federal antitrust and California state law claims. In August 2003, the Fifth Circuit Court of Appeals affirmed the federal court judgment. The Supreme Court of the United States refused plaintiffs' petition for writ of certiorari in March 2004. In February 2003, a similar complaint that had been filed in a Los Angeles County Superior Court was also dismissed with prejudice. The plaintiffs have appealed the California state court dismissal, as well as a prior denial of class certification. As a result of the split-off of Blockbuster in 2004, any judgment in this matter adverse to the Company, Blockbuster and/or Paramount Home Entertainment will be allocated 33.33% to Blockbuster and 66.67% to the Company. The Company believes that the plaintiffs' positions in these litigations are without merit and intends to continue to vigorously defend itself in the litigations.</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Litigation is inherently uncertain and always difficult to predict. However, based on its understanding and evaluation of the relevant facts and circumstances, the Company believes that all of the above-described legal matters and other litigation to which it is a party are not likely, in the aggregate, to have a material adverse effect on its results of operations, financial position or cash flows. (See "Item 7. Management's Discussion and Analysis of Results of Operations and Financial Condition.")</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is certain information concerning the executive officers of the Company as of March 10,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Age</w:t>
            </w:r>
          </w:p>
        </w:tc>
        <w:tc>
          <w:tcPr>
            <w:tcW w:w="7420" w:type="dxa"/>
            <w:vAlign w:val="bottom"/>
          </w:tcPr>
          <w:p>
            <w:pPr>
              <w:ind w:left="358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Sumner M. Redstone</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of Directors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Thomas E. Freston</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59</w:t>
            </w:r>
          </w:p>
        </w:tc>
        <w:tc>
          <w:tcPr>
            <w:tcW w:w="7420" w:type="dxa"/>
            <w:vAlign w:val="bottom"/>
          </w:tcPr>
          <w:p>
            <w:pPr>
              <w:spacing w:after="0"/>
              <w:rPr>
                <w:sz w:val="20"/>
                <w:szCs w:val="20"/>
                <w:color w:val="auto"/>
              </w:rPr>
            </w:pPr>
            <w:r>
              <w:rPr>
                <w:rFonts w:ascii="Arial" w:cs="Arial" w:eastAsia="Arial" w:hAnsi="Arial"/>
                <w:sz w:val="18"/>
                <w:szCs w:val="18"/>
                <w:color w:val="auto"/>
              </w:rPr>
              <w:t>Co-President and Co-Chief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Leslie Moonves</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Co-President and Co-Chief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Richard J. Bressler</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47</w:t>
            </w:r>
          </w:p>
        </w:tc>
        <w:tc>
          <w:tcPr>
            <w:tcW w:w="7420" w:type="dxa"/>
            <w:vAlign w:val="bottom"/>
          </w:tcPr>
          <w:p>
            <w:pPr>
              <w:spacing w:after="0"/>
              <w:rPr>
                <w:sz w:val="20"/>
                <w:szCs w:val="20"/>
                <w:color w:val="auto"/>
              </w:rPr>
            </w:pPr>
            <w:r>
              <w:rPr>
                <w:rFonts w:ascii="Arial" w:cs="Arial" w:eastAsia="Arial" w:hAnsi="Arial"/>
                <w:sz w:val="18"/>
                <w:szCs w:val="18"/>
                <w:color w:val="auto"/>
              </w:rPr>
              <w:t>Senior Executive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D. Folta</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Corporate Relations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Michael D. Fricklas</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45</w:t>
            </w: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C. Gordon</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51</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Controller and Chief Accounting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Carol A. Melton</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50</w:t>
            </w: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Government Relations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A. Roskin</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Human Resources and Administration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Martin M. Shea</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61</w:t>
            </w: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Investor Relations</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-1540510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-1540510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-1540510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-1540510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-1540510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420"/>
        <w:spacing w:after="0" w:line="239" w:lineRule="auto"/>
        <w:rPr>
          <w:sz w:val="20"/>
          <w:szCs w:val="20"/>
          <w:color w:val="auto"/>
        </w:rPr>
      </w:pPr>
      <w:r>
        <w:rPr>
          <w:rFonts w:ascii="Arial" w:cs="Arial" w:eastAsia="Arial" w:hAnsi="Arial"/>
          <w:sz w:val="14"/>
          <w:szCs w:val="14"/>
          <w:color w:val="auto"/>
        </w:rPr>
        <w:t>None of the executive officers of the Company is related to any other executive officer or director by blood, marriage or adoption except that Shari Redstone, a Director of the Company, is the daughter of Sumner M. Redstone.</w:t>
      </w:r>
    </w:p>
    <w:p>
      <w:pPr>
        <w:spacing w:after="0" w:line="19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Mr. Redstone has been Chairman of the Board of the Company since 1987 and Chief Executive Officer since 1996. Mr. Redstone has also served as Chairman of the Board of NAI since 1986 and Chief Executive Officer of NAI since 1967. He served as President of NAI from 1967 through 1999. Mr. Redstone served as the first Chairman of the Board of the National Association of Theatre Owners and is currently a member of its Executive Committee. Since 1982, Mr. Redstone has been a member of the faculty of Boston University Law School, where he has lectured on entertainment law, and, since 1994, he has been a Visiting Professor at Brandeis University. He has also been a frequent lecturer at colleges, including Harvard Law School. Mr. Redstone graduated from Harvard University in 1944 and received a LL.B. from Harvard University School of Law in 1947. Upon graduation, Mr. Redstone served as Law Secretary with the United States Court of Appeals and then as a Special Assistant to the United States Attorney General. Mr. Redstone served in the Military Intelligence Division during World War II. While a student at Harvard, he was selected to join a special intelligence group whose mission was to break Japan's high-level military and diplomatic codes. Mr. Redstone received, among other honors, two commendations from the Military Intelligence Division in recognition of his service, contribution and devotion to duty. He is also a recipient of the Army Commendation Award. He served as a Director of Infinity Broadcasting until the merger of Infinity into Viacom in 2001. Mr. Redstone has been a Director of Viacom since 1986.</w:t>
      </w:r>
    </w:p>
    <w:p>
      <w:pPr>
        <w:spacing w:after="0" w:line="18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Mr. Freston has been Co-President and Co-Chief Operating Officer of Viacom since June 2004. Prior to that, he served as Chairman and Chief Executive Officer of MTV Networks since 1987. Mr. Freston joined MTV Networks' predecessor company in 1980 and was one of the founding members of the team that launched MTV: Music Television.</w:t>
      </w:r>
    </w:p>
    <w:p>
      <w:pPr>
        <w:spacing w:after="0" w:line="19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Mr. Moonves has been Co-President and Co-Chief Operating Officer of Viacom since June 2004. Prior to that, he served as Chairman and Chief Executive Officer of CBS since 2003 and as President and Chief Executive Officer of CBS since 1998. Mr. Moonves joined CBS in 1995 as President, CBS Entertainment. Prior to that, Mr. Moonves was President of Warner Bros. Television since July 1993.</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Bressler has been Senior Executive Vice President and Chief Financial Officer of the Company since May 2001. Before joining the Company,</w:t>
      </w:r>
    </w:p>
    <w:p>
      <w:pPr>
        <w:spacing w:after="0" w:line="3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Mr. Bressler was Executive Vice President of AOL Time Warner Inc. and Chief Executive Officer of AOL Time Warner Investments. Prior to that, Mr. Bressler served in various capacities with Time Warner Inc., including as Chairman and Chief Executive Officer of Time Warner Digital Media. He also served as Executive Vice President and Chief Financial Officer of Time Warner Inc. from March 1995 to June 1999. Mr. Bressler serves on the National Advisory Committee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ind w:right="340"/>
        <w:spacing w:after="0" w:line="268" w:lineRule="auto"/>
        <w:rPr>
          <w:sz w:val="20"/>
          <w:szCs w:val="20"/>
          <w:color w:val="auto"/>
        </w:rPr>
      </w:pPr>
      <w:r>
        <w:rPr>
          <w:rFonts w:ascii="Arial" w:cs="Arial" w:eastAsia="Arial" w:hAnsi="Arial"/>
          <w:sz w:val="18"/>
          <w:szCs w:val="18"/>
          <w:color w:val="auto"/>
        </w:rPr>
        <w:t>of JPMorgan Chase. As previously announced, Mr. Bressler notified the Company that he will not renew his employment agreement and will depart from the Company no later than June 30, 2005.</w:t>
      </w:r>
    </w:p>
    <w:p>
      <w:pPr>
        <w:spacing w:after="0" w:line="186" w:lineRule="exact"/>
        <w:rPr>
          <w:sz w:val="20"/>
          <w:szCs w:val="20"/>
          <w:color w:val="auto"/>
        </w:rPr>
      </w:pPr>
    </w:p>
    <w:p>
      <w:pPr>
        <w:ind w:right="180" w:firstLine="351"/>
        <w:spacing w:after="0" w:line="335" w:lineRule="auto"/>
        <w:rPr>
          <w:sz w:val="20"/>
          <w:szCs w:val="20"/>
          <w:color w:val="auto"/>
        </w:rPr>
      </w:pPr>
      <w:r>
        <w:rPr>
          <w:rFonts w:ascii="Arial" w:cs="Arial" w:eastAsia="Arial" w:hAnsi="Arial"/>
          <w:sz w:val="15"/>
          <w:szCs w:val="15"/>
          <w:color w:val="auto"/>
        </w:rPr>
        <w:t>Mr. Folta has been Executive Vice President, Corporate Relations of the Company since November 2004. Prior to that, he served as Senior Vice President, Corporate Relations of the Company from November 1994 to November 2004, and Vice President, Corporate Relations of the Company from April 1994 to November 1994. Mr. Folta held various communications positions at Paramount Communications Inc. from 1984 until joining the Company in April 1994.</w:t>
      </w:r>
    </w:p>
    <w:p>
      <w:pPr>
        <w:spacing w:after="0" w:line="142"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Mr. Fricklas has been Executive Vice President, General Counsel and Secretary of the Company since May 2000. From October 1998 to May 2000, he served as Senior Vice President, General Counsel and Secretary of the Company. From July 1993, he served as Vice President, Deputy General Counsel of the Company and assumed the additional title of Senior Vice President in July 1994.</w:t>
      </w:r>
    </w:p>
    <w:p>
      <w:pPr>
        <w:spacing w:after="0" w:line="194"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Ms. Gordon has been Senior Vice President, Controller and Chief Accounting Officer of the Company since May 2002. Prior to that, she served as Vice President, Controller and Chief Accounting Officer of the Company from April 1995 to May 2002 and as Vice President, Internal Audit from October 1986 to April 1995. From June 1985 to October 1986, Ms. Gordon served as Controller of Viacom Broadcasting. She joined the Company in 1981 and held various positions in the corporate finance area.</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Ms. Melton has been Executive Vice President, Government Relations of the Company since November 2004. Prior to that, she served as Senior Vice President, Government Affairs of the Company, beginning in May 1997. Before joining the Company, Ms. Melton served most recently as Vice President, Law and Public Policy at Time Warner Inc., having joined Warner Communications Inc. in 1987. Prior to that, Ms. Melton served as Legal Advisor to the Chairman of the Federal Communications Commission and as Assistant General Counsel for the National Cable and Telecommunications Association.</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Mr. Roskin has been Executive Vice President, Human Resources and Administration of the Company since November 2004. He has been an executive officer of the Company since April 1988 when he became Vice President, Human Resources and Administration. In July 1992, Mr. Roskin was elected Senior Vice President, Human Resources and Administration of the Company. From May 1986 to April 1988, he was Senior Vice President, Human Resources at Coleco Industries, Inc. From 1976 to 1986, he held various executive positions at Warner Communications Inc., serving most recently as Vice President, Industrial and Labor Relations.</w:t>
      </w:r>
    </w:p>
    <w:p>
      <w:pPr>
        <w:spacing w:after="0" w:line="197"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Mr. Shea has been Executive Vice President, Investor Relations of the Company since November 2004. Prior to that, he served as Senior Vice President, Investor Relations of the Company, beginning in January 1998. From July 1994 to May 1995 and from November 1995 to December 1997, he was Senior Vice President, Corporation Communications for Triarc Companies, Inc. From June 1995 through October 1995, he served as Managing Director of Edelman Worldwide. From 1977 until July 1994, Mr. Shea held various Investor Relations positions at Paramount Communications Inc., serving most recently as Vice President, Investor Relations.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4" w:name="page35"/>
    <w:bookmarkEnd w:id="34"/>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Viacom Inc.'s Common Equity, Related Stockholder Matters and Purchases of Equity Securities.</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Viacom Inc. voting Class A Common Stock and Viacom Inc. non-voting Class B Common Stock are listed and traded on the New York Stock Exchange ("NYSE") under the symbols "VIA" and "VIAB", respectively.</w:t>
      </w:r>
    </w:p>
    <w:p>
      <w:pPr>
        <w:spacing w:after="0" w:line="186"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table sets forth, for the calendar periods indicated, the per share range of high and low sales prices for Viacom Inc.'s Class A Common Stock and Class B Common Stock, as reported on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Voting Class A</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Non-Voting Class B</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Common Stock</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Common Stock</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538"/>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23"/>
                <w:szCs w:val="23"/>
                <w:color w:val="auto"/>
              </w:rPr>
            </w:pPr>
          </w:p>
        </w:tc>
        <w:tc>
          <w:tcPr>
            <w:tcW w:w="760" w:type="dxa"/>
            <w:vAlign w:val="bottom"/>
          </w:tcPr>
          <w:p>
            <w:pPr>
              <w:jc w:val="right"/>
              <w:ind w:right="334"/>
              <w:spacing w:after="0"/>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538"/>
              <w:spacing w:after="0"/>
              <w:rPr>
                <w:sz w:val="20"/>
                <w:szCs w:val="20"/>
                <w:color w:val="auto"/>
              </w:rPr>
            </w:pPr>
            <w:r>
              <w:rPr>
                <w:rFonts w:ascii="Arial" w:cs="Arial" w:eastAsia="Arial" w:hAnsi="Arial"/>
                <w:sz w:val="14"/>
                <w:szCs w:val="14"/>
                <w:b w:val="1"/>
                <w:bCs w:val="1"/>
                <w:color w:val="auto"/>
              </w:rPr>
              <w:t>High</w:t>
            </w:r>
          </w:p>
        </w:tc>
        <w:tc>
          <w:tcPr>
            <w:tcW w:w="620" w:type="dxa"/>
            <w:vAlign w:val="bottom"/>
          </w:tcPr>
          <w:p>
            <w:pPr>
              <w:spacing w:after="0"/>
              <w:rPr>
                <w:sz w:val="23"/>
                <w:szCs w:val="23"/>
                <w:color w:val="auto"/>
              </w:rPr>
            </w:pPr>
          </w:p>
        </w:tc>
        <w:tc>
          <w:tcPr>
            <w:tcW w:w="720" w:type="dxa"/>
            <w:vAlign w:val="bottom"/>
          </w:tcPr>
          <w:p>
            <w:pPr>
              <w:jc w:val="right"/>
              <w:ind w:right="334"/>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1st quarter</w:t>
            </w:r>
          </w:p>
        </w:tc>
        <w:tc>
          <w:tcPr>
            <w:tcW w:w="2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45.10</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36.76</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8"/>
              <w:spacing w:after="0"/>
              <w:rPr>
                <w:sz w:val="20"/>
                <w:szCs w:val="20"/>
                <w:color w:val="auto"/>
              </w:rPr>
            </w:pPr>
            <w:r>
              <w:rPr>
                <w:rFonts w:ascii="Arial" w:cs="Arial" w:eastAsia="Arial" w:hAnsi="Arial"/>
                <w:sz w:val="18"/>
                <w:szCs w:val="18"/>
                <w:color w:val="auto"/>
              </w:rPr>
              <w:t>45.05</w:t>
            </w: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2nd quarter</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42.32</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42.15</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3rd quarter</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36.74</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32.56</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38"/>
              <w:spacing w:after="0"/>
              <w:rPr>
                <w:sz w:val="20"/>
                <w:szCs w:val="20"/>
                <w:color w:val="auto"/>
              </w:rPr>
            </w:pPr>
            <w:r>
              <w:rPr>
                <w:rFonts w:ascii="Arial" w:cs="Arial" w:eastAsia="Arial" w:hAnsi="Arial"/>
                <w:sz w:val="18"/>
                <w:szCs w:val="18"/>
                <w:color w:val="auto"/>
              </w:rPr>
              <w:t>35.94</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4th quarter</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37.60</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37.27</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1st quarter</w:t>
            </w:r>
          </w:p>
        </w:tc>
        <w:tc>
          <w:tcPr>
            <w:tcW w:w="2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43.95</w:t>
            </w:r>
          </w:p>
        </w:tc>
        <w:tc>
          <w:tcPr>
            <w:tcW w:w="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43.96</w:t>
            </w:r>
          </w:p>
        </w:tc>
        <w:tc>
          <w:tcPr>
            <w:tcW w:w="6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2nd quarter</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48.13</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36.53</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38"/>
              <w:spacing w:after="0"/>
              <w:rPr>
                <w:sz w:val="20"/>
                <w:szCs w:val="20"/>
                <w:color w:val="auto"/>
              </w:rPr>
            </w:pPr>
            <w:r>
              <w:rPr>
                <w:rFonts w:ascii="Arial" w:cs="Arial" w:eastAsia="Arial" w:hAnsi="Arial"/>
                <w:sz w:val="18"/>
                <w:szCs w:val="18"/>
                <w:color w:val="auto"/>
              </w:rPr>
              <w:t>49.75</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3rd quarter</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46.93</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46.95</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4th quarter</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44.67</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36.98</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38"/>
              <w:spacing w:after="0"/>
              <w:rPr>
                <w:sz w:val="20"/>
                <w:szCs w:val="20"/>
                <w:color w:val="auto"/>
              </w:rPr>
            </w:pPr>
            <w:r>
              <w:rPr>
                <w:rFonts w:ascii="Arial" w:cs="Arial" w:eastAsia="Arial" w:hAnsi="Arial"/>
                <w:sz w:val="18"/>
                <w:szCs w:val="18"/>
                <w:color w:val="auto"/>
              </w:rPr>
              <w:t>44.62</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4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-1943735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-1943735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-1943735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-1943735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-1540510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firstLine="348"/>
        <w:spacing w:after="0" w:line="332" w:lineRule="auto"/>
        <w:rPr>
          <w:sz w:val="20"/>
          <w:szCs w:val="20"/>
          <w:color w:val="auto"/>
        </w:rPr>
      </w:pPr>
      <w:r>
        <w:rPr>
          <w:rFonts w:ascii="Arial" w:cs="Arial" w:eastAsia="Arial" w:hAnsi="Arial"/>
          <w:sz w:val="16"/>
          <w:szCs w:val="16"/>
          <w:color w:val="auto"/>
        </w:rPr>
        <w:t>Viacom declared a quarterly cash dividend on its common stock during the first three quarters of 2004 of $.06 per share and during the fourth quarter of 2004 of $.07 per share. During the third and fourth quarters of 2003, Viacom declared a quarterly cash dividend of $.06 per share.</w:t>
      </w:r>
    </w:p>
    <w:p>
      <w:pPr>
        <w:spacing w:after="0" w:line="139"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of March 1, 2005, there were 4,793 record holders of Viacom Inc. Class A Common Stock and 59,597 record holders of Viacom Inc. Class B Common Stock.</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Information required by this item is also contained in the Viacom Inc. Proxy Statement for the Company's 2005 Annual Meeting of Stockholders under the heading "Equity Compensation Plan Information", which information is incorporated herein by reference.</w:t>
      </w:r>
    </w:p>
    <w:p>
      <w:pPr>
        <w:spacing w:after="0" w:line="18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Below is a summary of Viacom Inc.'s purchases of its Class B Common Stock during the three months ended December 31, 2004 under its $8 billion stock purchase program publicly announced on October 28, 2004 under which the Company is authorized to acquire from time to time up to $8 billion in Viacom Class A Common Stock and non-voting Class B Common Stock. This program succeeded and replaced the Company's $3 billion stock purchase program announced in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200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Total Number of</w:t>
            </w: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Average Price</w:t>
            </w: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Total Cost</w:t>
            </w:r>
          </w:p>
        </w:tc>
        <w:tc>
          <w:tcPr>
            <w:tcW w:w="500" w:type="dxa"/>
            <w:vAlign w:val="bottom"/>
          </w:tcPr>
          <w:p>
            <w:pPr>
              <w:spacing w:after="0"/>
              <w:rPr>
                <w:sz w:val="15"/>
                <w:szCs w:val="15"/>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000" w:type="dxa"/>
            <w:vAlign w:val="bottom"/>
          </w:tcPr>
          <w:p>
            <w:pPr>
              <w:jc w:val="right"/>
              <w:ind w:right="199"/>
              <w:spacing w:after="0"/>
              <w:rPr>
                <w:sz w:val="20"/>
                <w:szCs w:val="20"/>
                <w:color w:val="auto"/>
              </w:rPr>
            </w:pPr>
            <w:r>
              <w:rPr>
                <w:rFonts w:ascii="Arial" w:cs="Arial" w:eastAsia="Arial" w:hAnsi="Arial"/>
                <w:sz w:val="14"/>
                <w:szCs w:val="14"/>
                <w:b w:val="1"/>
                <w:bCs w:val="1"/>
                <w:color w:val="auto"/>
              </w:rPr>
              <w:t>Shares Purchased</w:t>
            </w:r>
          </w:p>
        </w:tc>
        <w:tc>
          <w:tcPr>
            <w:tcW w:w="1440" w:type="dxa"/>
            <w:vAlign w:val="bottom"/>
          </w:tcPr>
          <w:p>
            <w:pPr>
              <w:jc w:val="right"/>
              <w:ind w:right="39"/>
              <w:spacing w:after="0"/>
              <w:rPr>
                <w:sz w:val="20"/>
                <w:szCs w:val="20"/>
                <w:color w:val="auto"/>
              </w:rPr>
            </w:pPr>
            <w:r>
              <w:rPr>
                <w:rFonts w:ascii="Arial" w:cs="Arial" w:eastAsia="Arial" w:hAnsi="Arial"/>
                <w:sz w:val="14"/>
                <w:szCs w:val="14"/>
                <w:b w:val="1"/>
                <w:bCs w:val="1"/>
                <w:color w:val="auto"/>
              </w:rPr>
              <w:t>Per Share</w:t>
            </w: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ind w:right="539"/>
              <w:spacing w:after="0"/>
              <w:rPr>
                <w:sz w:val="20"/>
                <w:szCs w:val="20"/>
                <w:color w:val="auto"/>
              </w:rPr>
            </w:pPr>
            <w:r>
              <w:rPr>
                <w:rFonts w:ascii="Arial" w:cs="Arial" w:eastAsia="Arial" w:hAnsi="Arial"/>
                <w:sz w:val="14"/>
                <w:szCs w:val="14"/>
                <w:b w:val="1"/>
                <w:bCs w:val="1"/>
                <w:color w:val="auto"/>
              </w:rPr>
              <w:t>of Purchase</w:t>
            </w:r>
          </w:p>
        </w:tc>
        <w:tc>
          <w:tcPr>
            <w:tcW w:w="50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Authorization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October 1, 2004–October 31, 2004</w:t>
            </w:r>
          </w:p>
        </w:tc>
        <w:tc>
          <w:tcPr>
            <w:tcW w:w="20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3.1</w:t>
            </w:r>
          </w:p>
        </w:tc>
        <w:tc>
          <w:tcPr>
            <w:tcW w:w="144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4"/>
              </w:rPr>
              <w:t>36.25</w:t>
            </w:r>
          </w:p>
        </w:tc>
        <w:tc>
          <w:tcPr>
            <w:tcW w:w="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110.7</w:t>
            </w: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November 1, 2004–November 30, 2004</w:t>
            </w:r>
          </w:p>
        </w:tc>
        <w:tc>
          <w:tcPr>
            <w:tcW w:w="2000" w:type="dxa"/>
            <w:vAlign w:val="bottom"/>
          </w:tcPr>
          <w:p>
            <w:pPr>
              <w:jc w:val="right"/>
              <w:ind w:right="139"/>
              <w:spacing w:after="0"/>
              <w:rPr>
                <w:sz w:val="20"/>
                <w:szCs w:val="20"/>
                <w:color w:val="auto"/>
              </w:rPr>
            </w:pPr>
            <w:r>
              <w:rPr>
                <w:rFonts w:ascii="Arial" w:cs="Arial" w:eastAsia="Arial" w:hAnsi="Arial"/>
                <w:sz w:val="18"/>
                <w:szCs w:val="18"/>
                <w:color w:val="auto"/>
              </w:rPr>
              <w:t>39.1</w:t>
            </w:r>
          </w:p>
        </w:tc>
        <w:tc>
          <w:tcPr>
            <w:tcW w:w="1440" w:type="dxa"/>
            <w:vAlign w:val="bottom"/>
          </w:tcPr>
          <w:p>
            <w:pPr>
              <w:jc w:val="right"/>
              <w:ind w:right="1039"/>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36.03</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9"/>
              <w:spacing w:after="0"/>
              <w:rPr>
                <w:sz w:val="20"/>
                <w:szCs w:val="20"/>
                <w:color w:val="auto"/>
              </w:rPr>
            </w:pPr>
            <w:r>
              <w:rPr>
                <w:rFonts w:ascii="Arial" w:cs="Arial" w:eastAsia="Arial" w:hAnsi="Arial"/>
                <w:sz w:val="18"/>
                <w:szCs w:val="18"/>
                <w:color w:val="auto"/>
              </w:rPr>
              <w:t>1,408.6</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6,480.7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December 1, 2004–December 31, 2004</w:t>
            </w:r>
          </w:p>
        </w:tc>
        <w:tc>
          <w:tcPr>
            <w:tcW w:w="20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12.4</w:t>
            </w:r>
          </w:p>
        </w:tc>
        <w:tc>
          <w:tcPr>
            <w:tcW w:w="144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4"/>
              </w:rPr>
              <w:t>35.74</w:t>
            </w:r>
          </w:p>
        </w:tc>
        <w:tc>
          <w:tcPr>
            <w:tcW w:w="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444.7</w:t>
            </w: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0" w:type="dxa"/>
            <w:vAlign w:val="bottom"/>
          </w:tcPr>
          <w:p>
            <w:pPr>
              <w:jc w:val="right"/>
              <w:ind w:right="139"/>
              <w:spacing w:after="0"/>
              <w:rPr>
                <w:sz w:val="20"/>
                <w:szCs w:val="20"/>
                <w:color w:val="auto"/>
              </w:rPr>
            </w:pPr>
            <w:r>
              <w:rPr>
                <w:rFonts w:ascii="Arial" w:cs="Arial" w:eastAsia="Arial" w:hAnsi="Arial"/>
                <w:sz w:val="18"/>
                <w:szCs w:val="18"/>
                <w:color w:val="auto"/>
              </w:rPr>
              <w:t>54.6</w:t>
            </w:r>
          </w:p>
        </w:tc>
        <w:tc>
          <w:tcPr>
            <w:tcW w:w="1440" w:type="dxa"/>
            <w:vAlign w:val="bottom"/>
          </w:tcPr>
          <w:p>
            <w:pPr>
              <w:jc w:val="right"/>
              <w:ind w:right="1039"/>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35.97</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9"/>
              <w:spacing w:after="0"/>
              <w:rPr>
                <w:sz w:val="20"/>
                <w:szCs w:val="20"/>
                <w:color w:val="auto"/>
              </w:rPr>
            </w:pPr>
            <w:r>
              <w:rPr>
                <w:rFonts w:ascii="Arial" w:cs="Arial" w:eastAsia="Arial" w:hAnsi="Arial"/>
                <w:sz w:val="18"/>
                <w:szCs w:val="18"/>
                <w:color w:val="auto"/>
              </w:rPr>
              <w:t>1,964.0</w:t>
            </w: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-871855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connection with the exchange offer for the split-off of Blockbuster Inc., Viacom accepted 0.6 million shares of Viacom Class A and 27.4 million shares of Viacom Class B Common Stock in exchange for the 144 million shares of Blockbuster Inc. that Viacom owned.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VIACOM INC. AND SUBSIDIARIES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0501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01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31,(a)</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393"/>
              <w:spacing w:after="0"/>
              <w:rPr>
                <w:sz w:val="20"/>
                <w:szCs w:val="20"/>
                <w:color w:val="auto"/>
              </w:rPr>
            </w:pPr>
            <w:r>
              <w:rPr>
                <w:rFonts w:ascii="Arial" w:cs="Arial" w:eastAsia="Arial" w:hAnsi="Arial"/>
                <w:sz w:val="14"/>
                <w:szCs w:val="14"/>
                <w:b w:val="1"/>
                <w:bCs w:val="1"/>
                <w:color w:val="auto"/>
              </w:rPr>
              <w:t>2004(b)(c)</w:t>
            </w:r>
          </w:p>
        </w:tc>
        <w:tc>
          <w:tcPr>
            <w:tcW w:w="340" w:type="dxa"/>
            <w:vAlign w:val="bottom"/>
          </w:tcPr>
          <w:p>
            <w:pPr>
              <w:spacing w:after="0"/>
              <w:rPr>
                <w:sz w:val="23"/>
                <w:szCs w:val="23"/>
                <w:color w:val="auto"/>
              </w:rPr>
            </w:pPr>
          </w:p>
        </w:tc>
        <w:tc>
          <w:tcPr>
            <w:tcW w:w="1120" w:type="dxa"/>
            <w:vAlign w:val="bottom"/>
          </w:tcPr>
          <w:p>
            <w:pPr>
              <w:jc w:val="right"/>
              <w:ind w:right="434"/>
              <w:spacing w:after="0"/>
              <w:rPr>
                <w:sz w:val="20"/>
                <w:szCs w:val="20"/>
                <w:color w:val="auto"/>
              </w:rPr>
            </w:pPr>
            <w:r>
              <w:rPr>
                <w:rFonts w:ascii="Arial" w:cs="Arial" w:eastAsia="Arial" w:hAnsi="Arial"/>
                <w:sz w:val="14"/>
                <w:szCs w:val="14"/>
                <w:b w:val="1"/>
                <w:bCs w:val="1"/>
                <w:color w:val="auto"/>
              </w:rPr>
              <w:t>2003(b)</w:t>
            </w:r>
          </w:p>
        </w:tc>
        <w:tc>
          <w:tcPr>
            <w:tcW w:w="360" w:type="dxa"/>
            <w:vAlign w:val="bottom"/>
          </w:tcPr>
          <w:p>
            <w:pPr>
              <w:spacing w:after="0"/>
              <w:rPr>
                <w:sz w:val="23"/>
                <w:szCs w:val="23"/>
                <w:color w:val="auto"/>
              </w:rPr>
            </w:pPr>
          </w:p>
        </w:tc>
        <w:tc>
          <w:tcPr>
            <w:tcW w:w="1200" w:type="dxa"/>
            <w:vAlign w:val="bottom"/>
          </w:tcPr>
          <w:p>
            <w:pPr>
              <w:jc w:val="right"/>
              <w:ind w:right="513"/>
              <w:spacing w:after="0"/>
              <w:rPr>
                <w:sz w:val="20"/>
                <w:szCs w:val="20"/>
                <w:color w:val="auto"/>
              </w:rPr>
            </w:pPr>
            <w:r>
              <w:rPr>
                <w:rFonts w:ascii="Arial" w:cs="Arial" w:eastAsia="Arial" w:hAnsi="Arial"/>
                <w:sz w:val="14"/>
                <w:szCs w:val="14"/>
                <w:b w:val="1"/>
                <w:bCs w:val="1"/>
                <w:color w:val="auto"/>
              </w:rPr>
              <w:t>2002(b)</w:t>
            </w:r>
          </w:p>
        </w:tc>
        <w:tc>
          <w:tcPr>
            <w:tcW w:w="300" w:type="dxa"/>
            <w:vAlign w:val="bottom"/>
          </w:tcPr>
          <w:p>
            <w:pPr>
              <w:spacing w:after="0"/>
              <w:rPr>
                <w:sz w:val="23"/>
                <w:szCs w:val="23"/>
                <w:color w:val="auto"/>
              </w:rPr>
            </w:pPr>
          </w:p>
        </w:tc>
        <w:tc>
          <w:tcPr>
            <w:tcW w:w="1080" w:type="dxa"/>
            <w:vAlign w:val="bottom"/>
          </w:tcPr>
          <w:p>
            <w:pPr>
              <w:jc w:val="right"/>
              <w:ind w:right="533"/>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3"/>
                <w:szCs w:val="23"/>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2000(d)(e)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22,525.9</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20,827.6</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19,186.8</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18,240.4</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Operating income (loss)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(12,969.0)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4,473.6</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4,240.9</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1,679.8</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from continuing operations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(15,059.5)</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2,237.8</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2,042.0</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earnings (loss) before cumulative effect of</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0" w:type="dxa"/>
            <w:vAlign w:val="bottom"/>
            <w:gridSpan w:val="2"/>
          </w:tcPr>
          <w:p>
            <w:pPr>
              <w:spacing w:after="0"/>
              <w:rPr>
                <w:sz w:val="20"/>
                <w:szCs w:val="20"/>
                <w:color w:val="auto"/>
              </w:rPr>
            </w:pPr>
            <w:r>
              <w:rPr>
                <w:rFonts w:ascii="Arial" w:cs="Arial" w:eastAsia="Arial" w:hAnsi="Arial"/>
                <w:sz w:val="18"/>
                <w:szCs w:val="18"/>
                <w:color w:val="auto"/>
              </w:rPr>
              <w:t>accounting change</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(16,149.8)</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1,435.4</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2,206.6</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(223.5)</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(17,462.2)</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1,416.9</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725.7</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(816.1)</w:t>
            </w:r>
          </w:p>
        </w:tc>
        <w:tc>
          <w:tcPr>
            <w:tcW w:w="0" w:type="dxa"/>
            <w:vAlign w:val="bottom"/>
          </w:tcPr>
          <w:p>
            <w:pPr>
              <w:spacing w:after="0"/>
              <w:rPr>
                <w:sz w:val="1"/>
                <w:szCs w:val="1"/>
                <w:color w:val="auto"/>
              </w:rPr>
            </w:pPr>
          </w:p>
        </w:tc>
      </w:tr>
      <w:tr>
        <w:trPr>
          <w:trHeight w:val="431"/>
        </w:trPr>
        <w:tc>
          <w:tcPr>
            <w:tcW w:w="3800" w:type="dxa"/>
            <w:vAlign w:val="bottom"/>
            <w:gridSpan w:val="2"/>
          </w:tcPr>
          <w:p>
            <w:pPr>
              <w:spacing w:after="0"/>
              <w:rPr>
                <w:sz w:val="20"/>
                <w:szCs w:val="20"/>
                <w:color w:val="auto"/>
              </w:rPr>
            </w:pPr>
            <w:r>
              <w:rPr>
                <w:rFonts w:ascii="Arial" w:cs="Arial" w:eastAsia="Arial" w:hAnsi="Arial"/>
                <w:sz w:val="18"/>
                <w:szCs w:val="18"/>
                <w:color w:val="auto"/>
              </w:rPr>
              <w:t>Basic earnings (loss) per common share: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Net earnings(loss) from continuing operations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w w:val="96"/>
              </w:rPr>
              <w:t>Net earnings (loss) before cumulative effect of</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accounting change</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(9.42)</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.82</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1.26</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 (loss)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.81</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31"/>
        </w:trPr>
        <w:tc>
          <w:tcPr>
            <w:tcW w:w="3800" w:type="dxa"/>
            <w:vAlign w:val="bottom"/>
            <w:gridSpan w:val="2"/>
          </w:tcPr>
          <w:p>
            <w:pPr>
              <w:spacing w:after="0"/>
              <w:rPr>
                <w:sz w:val="20"/>
                <w:szCs w:val="20"/>
                <w:color w:val="auto"/>
              </w:rPr>
            </w:pPr>
            <w:r>
              <w:rPr>
                <w:rFonts w:ascii="Arial" w:cs="Arial" w:eastAsia="Arial" w:hAnsi="Arial"/>
                <w:sz w:val="18"/>
                <w:szCs w:val="18"/>
                <w:color w:val="auto"/>
              </w:rPr>
              <w:t>Diluted earnings (loss) per common share: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Net earnings (loss) from continuing operations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1.27</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w w:val="96"/>
              </w:rPr>
              <w:t>Net earnings (loss) before cumulative effect of</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accounting change</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(9.42)</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.82</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1.24</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 (loss)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31"/>
        </w:trPr>
        <w:tc>
          <w:tcPr>
            <w:tcW w:w="3800" w:type="dxa"/>
            <w:vAlign w:val="bottom"/>
            <w:gridSpan w:val="2"/>
          </w:tcPr>
          <w:p>
            <w:pPr>
              <w:spacing w:after="0"/>
              <w:rPr>
                <w:sz w:val="20"/>
                <w:szCs w:val="20"/>
                <w:color w:val="auto"/>
              </w:rPr>
            </w:pPr>
            <w:r>
              <w:rPr>
                <w:rFonts w:ascii="Arial" w:cs="Arial" w:eastAsia="Arial" w:hAnsi="Arial"/>
                <w:sz w:val="18"/>
                <w:szCs w:val="18"/>
                <w:color w:val="auto"/>
              </w:rPr>
              <w:t>Dividends per common share(f)</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..25</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At Year End:</w:t>
            </w: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68,002.3</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90,225.5</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90,496.9</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91,343.7</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from continuing operations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9,715.0</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9,659.6</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9,862.7</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10,394.9</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w w:val="98"/>
              </w:rPr>
              <w:t>Long-term debt from discontinued operations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202.0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421.6</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743.2</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1,080.7</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stockholders' equity</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42,024.3</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63,205.0</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62,487.8</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62,716.8</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47,966.9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-3984625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-3984625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-3736340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-3736340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ind w:left="540" w:right="80" w:firstLine="278"/>
        <w:spacing w:after="0" w:line="239" w:lineRule="auto"/>
        <w:tabs>
          <w:tab w:leader="none" w:pos="994"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2004, the exchange offer for the split-off of Blockbuster was completed and Blockbuster is presented as a discontinued operation. All prior periods have been reclassified to conform to this presentation.</w:t>
      </w:r>
    </w:p>
    <w:p>
      <w:pPr>
        <w:spacing w:after="0" w:line="192" w:lineRule="exact"/>
        <w:rPr>
          <w:rFonts w:ascii="Arial" w:cs="Arial" w:eastAsia="Arial" w:hAnsi="Arial"/>
          <w:sz w:val="14"/>
          <w:szCs w:val="14"/>
          <w:color w:val="auto"/>
        </w:rPr>
      </w:pPr>
    </w:p>
    <w:p>
      <w:pPr>
        <w:ind w:left="1000" w:hanging="182"/>
        <w:spacing w:after="0"/>
        <w:tabs>
          <w:tab w:leader="none" w:pos="1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SFAS No. 142, "Goodwill and Other Intangible Assets" ("SFAS 142") was adopted in 2002. In 2004, as a result of the Company's annual goodwill impairment test, a non-cash charge of</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$18.0 billion, or $10.43 per diluted share, was recorded to reduce the carrying amount of Radio and Outdoor goodwill and intangibles to their respective estimated fair values.</w:t>
      </w:r>
    </w:p>
    <w:p>
      <w:pPr>
        <w:spacing w:after="0" w:line="192" w:lineRule="exact"/>
        <w:rPr>
          <w:sz w:val="20"/>
          <w:szCs w:val="20"/>
          <w:color w:val="auto"/>
        </w:rPr>
      </w:pPr>
    </w:p>
    <w:p>
      <w:pPr>
        <w:ind w:left="540" w:firstLine="278"/>
        <w:spacing w:after="0" w:line="318" w:lineRule="auto"/>
        <w:tabs>
          <w:tab w:leader="none" w:pos="986" w:val="left"/>
        </w:tabs>
        <w:numPr>
          <w:ilvl w:val="0"/>
          <w:numId w:val="7"/>
        </w:numPr>
        <w:rPr>
          <w:rFonts w:ascii="Arial" w:cs="Arial" w:eastAsia="Arial" w:hAnsi="Arial"/>
          <w:sz w:val="12"/>
          <w:szCs w:val="12"/>
          <w:color w:val="auto"/>
        </w:rPr>
      </w:pPr>
      <w:r>
        <w:rPr>
          <w:rFonts w:ascii="Arial" w:cs="Arial" w:eastAsia="Arial" w:hAnsi="Arial"/>
          <w:sz w:val="12"/>
          <w:szCs w:val="12"/>
          <w:color w:val="auto"/>
        </w:rPr>
        <w:t>As a result of the initial adoption of Emerging Issues Task Force Topic No. D-108 "Use of Residual Method to Value Acquired Assets Other than Goodwill", the Company recorded an after-tax charge of $1.3 billion, or $.77 per diluted share, as a cumulative effect of accounting change, to reduce the intangible balances attributable to television stations FCC licenses.</w:t>
      </w:r>
    </w:p>
    <w:p>
      <w:pPr>
        <w:spacing w:after="0" w:line="147" w:lineRule="exact"/>
        <w:rPr>
          <w:rFonts w:ascii="Arial" w:cs="Arial" w:eastAsia="Arial" w:hAnsi="Arial"/>
          <w:sz w:val="12"/>
          <w:szCs w:val="12"/>
          <w:color w:val="auto"/>
        </w:rPr>
      </w:pPr>
    </w:p>
    <w:p>
      <w:pPr>
        <w:ind w:left="540" w:right="460" w:firstLine="278"/>
        <w:spacing w:after="0" w:line="239" w:lineRule="auto"/>
        <w:tabs>
          <w:tab w:leader="none" w:pos="994"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a result of the adoption of Statement of Position 00-2, "Accounting by Producers or Distributors of Films", the Company recorded a non-cash after-tax charge of $452.3 million as a cumulative effect of accounting change.</w:t>
      </w:r>
    </w:p>
    <w:p>
      <w:pPr>
        <w:spacing w:after="0" w:line="192" w:lineRule="exact"/>
        <w:rPr>
          <w:rFonts w:ascii="Arial" w:cs="Arial" w:eastAsia="Arial" w:hAnsi="Arial"/>
          <w:sz w:val="14"/>
          <w:szCs w:val="14"/>
          <w:color w:val="auto"/>
        </w:rPr>
      </w:pPr>
    </w:p>
    <w:p>
      <w:pPr>
        <w:ind w:left="1000" w:hanging="182"/>
        <w:spacing w:after="0"/>
        <w:tabs>
          <w:tab w:leader="none" w:pos="1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On May 4, 2000, CBS Corporation merged with and into Viacom Inc., and effective from that date, its results of operations are included in the consolidated financial results of the Company.</w:t>
      </w:r>
    </w:p>
    <w:p>
      <w:pPr>
        <w:spacing w:after="0" w:line="226" w:lineRule="exact"/>
        <w:rPr>
          <w:rFonts w:ascii="Arial" w:cs="Arial" w:eastAsia="Arial" w:hAnsi="Arial"/>
          <w:sz w:val="12"/>
          <w:szCs w:val="12"/>
          <w:color w:val="auto"/>
        </w:rPr>
      </w:pPr>
    </w:p>
    <w:p>
      <w:pPr>
        <w:ind w:left="540" w:right="140" w:firstLine="278"/>
        <w:spacing w:after="0" w:line="239" w:lineRule="auto"/>
        <w:tabs>
          <w:tab w:leader="none" w:pos="97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announced a quarterly cash dividend of $.06 per share on its common stock during the first three quarters of 2004 and a cash dividend of $.07 per share in the fourth quarter of 2004. A quarterly cash dividend of $.06 per share was declared during the third and fourth quarter of 2003.</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6" w:name="page37"/>
    <w:bookmarkEnd w:id="36"/>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Results of Operations and Financial Condition.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(Tabular dollars in millions)</w:t>
      </w:r>
    </w:p>
    <w:p>
      <w:pPr>
        <w:spacing w:after="0" w:line="219"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Management's discussion and analysis of the results of operations and financial condition should be read in conjunction with the Consolidated Financial Statements and related Notes. Descriptions of all documents incorporated by reference herein or included as exhibits hereto are qualified in their entirety by reference to the full text of such documents so incorporated or included.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On March 16, 2005, Viacom announced that it has been exploring the possible division of its businesses into separate publicly-traded companies, one of which would highlight Viacom's high-growth businesses such as MTV Networks and would be operated by Tom Freston, and one of which would combine its leading CBS broadcast television businesses, growing outdoor business and high free cash flow operations such as radio, which would be operated by Leslie Moonves. Viacom expects to announce further details regarding the possible separation in the second quarter of 2005. No assurance can be given that any transaction will be consummated.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Viacom Inc., together with its consolidated subsidiaries ("Viacom" or the "Company") is a diversified worldwide entertainment company. Revenues for 2004 increased $1.7 billion, or 8%, to $22.5 billion from $20.8 billion in 2003. Advertising revenues increased $1.4 billion, or 11%, led by growth of 21% in Cable Networks and 11% in Television. Viacom reported an operating loss of $13.0 billion versus operating income of $4.5 billion in the prior year. Full year 2004 net loss from continuing operations was $15.1 billion, or a loss of $8.78 per diluted share, compared with net earnings from continuing operations of $2.2 billion, or $1.27 per diluted share, for 2003.</w:t>
      </w:r>
    </w:p>
    <w:p>
      <w:pPr>
        <w:spacing w:after="0" w:line="197" w:lineRule="exact"/>
        <w:rPr>
          <w:sz w:val="20"/>
          <w:szCs w:val="20"/>
          <w:color w:val="auto"/>
        </w:rPr>
      </w:pPr>
    </w:p>
    <w:p>
      <w:pPr>
        <w:ind w:right="400" w:firstLine="351"/>
        <w:spacing w:after="0" w:line="255" w:lineRule="auto"/>
        <w:rPr>
          <w:sz w:val="20"/>
          <w:szCs w:val="20"/>
          <w:color w:val="auto"/>
        </w:rPr>
      </w:pPr>
      <w:r>
        <w:rPr>
          <w:rFonts w:ascii="Arial" w:cs="Arial" w:eastAsia="Arial" w:hAnsi="Arial"/>
          <w:sz w:val="18"/>
          <w:szCs w:val="18"/>
          <w:color w:val="auto"/>
        </w:rPr>
        <w:t>Full year 2004 results included a non-cash impairment charge of $18.0 billion, or $10.43 per diluted share, to reduce the carrying amount of Radio and Outdoor goodwill and intangibles to their respective estimated fair value in accordance with Statement of Financial Accounting Standards ("SFAS") 142 "Goodwill and Other Intangible Assets" ("SFAS 142"). Full year 2004 results also included a second quarter severance charge of $56.2 million, or $.02 per diluted share, due to management changes, and the recognition of a tax benefit of $205.4 million, or $.12 per diluted share, principally from the resolution of income tax audits.</w:t>
      </w:r>
    </w:p>
    <w:p>
      <w:pPr>
        <w:spacing w:after="0" w:line="197"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For all periods presented, Blockbuster Inc. has been reported as a discontinued operation as the exchange offer for its split-off from the Company was completed in 2004. Prior period information has been reclassified to conform to this new presentation.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Viacom operates with the following segments:</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CABLE NETWORKS: The Cable Networks segment consists of </w:t>
      </w:r>
      <w:r>
        <w:rPr>
          <w:rFonts w:ascii="Arial" w:cs="Arial" w:eastAsia="Arial" w:hAnsi="Arial"/>
          <w:sz w:val="16"/>
          <w:szCs w:val="16"/>
          <w:i w:val="1"/>
          <w:iCs w:val="1"/>
          <w:color w:val="auto"/>
        </w:rPr>
        <w:t>MTV Music Television, Nickelodeon, Nick At Nite, VH1, MTV2, TV Land, Spike</w:t>
      </w:r>
    </w:p>
    <w:p>
      <w:pPr>
        <w:spacing w:after="0" w:line="38" w:lineRule="exact"/>
        <w:rPr>
          <w:rFonts w:ascii="Arial" w:cs="Arial" w:eastAsia="Arial" w:hAnsi="Arial"/>
          <w:sz w:val="16"/>
          <w:szCs w:val="16"/>
          <w:color w:val="auto"/>
        </w:rPr>
      </w:pPr>
    </w:p>
    <w:p>
      <w:pPr>
        <w:jc w:val="both"/>
        <w:ind w:left="1080" w:right="260"/>
        <w:spacing w:after="0" w:line="255" w:lineRule="auto"/>
        <w:rPr>
          <w:rFonts w:ascii="Arial" w:cs="Arial" w:eastAsia="Arial" w:hAnsi="Arial"/>
          <w:sz w:val="16"/>
          <w:szCs w:val="16"/>
          <w:color w:val="auto"/>
        </w:rPr>
      </w:pPr>
      <w:r>
        <w:rPr>
          <w:rFonts w:ascii="Arial" w:cs="Arial" w:eastAsia="Arial" w:hAnsi="Arial"/>
          <w:sz w:val="18"/>
          <w:szCs w:val="18"/>
          <w:i w:val="1"/>
          <w:iCs w:val="1"/>
          <w:color w:val="auto"/>
        </w:rPr>
        <w:t xml:space="preserve">TV, CMT: Country Music Television, Comedy Central, BET, BET Jazz, </w:t>
      </w:r>
      <w:r>
        <w:rPr>
          <w:rFonts w:ascii="Arial" w:cs="Arial" w:eastAsia="Arial" w:hAnsi="Arial"/>
          <w:sz w:val="18"/>
          <w:szCs w:val="18"/>
          <w:color w:val="auto"/>
        </w:rPr>
        <w:t>and</w:t>
      </w:r>
      <w:r>
        <w:rPr>
          <w:rFonts w:ascii="Arial" w:cs="Arial" w:eastAsia="Arial" w:hAnsi="Arial"/>
          <w:sz w:val="18"/>
          <w:szCs w:val="18"/>
          <w:i w:val="1"/>
          <w:iCs w:val="1"/>
          <w:color w:val="auto"/>
        </w:rPr>
        <w:t xml:space="preserve"> Showtime</w:t>
      </w:r>
      <w:r>
        <w:rPr>
          <w:rFonts w:ascii="Arial" w:cs="Arial" w:eastAsia="Arial" w:hAnsi="Arial"/>
          <w:sz w:val="18"/>
          <w:szCs w:val="18"/>
          <w:color w:val="auto"/>
        </w:rPr>
        <w:t>, among other program services. Cable Networks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are generated primarily from advertising sales and affiliate fees. Cable Networks contributed 29%, 27% and 25%, respectively, to consolidated revenues for the years ended December 31, 2004, 2003 and 2002.</w:t>
      </w:r>
    </w:p>
    <w:p>
      <w:pPr>
        <w:spacing w:after="0" w:line="225"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TELEVISION: The Television segment consists of the CBS and UPN Television Networks, the Company's 39 owned broadcast television stations, and its television production and syndication business, including </w:t>
      </w:r>
      <w:r>
        <w:rPr>
          <w:rFonts w:ascii="Arial" w:cs="Arial" w:eastAsia="Arial" w:hAnsi="Arial"/>
          <w:sz w:val="18"/>
          <w:szCs w:val="18"/>
          <w:i w:val="1"/>
          <w:iCs w:val="1"/>
          <w:color w:val="auto"/>
        </w:rPr>
        <w:t>King World Productions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Paramount Television</w:t>
      </w:r>
      <w:r>
        <w:rPr>
          <w:rFonts w:ascii="Arial" w:cs="Arial" w:eastAsia="Arial" w:hAnsi="Arial"/>
          <w:sz w:val="18"/>
          <w:szCs w:val="18"/>
          <w:color w:val="auto"/>
        </w:rPr>
        <w:t>. Television revenues are generated primarily from advertising sales and television license fees. Television contributed 38%, 37% and 39%, respectively, to consolidated revenues for the years ended December 31, 2004, 2003 and 2002.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ind w:left="1080" w:right="20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RADIO: The Radio segment owns and operates 183 radio stations in 41 U.S. markets through </w:t>
      </w:r>
      <w:r>
        <w:rPr>
          <w:rFonts w:ascii="Arial" w:cs="Arial" w:eastAsia="Arial" w:hAnsi="Arial"/>
          <w:sz w:val="18"/>
          <w:szCs w:val="18"/>
          <w:i w:val="1"/>
          <w:iCs w:val="1"/>
          <w:color w:val="auto"/>
        </w:rPr>
        <w:t>Infinity Radio</w:t>
      </w:r>
      <w:r>
        <w:rPr>
          <w:rFonts w:ascii="Arial" w:cs="Arial" w:eastAsia="Arial" w:hAnsi="Arial"/>
          <w:sz w:val="18"/>
          <w:szCs w:val="18"/>
          <w:color w:val="auto"/>
        </w:rPr>
        <w:t>. Radio revenues are generated primarily from advertising sales. Radio contributed 9%, 10% and 11%, respectively, to consolidated revenues for the years ended December 31, 2004, 2003 and 2002.</w:t>
      </w:r>
    </w:p>
    <w:p>
      <w:pPr>
        <w:spacing w:after="0" w:line="221" w:lineRule="exact"/>
        <w:rPr>
          <w:rFonts w:ascii="Arial" w:cs="Arial" w:eastAsia="Arial" w:hAnsi="Arial"/>
          <w:sz w:val="18"/>
          <w:szCs w:val="18"/>
          <w:color w:val="auto"/>
        </w:rPr>
      </w:pPr>
    </w:p>
    <w:p>
      <w:pPr>
        <w:ind w:left="1080" w:right="320" w:hanging="532"/>
        <w:spacing w:after="0" w:line="25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OUTDOOR: The Outdoor segment through </w:t>
      </w:r>
      <w:r>
        <w:rPr>
          <w:rFonts w:ascii="Arial" w:cs="Arial" w:eastAsia="Arial" w:hAnsi="Arial"/>
          <w:sz w:val="18"/>
          <w:szCs w:val="18"/>
          <w:i w:val="1"/>
          <w:iCs w:val="1"/>
          <w:color w:val="auto"/>
        </w:rPr>
        <w:t>Viacom Outdoor</w:t>
      </w:r>
      <w:r>
        <w:rPr>
          <w:rFonts w:ascii="Arial" w:cs="Arial" w:eastAsia="Arial" w:hAnsi="Arial"/>
          <w:sz w:val="18"/>
          <w:szCs w:val="18"/>
          <w:color w:val="auto"/>
        </w:rPr>
        <w:t xml:space="preserve"> displays advertising on media including billboards, transit shelters, buses, rail systems (in-car, station platforms and terminals), mall kiosks and stadium signage. Outdoor revenues are generated primarily from advertising sales. Outdoor contributed 8% to consolidated revenues for the years ended December 31, 2004 and 2003 and 9% for the year ended December 31, 2002.</w:t>
      </w:r>
    </w:p>
    <w:p>
      <w:pPr>
        <w:spacing w:after="0" w:line="210"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ENTERTAINMENT: The Entertainment segment includes </w:t>
      </w:r>
      <w:r>
        <w:rPr>
          <w:rFonts w:ascii="Arial" w:cs="Arial" w:eastAsia="Arial" w:hAnsi="Arial"/>
          <w:sz w:val="16"/>
          <w:szCs w:val="16"/>
          <w:i w:val="1"/>
          <w:iCs w:val="1"/>
          <w:color w:val="auto"/>
        </w:rPr>
        <w:t>Paramount Pictures</w:t>
      </w:r>
      <w:r>
        <w:rPr>
          <w:rFonts w:ascii="Arial" w:cs="Arial" w:eastAsia="Arial" w:hAnsi="Arial"/>
          <w:sz w:val="16"/>
          <w:szCs w:val="16"/>
          <w:color w:val="auto"/>
        </w:rPr>
        <w:t xml:space="preserve">, which produces and distributes theatrical motion pictures; </w:t>
      </w:r>
      <w:r>
        <w:rPr>
          <w:rFonts w:ascii="Arial" w:cs="Arial" w:eastAsia="Arial" w:hAnsi="Arial"/>
          <w:sz w:val="16"/>
          <w:szCs w:val="16"/>
          <w:i w:val="1"/>
          <w:iCs w:val="1"/>
          <w:color w:val="auto"/>
        </w:rPr>
        <w:t>Simon &amp; Schuster</w:t>
      </w:r>
      <w:r>
        <w:rPr>
          <w:rFonts w:ascii="Arial" w:cs="Arial" w:eastAsia="Arial" w:hAnsi="Arial"/>
          <w:sz w:val="16"/>
          <w:szCs w:val="16"/>
          <w:color w:val="auto"/>
        </w:rPr>
        <w:t>, which publishes and distributes consumer books under imprints such as</w:t>
      </w:r>
      <w:r>
        <w:rPr>
          <w:rFonts w:ascii="Arial" w:cs="Arial" w:eastAsia="Arial" w:hAnsi="Arial"/>
          <w:sz w:val="16"/>
          <w:szCs w:val="16"/>
          <w:i w:val="1"/>
          <w:iCs w:val="1"/>
          <w:color w:val="auto"/>
        </w:rPr>
        <w:t xml:space="preserve"> Simon &amp; Schuster, Pocket Books, Scribner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Free Press</w:t>
      </w:r>
      <w:r>
        <w:rPr>
          <w:rFonts w:ascii="Arial" w:cs="Arial" w:eastAsia="Arial" w:hAnsi="Arial"/>
          <w:sz w:val="16"/>
          <w:szCs w:val="16"/>
          <w:color w:val="auto"/>
        </w:rPr>
        <w:t>;</w:t>
      </w:r>
      <w:r>
        <w:rPr>
          <w:rFonts w:ascii="Arial" w:cs="Arial" w:eastAsia="Arial" w:hAnsi="Arial"/>
          <w:sz w:val="16"/>
          <w:szCs w:val="16"/>
          <w:i w:val="1"/>
          <w:iCs w:val="1"/>
          <w:color w:val="auto"/>
        </w:rPr>
        <w:t xml:space="preserve"> Paramount Parks</w:t>
      </w:r>
      <w:r>
        <w:rPr>
          <w:rFonts w:ascii="Arial" w:cs="Arial" w:eastAsia="Arial" w:hAnsi="Arial"/>
          <w:sz w:val="16"/>
          <w:szCs w:val="16"/>
          <w:color w:val="auto"/>
        </w:rPr>
        <w:t>, which is principally engaged in the ownership and operation of five theme parks and a themed attraction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and Canada; and movie theater and music publishing operations. Entertainment revenues are generated primarily from feature film exploitation, publishing, theme park operations and movie theaters. Entertainment contributed 18%, 20% and 19%, respectively, to consolidated revenues for the years ended December 31, 2004, 2003 and 2002.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Operations—2004 vs. 2003 and 2003 vs.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tables below present the Company's consolidated revenues by type, net of intercompany eliminations, for each of the years ended December 31, 2004, 2003 and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002145"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02145"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4"/>
          </w:tcPr>
          <w:p>
            <w:pPr>
              <w:spacing w:after="0"/>
              <w:rPr>
                <w:sz w:val="20"/>
                <w:szCs w:val="20"/>
                <w:color w:val="auto"/>
              </w:rPr>
            </w:pPr>
            <w:r>
              <w:rPr>
                <w:rFonts w:ascii="Arial" w:cs="Arial" w:eastAsia="Arial" w:hAnsi="Arial"/>
                <w:sz w:val="14"/>
                <w:szCs w:val="14"/>
                <w:b w:val="1"/>
                <w:bCs w:val="1"/>
                <w:color w:val="auto"/>
              </w:rPr>
              <w:t>Revenues by Type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6"/>
              </w:rPr>
              <w:t>Increase/(Decrease)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Increase/(Decrease)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10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5"/>
                <w:szCs w:val="15"/>
                <w:color w:val="auto"/>
              </w:rPr>
            </w:pPr>
          </w:p>
        </w:tc>
        <w:tc>
          <w:tcPr>
            <w:tcW w:w="980" w:type="dxa"/>
            <w:vAlign w:val="bottom"/>
          </w:tcPr>
          <w:p>
            <w:pPr>
              <w:jc w:val="right"/>
              <w:ind w:right="49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040" w:type="dxa"/>
            <w:vAlign w:val="bottom"/>
          </w:tcPr>
          <w:p>
            <w:pPr>
              <w:jc w:val="right"/>
              <w:ind w:right="494"/>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134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 vs. 2003</w:t>
            </w: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jc w:val="right"/>
              <w:ind w:right="614"/>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2003 vs. 2002</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13,441.6</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12,088.6</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1,353.0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11,228.9</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859.7</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auto"/>
              </w:rPr>
              <w:t>Affiliate fees</w:t>
            </w:r>
          </w:p>
        </w:tc>
        <w:tc>
          <w:tcPr>
            <w:tcW w:w="40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2,634.8</w:t>
            </w:r>
          </w:p>
        </w:tc>
        <w:tc>
          <w:tcPr>
            <w:tcW w:w="40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2,407.7</w:t>
            </w:r>
          </w:p>
        </w:tc>
        <w:tc>
          <w:tcPr>
            <w:tcW w:w="380" w:type="dxa"/>
            <w:vAlign w:val="bottom"/>
          </w:tcPr>
          <w:p>
            <w:pPr>
              <w:spacing w:after="0"/>
              <w:rPr>
                <w:sz w:val="18"/>
                <w:szCs w:val="18"/>
                <w:color w:val="auto"/>
              </w:rPr>
            </w:pPr>
          </w:p>
        </w:tc>
        <w:tc>
          <w:tcPr>
            <w:tcW w:w="1340" w:type="dxa"/>
            <w:vAlign w:val="bottom"/>
          </w:tcPr>
          <w:p>
            <w:pPr>
              <w:jc w:val="right"/>
              <w:ind w:right="396"/>
              <w:spacing w:after="0"/>
              <w:rPr>
                <w:sz w:val="20"/>
                <w:szCs w:val="20"/>
                <w:color w:val="auto"/>
              </w:rPr>
            </w:pPr>
            <w:r>
              <w:rPr>
                <w:rFonts w:ascii="Arial" w:cs="Arial" w:eastAsia="Arial" w:hAnsi="Arial"/>
                <w:sz w:val="18"/>
                <w:szCs w:val="18"/>
                <w:color w:val="auto"/>
              </w:rPr>
              <w:t>227.1</w:t>
            </w: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8"/>
                <w:szCs w:val="18"/>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2,199.0</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208.7</w:t>
            </w:r>
          </w:p>
        </w:tc>
        <w:tc>
          <w:tcPr>
            <w:tcW w:w="4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Feature film exploitation</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2,205.6</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2,347.0</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(141.4)</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2,000.5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346.5</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auto"/>
              </w:rPr>
              <w:t>TV license fees</w:t>
            </w:r>
          </w:p>
        </w:tc>
        <w:tc>
          <w:tcPr>
            <w:tcW w:w="40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1,402.3</w:t>
            </w:r>
          </w:p>
        </w:tc>
        <w:tc>
          <w:tcPr>
            <w:tcW w:w="40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1,514.5</w:t>
            </w:r>
          </w:p>
        </w:tc>
        <w:tc>
          <w:tcPr>
            <w:tcW w:w="380" w:type="dxa"/>
            <w:vAlign w:val="bottom"/>
          </w:tcPr>
          <w:p>
            <w:pPr>
              <w:spacing w:after="0"/>
              <w:rPr>
                <w:sz w:val="18"/>
                <w:szCs w:val="18"/>
                <w:color w:val="auto"/>
              </w:rPr>
            </w:pPr>
          </w:p>
        </w:tc>
        <w:tc>
          <w:tcPr>
            <w:tcW w:w="1340" w:type="dxa"/>
            <w:vAlign w:val="bottom"/>
          </w:tcPr>
          <w:p>
            <w:pPr>
              <w:jc w:val="right"/>
              <w:ind w:right="336"/>
              <w:spacing w:after="0"/>
              <w:rPr>
                <w:sz w:val="20"/>
                <w:szCs w:val="20"/>
                <w:color w:val="auto"/>
              </w:rPr>
            </w:pPr>
            <w:r>
              <w:rPr>
                <w:rFonts w:ascii="Arial" w:cs="Arial" w:eastAsia="Arial" w:hAnsi="Arial"/>
                <w:sz w:val="18"/>
                <w:szCs w:val="18"/>
                <w:color w:val="auto"/>
              </w:rPr>
              <w:t>(112.2)</w:t>
            </w: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18"/>
                <w:szCs w:val="18"/>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1,472.2</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42.3</w:t>
            </w:r>
          </w:p>
        </w:tc>
        <w:tc>
          <w:tcPr>
            <w:tcW w:w="4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Publishing</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750.7</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693.4</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57.3</w:t>
            </w:r>
          </w:p>
        </w:tc>
        <w:tc>
          <w:tcPr>
            <w:tcW w:w="5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675.9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auto"/>
              </w:rPr>
              <w:t>Parks operations</w:t>
            </w:r>
          </w:p>
        </w:tc>
        <w:tc>
          <w:tcPr>
            <w:tcW w:w="40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409.9</w:t>
            </w:r>
          </w:p>
        </w:tc>
        <w:tc>
          <w:tcPr>
            <w:tcW w:w="40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375.8</w:t>
            </w:r>
          </w:p>
        </w:tc>
        <w:tc>
          <w:tcPr>
            <w:tcW w:w="380" w:type="dxa"/>
            <w:vAlign w:val="bottom"/>
          </w:tcPr>
          <w:p>
            <w:pPr>
              <w:spacing w:after="0"/>
              <w:rPr>
                <w:sz w:val="18"/>
                <w:szCs w:val="18"/>
                <w:color w:val="auto"/>
              </w:rPr>
            </w:pPr>
          </w:p>
        </w:tc>
        <w:tc>
          <w:tcPr>
            <w:tcW w:w="1340" w:type="dxa"/>
            <w:vAlign w:val="bottom"/>
          </w:tcPr>
          <w:p>
            <w:pPr>
              <w:jc w:val="right"/>
              <w:ind w:right="396"/>
              <w:spacing w:after="0"/>
              <w:rPr>
                <w:sz w:val="20"/>
                <w:szCs w:val="20"/>
                <w:color w:val="auto"/>
              </w:rPr>
            </w:pPr>
            <w:r>
              <w:rPr>
                <w:rFonts w:ascii="Arial" w:cs="Arial" w:eastAsia="Arial" w:hAnsi="Arial"/>
                <w:sz w:val="18"/>
                <w:szCs w:val="18"/>
                <w:color w:val="auto"/>
              </w:rPr>
              <w:t>34.1</w:t>
            </w: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8"/>
                <w:szCs w:val="18"/>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374.0</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1,681.0</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1,400.6</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280.4</w:t>
            </w:r>
          </w:p>
        </w:tc>
        <w:tc>
          <w:tcPr>
            <w:tcW w:w="5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1,236.3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164.3</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080" w:type="dxa"/>
            <w:vAlign w:val="bottom"/>
            <w:gridSpan w:val="3"/>
          </w:tcPr>
          <w:p>
            <w:pPr>
              <w:ind w:left="200"/>
              <w:spacing w:after="0"/>
              <w:rPr>
                <w:sz w:val="20"/>
                <w:szCs w:val="20"/>
                <w:color w:val="auto"/>
              </w:rPr>
            </w:pPr>
            <w:r>
              <w:rPr>
                <w:rFonts w:ascii="Arial" w:cs="Arial" w:eastAsia="Arial" w:hAnsi="Arial"/>
                <w:sz w:val="18"/>
                <w:szCs w:val="18"/>
                <w:b w:val="1"/>
                <w:bCs w:val="1"/>
                <w:color w:val="auto"/>
              </w:rPr>
              <w:t>Total Revenues</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22,525.9</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20,827.6</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96"/>
              <w:spacing w:after="0"/>
              <w:rPr>
                <w:sz w:val="20"/>
                <w:szCs w:val="20"/>
                <w:color w:val="auto"/>
              </w:rPr>
            </w:pPr>
            <w:r>
              <w:rPr>
                <w:rFonts w:ascii="Arial" w:cs="Arial" w:eastAsia="Arial" w:hAnsi="Arial"/>
                <w:sz w:val="18"/>
                <w:szCs w:val="18"/>
                <w:color w:val="auto"/>
              </w:rPr>
              <w:t>1,698.3</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19,186.8</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1,640.8</w:t>
            </w:r>
          </w:p>
        </w:tc>
        <w:tc>
          <w:tcPr>
            <w:tcW w:w="4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gridSpan w:val="2"/>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Year Ended December 31,</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40" w:type="dxa"/>
            <w:vAlign w:val="bottom"/>
            <w:gridSpan w:val="4"/>
          </w:tcPr>
          <w:p>
            <w:pPr>
              <w:spacing w:after="0"/>
              <w:rPr>
                <w:sz w:val="20"/>
                <w:szCs w:val="20"/>
                <w:color w:val="auto"/>
              </w:rPr>
            </w:pPr>
            <w:r>
              <w:rPr>
                <w:rFonts w:ascii="Arial" w:cs="Arial" w:eastAsia="Arial" w:hAnsi="Arial"/>
                <w:sz w:val="14"/>
                <w:szCs w:val="14"/>
                <w:b w:val="1"/>
                <w:bCs w:val="1"/>
                <w:color w:val="auto"/>
              </w:rPr>
              <w:t>Percentage of Revenues by Type</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2004</w:t>
            </w:r>
          </w:p>
        </w:tc>
        <w:tc>
          <w:tcPr>
            <w:tcW w:w="600" w:type="dxa"/>
            <w:vAlign w:val="bottom"/>
          </w:tcPr>
          <w:p>
            <w:pPr>
              <w:spacing w:after="0"/>
              <w:rPr>
                <w:sz w:val="24"/>
                <w:szCs w:val="24"/>
                <w:color w:val="auto"/>
              </w:rPr>
            </w:pPr>
          </w:p>
        </w:tc>
        <w:tc>
          <w:tcPr>
            <w:tcW w:w="1160" w:type="dxa"/>
            <w:vAlign w:val="bottom"/>
          </w:tcPr>
          <w:p>
            <w:pPr>
              <w:jc w:val="right"/>
              <w:ind w:right="554"/>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4"/>
                <w:szCs w:val="24"/>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Borders>
              <w:bottom w:val="single" w:sz="8" w:color="808080"/>
            </w:tcBorders>
            <w:gridSpan w:val="2"/>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Advertising sales</w:t>
            </w: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3"/>
              </w:rPr>
              <w:t>60%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w w:val="93"/>
              </w:rPr>
              <w:t>Affiliate fees</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jc w:val="right"/>
              <w:ind w:right="334"/>
              <w:spacing w:after="0"/>
              <w:rPr>
                <w:sz w:val="20"/>
                <w:szCs w:val="20"/>
                <w:color w:val="auto"/>
              </w:rPr>
            </w:pPr>
            <w:r>
              <w:rPr>
                <w:rFonts w:ascii="Arial" w:cs="Arial" w:eastAsia="Arial" w:hAnsi="Arial"/>
                <w:sz w:val="18"/>
                <w:szCs w:val="18"/>
                <w:color w:val="auto"/>
                <w:w w:val="79"/>
              </w:rPr>
              <w:t>12</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Feature film exploitation</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79"/>
              </w:rPr>
              <w:t>10</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TV license fees</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jc w:val="right"/>
              <w:ind w:right="334"/>
              <w:spacing w:after="0"/>
              <w:rPr>
                <w:sz w:val="20"/>
                <w:szCs w:val="20"/>
                <w:color w:val="auto"/>
              </w:rPr>
            </w:pPr>
            <w:r>
              <w:rPr>
                <w:rFonts w:ascii="Arial" w:cs="Arial" w:eastAsia="Arial" w:hAnsi="Arial"/>
                <w:sz w:val="18"/>
                <w:szCs w:val="18"/>
                <w:color w:val="auto"/>
              </w:rPr>
              <w:t>6</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3</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w w:val="97"/>
              </w:rPr>
              <w:t>Parks operations</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jc w:val="right"/>
              <w:ind w:right="334"/>
              <w:spacing w:after="0"/>
              <w:rPr>
                <w:sz w:val="20"/>
                <w:szCs w:val="20"/>
                <w:color w:val="auto"/>
              </w:rPr>
            </w:pPr>
            <w:r>
              <w:rPr>
                <w:rFonts w:ascii="Arial" w:cs="Arial" w:eastAsia="Arial" w:hAnsi="Arial"/>
                <w:sz w:val="18"/>
                <w:szCs w:val="18"/>
                <w:color w:val="auto"/>
              </w:rPr>
              <w:t>2</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7</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gridSpan w:val="2"/>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gridSpan w:val="2"/>
          </w:tcPr>
          <w:p>
            <w:pPr>
              <w:jc w:val="right"/>
              <w:ind w:right="194"/>
              <w:spacing w:after="0"/>
              <w:rPr>
                <w:sz w:val="20"/>
                <w:szCs w:val="20"/>
                <w:color w:val="auto"/>
              </w:rPr>
            </w:pPr>
            <w:r>
              <w:rPr>
                <w:rFonts w:ascii="Arial" w:cs="Arial" w:eastAsia="Arial" w:hAnsi="Arial"/>
                <w:sz w:val="18"/>
                <w:szCs w:val="18"/>
                <w:color w:val="auto"/>
              </w:rPr>
              <w:t>100%</w:t>
            </w: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-3479165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-3479165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-2364105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-2364105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-2072640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-2072640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-1918335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-1918335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-1420495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-1420495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-306070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-306070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520" w:firstLine="341"/>
        <w:spacing w:after="0" w:line="370" w:lineRule="auto"/>
        <w:rPr>
          <w:sz w:val="20"/>
          <w:szCs w:val="20"/>
          <w:color w:val="auto"/>
        </w:rPr>
      </w:pPr>
      <w:r>
        <w:rPr>
          <w:rFonts w:ascii="Arial" w:cs="Arial" w:eastAsia="Arial" w:hAnsi="Arial"/>
          <w:sz w:val="15"/>
          <w:szCs w:val="15"/>
          <w:color w:val="auto"/>
        </w:rPr>
        <w:t xml:space="preserve">Advertising sales, which represented 60% of the Company's consolidated revenues for 2004, increased 11% in 2004 to $13.4 billion reflecting growth primarily in Cable Networks, Television and Outdoor segments. Cable Networks advertising revenues increased 21% led by double-digit growth at </w:t>
      </w:r>
      <w:r>
        <w:rPr>
          <w:rFonts w:ascii="Arial" w:cs="Arial" w:eastAsia="Arial" w:hAnsi="Arial"/>
          <w:sz w:val="15"/>
          <w:szCs w:val="15"/>
          <w:i w:val="1"/>
          <w:iCs w:val="1"/>
          <w:color w:val="auto"/>
        </w:rPr>
        <w:t>MTV</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38" w:name="page39"/>
    <w:bookmarkEnd w:id="38"/>
    <w:p>
      <w:pPr>
        <w:ind w:right="20"/>
        <w:spacing w:after="0" w:line="298" w:lineRule="auto"/>
        <w:rPr>
          <w:sz w:val="20"/>
          <w:szCs w:val="20"/>
          <w:color w:val="auto"/>
        </w:rPr>
      </w:pPr>
      <w:r>
        <w:rPr>
          <w:rFonts w:ascii="Arial" w:cs="Arial" w:eastAsia="Arial" w:hAnsi="Arial"/>
          <w:sz w:val="16"/>
          <w:szCs w:val="16"/>
          <w:i w:val="1"/>
          <w:iCs w:val="1"/>
          <w:color w:val="auto"/>
        </w:rPr>
        <w:t xml:space="preserve">International, Comedy Central, Nickelodeon, VH1, TV Land, Spike TV </w:t>
      </w:r>
      <w:r>
        <w:rPr>
          <w:rFonts w:ascii="Arial" w:cs="Arial" w:eastAsia="Arial" w:hAnsi="Arial"/>
          <w:sz w:val="16"/>
          <w:szCs w:val="16"/>
          <w:color w:val="auto"/>
        </w:rPr>
        <w:t>and</w:t>
      </w:r>
      <w:r>
        <w:rPr>
          <w:rFonts w:ascii="Arial" w:cs="Arial" w:eastAsia="Arial" w:hAnsi="Arial"/>
          <w:sz w:val="16"/>
          <w:szCs w:val="16"/>
          <w:i w:val="1"/>
          <w:iCs w:val="1"/>
          <w:color w:val="auto"/>
        </w:rPr>
        <w:t xml:space="preserve"> BET</w:t>
      </w:r>
      <w:r>
        <w:rPr>
          <w:rFonts w:ascii="Arial" w:cs="Arial" w:eastAsia="Arial" w:hAnsi="Arial"/>
          <w:sz w:val="16"/>
          <w:szCs w:val="16"/>
          <w:color w:val="auto"/>
        </w:rPr>
        <w:t>. Television's advertising revenues benefited from the 2004 telecast of Super Bowl</w:t>
      </w:r>
      <w:r>
        <w:rPr>
          <w:rFonts w:ascii="Arial" w:cs="Arial" w:eastAsia="Arial" w:hAnsi="Arial"/>
          <w:sz w:val="16"/>
          <w:szCs w:val="16"/>
          <w:i w:val="1"/>
          <w:iCs w:val="1"/>
          <w:color w:val="auto"/>
        </w:rPr>
        <w:t xml:space="preserve"> </w:t>
      </w:r>
      <w:r>
        <w:rPr>
          <w:rFonts w:ascii="Arial" w:cs="Arial" w:eastAsia="Arial" w:hAnsi="Arial"/>
          <w:sz w:val="16"/>
          <w:szCs w:val="16"/>
          <w:color w:val="auto"/>
        </w:rPr>
        <w:t>XXXVIII, increased political advertising and increases in CBS and UPN Networks primetime and sports. Outdoor advertising growth reflected 14% higher revenues from European properties, driven in part by favorable foreign exchange rates, and a 4% increase in North American properties. Advertising sales increased 8% to $12.1 billion in 2003 reflecting growth in Cable Networks, Television, Radio and Outdoor.</w:t>
      </w:r>
    </w:p>
    <w:p>
      <w:pPr>
        <w:spacing w:after="0" w:line="167" w:lineRule="exact"/>
        <w:rPr>
          <w:sz w:val="20"/>
          <w:szCs w:val="20"/>
          <w:color w:val="auto"/>
        </w:rPr>
      </w:pPr>
    </w:p>
    <w:p>
      <w:pPr>
        <w:jc w:val="both"/>
        <w:ind w:right="240" w:firstLine="341"/>
        <w:spacing w:after="0" w:line="259" w:lineRule="auto"/>
        <w:rPr>
          <w:sz w:val="20"/>
          <w:szCs w:val="20"/>
          <w:color w:val="auto"/>
        </w:rPr>
      </w:pPr>
      <w:r>
        <w:rPr>
          <w:rFonts w:ascii="Arial" w:cs="Arial" w:eastAsia="Arial" w:hAnsi="Arial"/>
          <w:sz w:val="18"/>
          <w:szCs w:val="18"/>
          <w:color w:val="auto"/>
        </w:rPr>
        <w:t xml:space="preserve">Affiliate fees increased 9% to $2.6 billion in 2004 and increased 9% to $2.4 billion in 2003 versus the comparable prior-year periods. The increases were primarily driven by domestic rate increases and subscriber growth at MTV Networks and BET. The acquisition of </w:t>
      </w:r>
      <w:r>
        <w:rPr>
          <w:rFonts w:ascii="Arial" w:cs="Arial" w:eastAsia="Arial" w:hAnsi="Arial"/>
          <w:sz w:val="18"/>
          <w:szCs w:val="18"/>
          <w:i w:val="1"/>
          <w:iCs w:val="1"/>
          <w:color w:val="auto"/>
        </w:rPr>
        <w:t>Comedy Central</w:t>
      </w:r>
      <w:r>
        <w:rPr>
          <w:rFonts w:ascii="Arial" w:cs="Arial" w:eastAsia="Arial" w:hAnsi="Arial"/>
          <w:sz w:val="18"/>
          <w:szCs w:val="18"/>
          <w:color w:val="auto"/>
        </w:rPr>
        <w:t xml:space="preserve"> in May 2003 contributed to the growth in both periods.</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Feature film exploitation revenues, which includes all revenue sources from the exhibition of motion pictures, decreased 6% to $2.2 billion in 2004 primarily reflecting 11% lower home entertainment revenues. For 2003, feature film revenues increased 17% to $2.3 billion primarily reflecting 29% higher home entertainment revenues and contributions from increased syndication, theatrical and pay television revenues, partially offset by lower network revenues.</w:t>
      </w:r>
    </w:p>
    <w:p>
      <w:pPr>
        <w:spacing w:after="0" w:line="161"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 xml:space="preserve">Television license fees decreased 7% to $1.4 billion in 2004 principally reflecting lower network revenues for shows no longer in production. Television license fees increased 3% to $1.5 billion in 2003 principally reflecting increased syndication revenues from </w:t>
      </w:r>
      <w:r>
        <w:rPr>
          <w:rFonts w:ascii="Arial" w:cs="Arial" w:eastAsia="Arial" w:hAnsi="Arial"/>
          <w:sz w:val="16"/>
          <w:szCs w:val="16"/>
          <w:i w:val="1"/>
          <w:iCs w:val="1"/>
          <w:color w:val="auto"/>
        </w:rPr>
        <w:t>The Dr. Phil Show</w:t>
      </w:r>
      <w:r>
        <w:rPr>
          <w:rFonts w:ascii="Arial" w:cs="Arial" w:eastAsia="Arial" w:hAnsi="Arial"/>
          <w:sz w:val="16"/>
          <w:szCs w:val="16"/>
          <w:color w:val="auto"/>
        </w:rPr>
        <w:t xml:space="preserve"> in 2003 versus 2002.</w:t>
      </w:r>
    </w:p>
    <w:p>
      <w:pPr>
        <w:spacing w:after="0" w:line="139"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Publishing revenues increased 8% to $750.7 million in 2004 and increased 3% to $693.4 million in 2003 versus the comparable prior-year periods. The increases were primarily driven by the success of top selling titles.</w:t>
      </w:r>
    </w:p>
    <w:p>
      <w:pPr>
        <w:spacing w:after="0" w:line="186"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Parks operations revenues increased 9% to $409.9 million in 2004 primarily due to increased attendance partially offset by decreased average per capita spending and the benefit of favorable foreign currency translation. Parks operations revenues were relatively flat in 2003 versus prior year period.</w:t>
      </w:r>
    </w:p>
    <w:p>
      <w:pPr>
        <w:spacing w:after="0" w:line="139"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Other revenues, which include revenues from movie theaters, consumer products and home entertainment from television and cable product sales, increased 20% to $1.7 billion in 2004 primarily reflecting growth in home entertainment revenues to $472.2 million in 2004 from $263.1 million in 2003 and higher </w:t>
      </w:r>
      <w:r>
        <w:rPr>
          <w:rFonts w:ascii="Arial" w:cs="Arial" w:eastAsia="Arial" w:hAnsi="Arial"/>
          <w:sz w:val="16"/>
          <w:szCs w:val="16"/>
          <w:i w:val="1"/>
          <w:iCs w:val="1"/>
          <w:color w:val="auto"/>
        </w:rPr>
        <w:t xml:space="preserve">Nickelodeon </w:t>
      </w:r>
      <w:r>
        <w:rPr>
          <w:rFonts w:ascii="Arial" w:cs="Arial" w:eastAsia="Arial" w:hAnsi="Arial"/>
          <w:sz w:val="16"/>
          <w:szCs w:val="16"/>
          <w:color w:val="auto"/>
        </w:rPr>
        <w:t>consumer products and licensing. For 2003, other revenues increased 13% to $1.4 billion primarily reflecting higher</w:t>
      </w:r>
      <w:r>
        <w:rPr>
          <w:rFonts w:ascii="Arial" w:cs="Arial" w:eastAsia="Arial" w:hAnsi="Arial"/>
          <w:sz w:val="16"/>
          <w:szCs w:val="16"/>
          <w:i w:val="1"/>
          <w:iCs w:val="1"/>
          <w:color w:val="auto"/>
        </w:rPr>
        <w:t xml:space="preserve"> Nickelodeon </w:t>
      </w:r>
      <w:r>
        <w:rPr>
          <w:rFonts w:ascii="Arial" w:cs="Arial" w:eastAsia="Arial" w:hAnsi="Arial"/>
          <w:sz w:val="16"/>
          <w:szCs w:val="16"/>
          <w:color w:val="auto"/>
        </w:rPr>
        <w:t>consumer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as well as higher theaters revenues from favorable foreign currency translation, higher admission prices and increased per capita spending.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Revenues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generated approximately 16% of its total revenues from international regions in 2004 and 2003 and 15% in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07898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7898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jc w:val="right"/>
              <w:ind w:right="617"/>
              <w:spacing w:after="0"/>
              <w:rPr>
                <w:sz w:val="20"/>
                <w:szCs w:val="20"/>
                <w:color w:val="auto"/>
              </w:rPr>
            </w:pPr>
            <w:r>
              <w:rPr>
                <w:rFonts w:ascii="Arial" w:cs="Arial" w:eastAsia="Arial" w:hAnsi="Arial"/>
                <w:sz w:val="14"/>
                <w:szCs w:val="14"/>
                <w:b w:val="1"/>
                <w:bCs w:val="1"/>
                <w:color w:val="auto"/>
              </w:rPr>
              <w:t>Percentage of</w:t>
            </w:r>
          </w:p>
        </w:tc>
        <w:tc>
          <w:tcPr>
            <w:tcW w:w="1040" w:type="dxa"/>
            <w:vAlign w:val="bottom"/>
          </w:tcPr>
          <w:p>
            <w:pPr>
              <w:spacing w:after="0"/>
              <w:rPr>
                <w:sz w:val="14"/>
                <w:szCs w:val="14"/>
                <w:color w:val="auto"/>
              </w:rPr>
            </w:pPr>
          </w:p>
        </w:tc>
        <w:tc>
          <w:tcPr>
            <w:tcW w:w="1640" w:type="dxa"/>
            <w:vAlign w:val="bottom"/>
          </w:tcPr>
          <w:p>
            <w:pPr>
              <w:jc w:val="right"/>
              <w:ind w:right="618"/>
              <w:spacing w:after="0"/>
              <w:rPr>
                <w:sz w:val="20"/>
                <w:szCs w:val="20"/>
                <w:color w:val="auto"/>
              </w:rPr>
            </w:pPr>
            <w:r>
              <w:rPr>
                <w:rFonts w:ascii="Arial" w:cs="Arial" w:eastAsia="Arial" w:hAnsi="Arial"/>
                <w:sz w:val="14"/>
                <w:szCs w:val="14"/>
                <w:b w:val="1"/>
                <w:bCs w:val="1"/>
                <w:color w:val="auto"/>
                <w:w w:val="99"/>
              </w:rPr>
              <w:t>Percentage of</w:t>
            </w:r>
          </w:p>
        </w:tc>
        <w:tc>
          <w:tcPr>
            <w:tcW w:w="102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Percentage of</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Pr>
          <w:p>
            <w:pPr>
              <w:spacing w:after="0"/>
              <w:rPr>
                <w:sz w:val="15"/>
                <w:szCs w:val="15"/>
                <w:color w:val="auto"/>
              </w:rPr>
            </w:pPr>
          </w:p>
        </w:tc>
        <w:tc>
          <w:tcPr>
            <w:tcW w:w="1060" w:type="dxa"/>
            <w:vAlign w:val="bottom"/>
          </w:tcPr>
          <w:p>
            <w:pPr>
              <w:jc w:val="right"/>
              <w:ind w:right="536"/>
              <w:spacing w:after="0"/>
              <w:rPr>
                <w:sz w:val="20"/>
                <w:szCs w:val="20"/>
                <w:color w:val="auto"/>
              </w:rPr>
            </w:pPr>
            <w:r>
              <w:rPr>
                <w:rFonts w:ascii="Arial" w:cs="Arial" w:eastAsia="Arial" w:hAnsi="Arial"/>
                <w:sz w:val="14"/>
                <w:szCs w:val="14"/>
                <w:b w:val="1"/>
                <w:bCs w:val="1"/>
                <w:color w:val="auto"/>
              </w:rPr>
              <w:t>2004</w:t>
            </w:r>
          </w:p>
        </w:tc>
        <w:tc>
          <w:tcPr>
            <w:tcW w:w="1660" w:type="dxa"/>
            <w:vAlign w:val="bottom"/>
          </w:tcPr>
          <w:p>
            <w:pPr>
              <w:jc w:val="right"/>
              <w:ind w:right="877"/>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jc w:val="right"/>
              <w:ind w:right="516"/>
              <w:spacing w:after="0"/>
              <w:rPr>
                <w:sz w:val="20"/>
                <w:szCs w:val="20"/>
                <w:color w:val="auto"/>
              </w:rPr>
            </w:pPr>
            <w:r>
              <w:rPr>
                <w:rFonts w:ascii="Arial" w:cs="Arial" w:eastAsia="Arial" w:hAnsi="Arial"/>
                <w:sz w:val="14"/>
                <w:szCs w:val="14"/>
                <w:b w:val="1"/>
                <w:bCs w:val="1"/>
                <w:color w:val="auto"/>
              </w:rPr>
              <w:t>2003</w:t>
            </w:r>
          </w:p>
        </w:tc>
        <w:tc>
          <w:tcPr>
            <w:tcW w:w="1640" w:type="dxa"/>
            <w:vAlign w:val="bottom"/>
          </w:tcPr>
          <w:p>
            <w:pPr>
              <w:jc w:val="right"/>
              <w:ind w:right="858"/>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jc w:val="right"/>
              <w:ind w:right="496"/>
              <w:spacing w:after="0"/>
              <w:rPr>
                <w:sz w:val="20"/>
                <w:szCs w:val="20"/>
                <w:color w:val="auto"/>
              </w:rPr>
            </w:pPr>
            <w:r>
              <w:rPr>
                <w:rFonts w:ascii="Arial" w:cs="Arial" w:eastAsia="Arial" w:hAnsi="Arial"/>
                <w:sz w:val="14"/>
                <w:szCs w:val="14"/>
                <w:b w:val="1"/>
                <w:bCs w:val="1"/>
                <w:color w:val="auto"/>
              </w:rPr>
              <w:t>2002</w:t>
            </w:r>
          </w:p>
        </w:tc>
        <w:tc>
          <w:tcPr>
            <w:tcW w:w="132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910.1</w:t>
            </w:r>
          </w:p>
        </w:tc>
        <w:tc>
          <w:tcPr>
            <w:tcW w:w="16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24% $</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706.1</w:t>
            </w:r>
          </w:p>
        </w:tc>
        <w:tc>
          <w:tcPr>
            <w:tcW w:w="16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21% $</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647.3</w:t>
            </w: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83"/>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Other Europe</w:t>
            </w:r>
          </w:p>
        </w:tc>
        <w:tc>
          <w:tcPr>
            <w:tcW w:w="70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1,323.5</w:t>
            </w:r>
          </w:p>
        </w:tc>
        <w:tc>
          <w:tcPr>
            <w:tcW w:w="1660" w:type="dxa"/>
            <w:vAlign w:val="bottom"/>
          </w:tcPr>
          <w:p>
            <w:pPr>
              <w:jc w:val="right"/>
              <w:ind w:right="397"/>
              <w:spacing w:after="0"/>
              <w:rPr>
                <w:sz w:val="20"/>
                <w:szCs w:val="20"/>
                <w:color w:val="auto"/>
              </w:rPr>
            </w:pPr>
            <w:r>
              <w:rPr>
                <w:rFonts w:ascii="Arial" w:cs="Arial" w:eastAsia="Arial" w:hAnsi="Arial"/>
                <w:sz w:val="18"/>
                <w:szCs w:val="18"/>
                <w:color w:val="auto"/>
              </w:rPr>
              <w:t>36</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1,182.0</w:t>
            </w:r>
          </w:p>
        </w:tc>
        <w:tc>
          <w:tcPr>
            <w:tcW w:w="1640" w:type="dxa"/>
            <w:vAlign w:val="bottom"/>
          </w:tcPr>
          <w:p>
            <w:pPr>
              <w:jc w:val="right"/>
              <w:ind w:right="398"/>
              <w:spacing w:after="0"/>
              <w:rPr>
                <w:sz w:val="20"/>
                <w:szCs w:val="20"/>
                <w:color w:val="auto"/>
              </w:rPr>
            </w:pPr>
            <w:r>
              <w:rPr>
                <w:rFonts w:ascii="Arial" w:cs="Arial" w:eastAsia="Arial" w:hAnsi="Arial"/>
                <w:sz w:val="18"/>
                <w:szCs w:val="18"/>
                <w:color w:val="auto"/>
              </w:rPr>
              <w:t>36</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972.2</w:t>
            </w:r>
          </w:p>
        </w:tc>
        <w:tc>
          <w:tcPr>
            <w:tcW w:w="1160" w:type="dxa"/>
            <w:vAlign w:val="bottom"/>
          </w:tcPr>
          <w:p>
            <w:pPr>
              <w:ind w:left="1000"/>
              <w:spacing w:after="0"/>
              <w:rPr>
                <w:sz w:val="20"/>
                <w:szCs w:val="20"/>
                <w:color w:val="auto"/>
              </w:rPr>
            </w:pPr>
            <w:r>
              <w:rPr>
                <w:rFonts w:ascii="Arial" w:cs="Arial" w:eastAsia="Arial" w:hAnsi="Arial"/>
                <w:sz w:val="16"/>
                <w:szCs w:val="16"/>
                <w:color w:val="auto"/>
                <w:w w:val="78"/>
              </w:rPr>
              <w:t>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853.5</w:t>
            </w:r>
          </w:p>
        </w:tc>
        <w:tc>
          <w:tcPr>
            <w:tcW w:w="166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23</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770.6</w:t>
            </w:r>
          </w:p>
        </w:tc>
        <w:tc>
          <w:tcPr>
            <w:tcW w:w="164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23</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659.0</w:t>
            </w:r>
          </w:p>
        </w:tc>
        <w:tc>
          <w:tcPr>
            <w:tcW w:w="1160" w:type="dxa"/>
            <w:vAlign w:val="bottom"/>
            <w:shd w:val="clear" w:color="auto" w:fill="CCEEFF"/>
          </w:tcPr>
          <w:p>
            <w:pPr>
              <w:ind w:left="1000"/>
              <w:spacing w:after="0"/>
              <w:rPr>
                <w:sz w:val="20"/>
                <w:szCs w:val="20"/>
                <w:color w:val="auto"/>
              </w:rPr>
            </w:pPr>
            <w:r>
              <w:rPr>
                <w:rFonts w:ascii="Arial" w:cs="Arial" w:eastAsia="Arial" w:hAnsi="Arial"/>
                <w:sz w:val="16"/>
                <w:szCs w:val="16"/>
                <w:color w:val="auto"/>
                <w:w w:val="78"/>
              </w:rPr>
              <w:t>23</w:t>
            </w:r>
          </w:p>
        </w:tc>
        <w:tc>
          <w:tcPr>
            <w:tcW w:w="16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All other</w:t>
            </w:r>
          </w:p>
        </w:tc>
        <w:tc>
          <w:tcPr>
            <w:tcW w:w="700" w:type="dxa"/>
            <w:vAlign w:val="bottom"/>
          </w:tcPr>
          <w:p>
            <w:pPr>
              <w:spacing w:after="0"/>
              <w:rPr>
                <w:sz w:val="19"/>
                <w:szCs w:val="19"/>
                <w:color w:val="auto"/>
              </w:rPr>
            </w:pP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626.8</w:t>
            </w:r>
          </w:p>
        </w:tc>
        <w:tc>
          <w:tcPr>
            <w:tcW w:w="1660" w:type="dxa"/>
            <w:vAlign w:val="bottom"/>
          </w:tcPr>
          <w:p>
            <w:pPr>
              <w:jc w:val="right"/>
              <w:ind w:right="397"/>
              <w:spacing w:after="0"/>
              <w:rPr>
                <w:sz w:val="20"/>
                <w:szCs w:val="20"/>
                <w:color w:val="auto"/>
              </w:rPr>
            </w:pPr>
            <w:r>
              <w:rPr>
                <w:rFonts w:ascii="Arial" w:cs="Arial" w:eastAsia="Arial" w:hAnsi="Arial"/>
                <w:sz w:val="18"/>
                <w:szCs w:val="18"/>
                <w:color w:val="auto"/>
              </w:rPr>
              <w:t>17</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681.0</w:t>
            </w:r>
          </w:p>
        </w:tc>
        <w:tc>
          <w:tcPr>
            <w:tcW w:w="1640" w:type="dxa"/>
            <w:vAlign w:val="bottom"/>
          </w:tcPr>
          <w:p>
            <w:pPr>
              <w:jc w:val="right"/>
              <w:ind w:right="398"/>
              <w:spacing w:after="0"/>
              <w:rPr>
                <w:sz w:val="20"/>
                <w:szCs w:val="20"/>
                <w:color w:val="auto"/>
              </w:rPr>
            </w:pPr>
            <w:r>
              <w:rPr>
                <w:rFonts w:ascii="Arial" w:cs="Arial" w:eastAsia="Arial" w:hAnsi="Arial"/>
                <w:sz w:val="18"/>
                <w:szCs w:val="18"/>
                <w:color w:val="auto"/>
              </w:rPr>
              <w:t>20</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578.0</w:t>
            </w:r>
          </w:p>
        </w:tc>
        <w:tc>
          <w:tcPr>
            <w:tcW w:w="1160" w:type="dxa"/>
            <w:vAlign w:val="bottom"/>
          </w:tcPr>
          <w:p>
            <w:pPr>
              <w:ind w:left="1000"/>
              <w:spacing w:after="0"/>
              <w:rPr>
                <w:sz w:val="20"/>
                <w:szCs w:val="20"/>
                <w:color w:val="auto"/>
              </w:rPr>
            </w:pPr>
            <w:r>
              <w:rPr>
                <w:rFonts w:ascii="Arial" w:cs="Arial" w:eastAsia="Arial" w:hAnsi="Arial"/>
                <w:sz w:val="16"/>
                <w:szCs w:val="16"/>
                <w:color w:val="auto"/>
                <w:w w:val="78"/>
              </w:rPr>
              <w:t>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International Revenues</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3,713.9</w:t>
            </w:r>
          </w:p>
        </w:tc>
        <w:tc>
          <w:tcPr>
            <w:tcW w:w="16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100% $</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3,339.7</w:t>
            </w:r>
          </w:p>
        </w:tc>
        <w:tc>
          <w:tcPr>
            <w:tcW w:w="16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100% $</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2,856.5</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86"/>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jc w:val="right"/>
              <w:ind w:right="357"/>
              <w:spacing w:after="0"/>
              <w:rPr>
                <w:sz w:val="20"/>
                <w:szCs w:val="20"/>
                <w:color w:val="auto"/>
              </w:rPr>
            </w:pPr>
            <w:r>
              <w:rPr>
                <w:rFonts w:ascii="Arial" w:cs="Arial" w:eastAsia="Arial" w:hAnsi="Arial"/>
                <w:sz w:val="18"/>
                <w:szCs w:val="18"/>
                <w:color w:val="auto"/>
              </w:rPr>
              <w:t>II-5</w:t>
            </w: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7069455</wp:posOffset>
            </wp:positionH>
            <wp:positionV relativeFrom="paragraph">
              <wp:posOffset>-1506220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-803275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-511810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the Company's consolidated operating expenses by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81355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 by Type</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w w:val="90"/>
              </w:rPr>
              <w:t>Increase/(Decrease)</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w w:val="99"/>
              </w:rPr>
              <w:t>Increase/(Decrease)</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5"/>
                <w:szCs w:val="15"/>
                <w:color w:val="auto"/>
              </w:rPr>
            </w:pPr>
          </w:p>
        </w:tc>
        <w:tc>
          <w:tcPr>
            <w:tcW w:w="1040" w:type="dxa"/>
            <w:vAlign w:val="bottom"/>
          </w:tcPr>
          <w:p>
            <w:pPr>
              <w:jc w:val="right"/>
              <w:ind w:right="496"/>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1040" w:type="dxa"/>
            <w:vAlign w:val="bottom"/>
          </w:tcPr>
          <w:p>
            <w:pPr>
              <w:jc w:val="right"/>
              <w:ind w:right="496"/>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1300" w:type="dxa"/>
            <w:vAlign w:val="bottom"/>
          </w:tcPr>
          <w:p>
            <w:pPr>
              <w:jc w:val="right"/>
              <w:ind w:right="179"/>
              <w:spacing w:after="0"/>
              <w:rPr>
                <w:sz w:val="20"/>
                <w:szCs w:val="20"/>
                <w:color w:val="auto"/>
              </w:rPr>
            </w:pPr>
            <w:r>
              <w:rPr>
                <w:rFonts w:ascii="Arial" w:cs="Arial" w:eastAsia="Arial" w:hAnsi="Arial"/>
                <w:sz w:val="14"/>
                <w:szCs w:val="14"/>
                <w:b w:val="1"/>
                <w:bCs w:val="1"/>
                <w:color w:val="auto"/>
              </w:rPr>
              <w:t>2004 vs. 2003</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516"/>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1420" w:type="dxa"/>
            <w:vAlign w:val="bottom"/>
          </w:tcPr>
          <w:p>
            <w:pPr>
              <w:jc w:val="right"/>
              <w:ind w:right="179"/>
              <w:spacing w:after="0"/>
              <w:rPr>
                <w:sz w:val="20"/>
                <w:szCs w:val="20"/>
                <w:color w:val="auto"/>
              </w:rPr>
            </w:pPr>
            <w:r>
              <w:rPr>
                <w:rFonts w:ascii="Arial" w:cs="Arial" w:eastAsia="Arial" w:hAnsi="Arial"/>
                <w:sz w:val="14"/>
                <w:szCs w:val="14"/>
                <w:b w:val="1"/>
                <w:bCs w:val="1"/>
                <w:color w:val="auto"/>
              </w:rPr>
              <w:t>2003 vs. 2002</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program</w:t>
            </w: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8,058.7</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7,653.5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405.2</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5%</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6,885.6</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767.9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Distribution</w:t>
            </w:r>
          </w:p>
        </w:tc>
        <w:tc>
          <w:tcPr>
            <w:tcW w:w="520" w:type="dxa"/>
            <w:vAlign w:val="bottom"/>
          </w:tcPr>
          <w:p>
            <w:pPr>
              <w:spacing w:after="0"/>
              <w:rPr>
                <w:sz w:val="18"/>
                <w:szCs w:val="18"/>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1,458.6</w:t>
            </w:r>
          </w:p>
        </w:tc>
        <w:tc>
          <w:tcPr>
            <w:tcW w:w="380" w:type="dxa"/>
            <w:vAlign w:val="bottom"/>
          </w:tcPr>
          <w:p>
            <w:pPr>
              <w:spacing w:after="0"/>
              <w:rPr>
                <w:sz w:val="18"/>
                <w:szCs w:val="18"/>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1,446.7</w:t>
            </w:r>
          </w:p>
        </w:tc>
        <w:tc>
          <w:tcPr>
            <w:tcW w:w="26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Arial" w:cs="Arial" w:eastAsia="Arial" w:hAnsi="Arial"/>
                <w:sz w:val="18"/>
                <w:szCs w:val="18"/>
                <w:color w:val="auto"/>
              </w:rPr>
              <w:t>11.9</w:t>
            </w:r>
          </w:p>
        </w:tc>
        <w:tc>
          <w:tcPr>
            <w:tcW w:w="360" w:type="dxa"/>
            <w:vAlign w:val="bottom"/>
          </w:tcPr>
          <w:p>
            <w:pPr>
              <w:ind w:left="1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1,305.6</w:t>
            </w:r>
          </w:p>
        </w:tc>
        <w:tc>
          <w:tcPr>
            <w:tcW w:w="400" w:type="dxa"/>
            <w:vAlign w:val="bottom"/>
          </w:tcPr>
          <w:p>
            <w:pPr>
              <w:spacing w:after="0"/>
              <w:rPr>
                <w:sz w:val="18"/>
                <w:szCs w:val="18"/>
                <w:color w:val="auto"/>
              </w:rPr>
            </w:pPr>
          </w:p>
        </w:tc>
        <w:tc>
          <w:tcPr>
            <w:tcW w:w="1420" w:type="dxa"/>
            <w:vAlign w:val="bottom"/>
          </w:tcPr>
          <w:p>
            <w:pPr>
              <w:jc w:val="right"/>
              <w:ind w:right="519"/>
              <w:spacing w:after="0"/>
              <w:rPr>
                <w:sz w:val="20"/>
                <w:szCs w:val="20"/>
                <w:color w:val="auto"/>
              </w:rPr>
            </w:pPr>
            <w:r>
              <w:rPr>
                <w:rFonts w:ascii="Arial" w:cs="Arial" w:eastAsia="Arial" w:hAnsi="Arial"/>
                <w:sz w:val="18"/>
                <w:szCs w:val="18"/>
                <w:color w:val="auto"/>
              </w:rPr>
              <w:t>141.1</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3,028.5</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2,779.6</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248.9</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2,544.3</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235.3</w:t>
            </w:r>
          </w:p>
        </w:tc>
        <w:tc>
          <w:tcPr>
            <w:tcW w:w="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w w:val="98"/>
              </w:rPr>
              <w:t>Total Operating Expenses</w:t>
            </w: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12,545.8</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11,879.8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99"/>
              <w:spacing w:after="0"/>
              <w:rPr>
                <w:sz w:val="20"/>
                <w:szCs w:val="20"/>
                <w:color w:val="auto"/>
              </w:rPr>
            </w:pPr>
            <w:r>
              <w:rPr>
                <w:rFonts w:ascii="Arial" w:cs="Arial" w:eastAsia="Arial" w:hAnsi="Arial"/>
                <w:sz w:val="18"/>
                <w:szCs w:val="18"/>
                <w:color w:val="auto"/>
              </w:rPr>
              <w:t>666.0</w:t>
            </w:r>
          </w:p>
        </w:tc>
        <w:tc>
          <w:tcPr>
            <w:tcW w:w="360" w:type="dxa"/>
            <w:vAlign w:val="bottom"/>
          </w:tcPr>
          <w:p>
            <w:pPr>
              <w:ind w:left="100"/>
              <w:spacing w:after="0"/>
              <w:rPr>
                <w:sz w:val="20"/>
                <w:szCs w:val="20"/>
                <w:color w:val="auto"/>
              </w:rPr>
            </w:pPr>
            <w:r>
              <w:rPr>
                <w:rFonts w:ascii="Arial" w:cs="Arial" w:eastAsia="Arial" w:hAnsi="Arial"/>
                <w:sz w:val="18"/>
                <w:szCs w:val="18"/>
                <w:color w:val="auto"/>
                <w:w w:val="92"/>
              </w:rPr>
              <w:t>6%</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10,735.5</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19"/>
              <w:spacing w:after="0"/>
              <w:rPr>
                <w:sz w:val="20"/>
                <w:szCs w:val="20"/>
                <w:color w:val="auto"/>
              </w:rPr>
            </w:pPr>
            <w:r>
              <w:rPr>
                <w:rFonts w:ascii="Arial" w:cs="Arial" w:eastAsia="Arial" w:hAnsi="Arial"/>
                <w:sz w:val="18"/>
                <w:szCs w:val="18"/>
                <w:color w:val="auto"/>
              </w:rPr>
              <w:t>1,144.3</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6803390</wp:posOffset>
            </wp:positionH>
            <wp:positionV relativeFrom="paragraph">
              <wp:posOffset>-871855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-306070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For 2004, operating expenses of $12.5 billion increased 6% over 2003. For 2003, operating expenses of $11.9 billion increased 11% over 2002. The major components and changes in operating expenses were as follows:</w:t>
      </w:r>
    </w:p>
    <w:p>
      <w:pPr>
        <w:spacing w:after="0" w:line="199" w:lineRule="exact"/>
        <w:rPr>
          <w:sz w:val="20"/>
          <w:szCs w:val="20"/>
          <w:color w:val="auto"/>
        </w:rPr>
      </w:pPr>
    </w:p>
    <w:p>
      <w:pPr>
        <w:ind w:left="1080" w:hanging="532"/>
        <w:spacing w:after="0" w:line="288"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Production and program expenses represented approximately 64% of total operating expenses in 2004, 2003 and 2002, and reflect the costs and amortization of television and theatrical inventory, including direct production costs, residuals and participation expenses, production overhead and acquisition costs as well as costs attributable to television and radio programming expenses including on-air talent and other production costs, and costs and amortization of acquired rights of programs exhibited on the broadcast networks, cable networks and broadcast stations. Production and program expenses increased 5% to $8.1 billion in 2004 and increased 11% to $7.7 billion in 2003. For both years, the increases were led by 18% and 22% respective increases at Cable Networks associated with new and existing programming mainly at MTV Networks. Also 2004 reflected higher program rights expenses for sports events and primetime series at the broadcast networks. These increases were partially offset by fewer network series produced in 2004. Also contributing to the increase in 2003 were higher sports rights expenses at Radio and higher feature film amortization.</w:t>
      </w:r>
    </w:p>
    <w:p>
      <w:pPr>
        <w:spacing w:after="0" w:line="200" w:lineRule="exact"/>
        <w:rPr>
          <w:rFonts w:ascii="Arial" w:cs="Arial" w:eastAsia="Arial" w:hAnsi="Arial"/>
          <w:sz w:val="16"/>
          <w:szCs w:val="16"/>
          <w:color w:val="auto"/>
        </w:rPr>
      </w:pPr>
    </w:p>
    <w:p>
      <w:pPr>
        <w:ind w:left="1080" w:right="80" w:hanging="532"/>
        <w:spacing w:after="0" w:line="294"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Distribution expenses, which represented approximately 12% of total operating expenses in 2004, 2003 and 2002, reflect advertising and other distribution costs incurred primarily with respect to theatrical and television product. Distribution expenses for 2004 increased 1% to $1.5 billion primarily reflecting higher television distribution costs due to additional volume of DVD releases of the </w:t>
      </w:r>
      <w:r>
        <w:rPr>
          <w:rFonts w:ascii="Arial" w:cs="Arial" w:eastAsia="Arial" w:hAnsi="Arial"/>
          <w:sz w:val="16"/>
          <w:szCs w:val="16"/>
          <w:i w:val="1"/>
          <w:iCs w:val="1"/>
          <w:color w:val="auto"/>
        </w:rPr>
        <w:t>Star Trek</w:t>
      </w:r>
      <w:r>
        <w:rPr>
          <w:rFonts w:ascii="Arial" w:cs="Arial" w:eastAsia="Arial" w:hAnsi="Arial"/>
          <w:sz w:val="16"/>
          <w:szCs w:val="16"/>
          <w:color w:val="auto"/>
        </w:rPr>
        <w:t xml:space="preserve"> series, partially offset by lower feature film distribution costs for home video releases. Distribution expenses for 2003 increased 11% to $1.4 billion principally reflecting higher print and advertising costs for feature films in theatrical release.</w:t>
      </w:r>
    </w:p>
    <w:p>
      <w:pPr>
        <w:spacing w:after="0" w:line="183"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operating expenses, which primarily include expenses incurred for Outdoor, Publishing, Parks and Theater operations, increased 9% to</w:t>
      </w:r>
    </w:p>
    <w:p>
      <w:pPr>
        <w:spacing w:after="0" w:line="38" w:lineRule="exact"/>
        <w:rPr>
          <w:rFonts w:ascii="Arial" w:cs="Arial" w:eastAsia="Arial" w:hAnsi="Arial"/>
          <w:sz w:val="16"/>
          <w:szCs w:val="16"/>
          <w:color w:val="auto"/>
        </w:rPr>
      </w:pPr>
    </w:p>
    <w:p>
      <w:pPr>
        <w:ind w:left="1080" w:right="20"/>
        <w:spacing w:after="0" w:line="254" w:lineRule="auto"/>
        <w:rPr>
          <w:rFonts w:ascii="Arial" w:cs="Arial" w:eastAsia="Arial" w:hAnsi="Arial"/>
          <w:sz w:val="16"/>
          <w:szCs w:val="16"/>
          <w:color w:val="auto"/>
        </w:rPr>
      </w:pPr>
      <w:r>
        <w:rPr>
          <w:rFonts w:ascii="Arial" w:cs="Arial" w:eastAsia="Arial" w:hAnsi="Arial"/>
          <w:sz w:val="18"/>
          <w:szCs w:val="18"/>
          <w:color w:val="auto"/>
        </w:rPr>
        <w:t>$3.0 billion in 2004 over 2003, primarily reflecting higher Outdoor expenses of 9% from higher transit and billboard lease costs and the impact of foreign exchange rates. In 2004, the increase also reflected higher costs associated with Publishing, Parks and Theater operations. Other operating expenses for 2003 increased 9% to $2.8 billion over 2002, which reflected an increase in Outdoor expenses of 7% from higher billboard lease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Selling, general and administrative expenses, which include expenses incurred for selling and marketing costs, occupancy and back office support increased $409.8 million, or 11%, to $4.1 billion in 2004, primarily reflecting higher employee compensation and commissions, second quarter 2004 severance charges of $56.2 million due to management changes, as well as twelve months of expenses for </w:t>
      </w:r>
      <w:r>
        <w:rPr>
          <w:rFonts w:ascii="Arial" w:cs="Arial" w:eastAsia="Arial" w:hAnsi="Arial"/>
          <w:sz w:val="18"/>
          <w:szCs w:val="18"/>
          <w:i w:val="1"/>
          <w:iCs w:val="1"/>
          <w:color w:val="auto"/>
        </w:rPr>
        <w:t>Comedy Central</w:t>
      </w:r>
      <w:r>
        <w:rPr>
          <w:rFonts w:ascii="Arial" w:cs="Arial" w:eastAsia="Arial" w:hAnsi="Arial"/>
          <w:sz w:val="18"/>
          <w:szCs w:val="18"/>
          <w:color w:val="auto"/>
        </w:rPr>
        <w:t>, acquired in May 2003, and the absence of a 2003 pre-tax gain of $40 million from the settlement of</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0" w:name="page41"/>
    <w:bookmarkEnd w:id="40"/>
    <w:p>
      <w:pPr>
        <w:ind w:right="380"/>
        <w:spacing w:after="0" w:line="259" w:lineRule="auto"/>
        <w:rPr>
          <w:sz w:val="20"/>
          <w:szCs w:val="20"/>
          <w:color w:val="auto"/>
        </w:rPr>
      </w:pPr>
      <w:r>
        <w:rPr>
          <w:rFonts w:ascii="Arial" w:cs="Arial" w:eastAsia="Arial" w:hAnsi="Arial"/>
          <w:sz w:val="18"/>
          <w:szCs w:val="18"/>
          <w:color w:val="auto"/>
        </w:rPr>
        <w:t>a physical damage and business interruption claim. These increases were partially offset by a gain on the sale of assets in 2004 and a decrease in pension and postretirement costs. Advertising expenses of $410.6 million included in selling, general and administrative expenses, increased 10% reflecting increased spending primarily at Radio and Cable Networks.</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For 2003, selling, general and administrative expenses increased $233.7 million, or 7%, to $3.7 billion reflecting expenses associated with </w:t>
      </w:r>
      <w:r>
        <w:rPr>
          <w:rFonts w:ascii="Arial" w:cs="Arial" w:eastAsia="Arial" w:hAnsi="Arial"/>
          <w:sz w:val="16"/>
          <w:szCs w:val="16"/>
          <w:i w:val="1"/>
          <w:iCs w:val="1"/>
          <w:color w:val="auto"/>
        </w:rPr>
        <w:t>Comedy Central</w:t>
      </w:r>
      <w:r>
        <w:rPr>
          <w:rFonts w:ascii="Arial" w:cs="Arial" w:eastAsia="Arial" w:hAnsi="Arial"/>
          <w:sz w:val="16"/>
          <w:szCs w:val="16"/>
          <w:color w:val="auto"/>
        </w:rPr>
        <w:t>, increased employee-related expenses and higher directors' and officers' insurance premiums and professional fees, partially offset by a pre-tax gain of $40 million. In 2003, advertising expenses of $372.2 million included in selling, general and administrative expenses, increased 3%. Selling, general and administrative expenses as a percentage of revenues were 18% for the years ended December 31, 2004, 2003 and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SFAS 142 requires the Company to perform an annual fair value-based impairment test of goodwill. The first step of the test examines whether or not the book value of each of the Company's reporting units exceeds its fair value. If the book value for a reporting unit exceeds its fair value, the second step of the test compares the implied fair value of that reporting unit's goodwill with the book value of that goodwill. The Company's reporting units are generally consistent with the operating segments underlying the reportable segments. As a result of the impairment test, the Company recorded an impairment charge of $18.0 billion in the fourth quarter of 2004. The $18.0 billion reflects charges to reduce the carrying value of goodwill at the Radio segment of $10.9 billion and the Outdoor segment of $7.1 billion as well as a reduction of the carrying value of intangibles of $27.8 million related to the FCC licenses at the Radio segment.</w:t>
      </w:r>
    </w:p>
    <w:p>
      <w:pPr>
        <w:spacing w:after="0" w:line="17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Company performs its impairment test concurrently with its annual budgeting process which begins in the fourth quarter of each year. Several factors have led to a reduction in forecasted cash flows and long-term growth rates for both the Radio and Outdoor segments. Radio and Outdoor fell short of budgeted revenue and operating income growth targets in 2004. Competition from other advertising media, including internet advertising and cable and broadcast television has reduced Radio and Outdoor growth rates. Also, the emergence of new competitors and technologies has necessitated a shift in management's strategy for the Radio and Outdoor businesses, including changes in composition of the sales force and operating management as well as increased levels of investment in marketing and promotion.</w:t>
      </w:r>
    </w:p>
    <w:p>
      <w:pPr>
        <w:spacing w:after="0" w:line="198"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estimated fair values of the Radio and Outdoor reporting units were computed principally based upon the present value of future cash flows (Discounted Cash Flow Method) and prices of comparable businesses (Market Comparable Method). The discounted Cash Flow Method and Market Comparable Method were weighted equally and resulted in substantially equal fair values.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For 2004, depreciation and amortization increased 9% to $809.9 million from $741.9 million primarily reflecting increases related to leasehold improvements, equipment and transponders. For 2003, depreciation and amortization increased 4% to $741.9 million from $711.8 million principally driven by the addition of broadcasting equipment and outdoor advertising properties.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For 2004, interest expense decreased 3% to $718.9 million from $742.9 million primarily due to lower average debt balances in 2004 including commercial paper borrowings and lower interest on programming contracts. For 2003, interest expense decreased 7% to $742.9 million from $799.1 million primarily due to a reduction in debt including lower average commercial paper borrowings. The Company had approximately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1" w:name="page42"/>
    <w:bookmarkEnd w:id="41"/>
    <w:p>
      <w:pPr>
        <w:ind w:right="360"/>
        <w:spacing w:after="0" w:line="268" w:lineRule="auto"/>
        <w:rPr>
          <w:sz w:val="20"/>
          <w:szCs w:val="20"/>
          <w:color w:val="auto"/>
        </w:rPr>
      </w:pPr>
      <w:r>
        <w:rPr>
          <w:rFonts w:ascii="Arial" w:cs="Arial" w:eastAsia="Arial" w:hAnsi="Arial"/>
          <w:sz w:val="18"/>
          <w:szCs w:val="18"/>
          <w:color w:val="auto"/>
        </w:rPr>
        <w:t>$9.9 billion at December 31, 2004 and $10.1 billion at December 31, 2003 of principal amount of debt outstanding (including current maturities) at weighted average interest rates of 6.7% and 6.5%,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For 2004, interest income increased by $13.6 million to $25.3 million primarily due to increased cash and cash equivalents. For 2003, interest income decreased by $.3 million to $11.7 million versus the comparable prior-year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Items, Net</w:t>
      </w:r>
    </w:p>
    <w:p>
      <w:pPr>
        <w:spacing w:after="0" w:line="225" w:lineRule="exact"/>
        <w:rPr>
          <w:sz w:val="20"/>
          <w:szCs w:val="20"/>
          <w:color w:val="auto"/>
        </w:rPr>
      </w:pPr>
    </w:p>
    <w:p>
      <w:pPr>
        <w:ind w:right="560" w:firstLine="351"/>
        <w:spacing w:after="0" w:line="306" w:lineRule="auto"/>
        <w:rPr>
          <w:sz w:val="20"/>
          <w:szCs w:val="20"/>
          <w:color w:val="auto"/>
        </w:rPr>
      </w:pPr>
      <w:r>
        <w:rPr>
          <w:rFonts w:ascii="Arial" w:cs="Arial" w:eastAsia="Arial" w:hAnsi="Arial"/>
          <w:sz w:val="16"/>
          <w:szCs w:val="16"/>
          <w:color w:val="auto"/>
        </w:rPr>
        <w:t>For 2004, "Other items, net" of $7.6 million principally reflected foreign exchange gains of $16.8 million and a net gain on the sale of investments of $34.5 million, partially offset by a non-cash charge of $21.7 million associated with other-than-temporary declines in the Company's investments, losses associated with securitizing trade receivables of $19.3 million and a loss of $2.7 million on the sale of radio stations.</w:t>
      </w:r>
    </w:p>
    <w:p>
      <w:pPr>
        <w:spacing w:after="0" w:line="16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For 2003, "Other items, net" reflected a net loss of $3.0 million principally consisting of foreign exchange losses of $3.9 million, losses associated with securitizing trade receivables of $14.8 million, and an aggregate loss of $5.0 million resulting from the write-down of several investments to their market value. These losses were partially offset by a net gain on the disposition of investments of $14.8 million and an insurance recoupment of $5.6 million.</w:t>
      </w:r>
    </w:p>
    <w:p>
      <w:pPr>
        <w:spacing w:after="0" w:line="161"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For 2002, "Other items, net" reflected a net loss of $32.9 million principally consisting of foreign exchange losses of $55.6 million, losses of $19.7 million associated with securitizing trade receivables and an aggregate loss of approximately $12.5 million resulting from the write-down of several investments to their market value. These losses were partially offset by the recovery of advertising commitments of $29.8 million, a gain of $18.8 million on the sale of a telephone kiosk advertising business and a net gain of $5.3 million from the sale of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provision for income taxes represents federal, state and local, and foreign income taxes on earnings before income taxes. The annual effective tax rate before the cumulative effect of accounting change was (10.1%) in 2004 versus 40.0% in 2003 and 39.1% in 2002. Included in the 2004 rate was the impact of the non-cash impairment and severance charges and the recognition of a tax benefit from the resolution of certain income tax audits in 2004.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(Loss) of Affiliated Companies, Net of Tax</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"Equity in earnings (loss) of affiliated companies, net of tax" reflected a loss of $20.8 million for 2004, earnings of $.1 million for 2003 and a loss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$37.3 million for 2002. For 2004, the loss principally reflected losses from the sale of international theater ventures and losses from internet investments, partially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by the positive results of Westwood One, Inc. ("Westwood One"). For 2003 and 2002, results principally reflected operating losses from internet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investments and international ventures, partially offset by the positive results of Westwood One and </w:t>
      </w:r>
      <w:r>
        <w:rPr>
          <w:rFonts w:ascii="Arial" w:cs="Arial" w:eastAsia="Arial" w:hAnsi="Arial"/>
          <w:sz w:val="16"/>
          <w:szCs w:val="16"/>
          <w:i w:val="1"/>
          <w:iCs w:val="1"/>
          <w:color w:val="auto"/>
        </w:rPr>
        <w:t>Comedy Central</w:t>
      </w:r>
      <w:r>
        <w:rPr>
          <w:rFonts w:ascii="Arial" w:cs="Arial" w:eastAsia="Arial" w:hAnsi="Arial"/>
          <w:sz w:val="16"/>
          <w:szCs w:val="16"/>
          <w:color w:val="auto"/>
        </w:rPr>
        <w:t xml:space="preserve"> prior to its acquisition in May 2003.</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 Net of Tax</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Minority interest primarily represented the minority ownership of certain theater advertising companies and international pay television companies.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Net Earnings (Loss) from Discontinued Operations</w:t>
      </w:r>
    </w:p>
    <w:p>
      <w:pPr>
        <w:spacing w:after="0" w:line="225"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Net earnings (loss) from discontinued operations reflect the operating results of Blockbuster Inc. ("Blockbuster") which was split-off from the Company in 2004. Discontinued operations reflected a loss of $1.1 billion in 2004 versus a loss of $802.4 million in 2003 and earnings of $164.6 million in 2002. The loss from discontinued operations in 2004 included a non-cash charge of $1.5 billion ($1.2 billion net of minority interest and tax) for the impairment of Blockbuster goodwill and other long-lived assets in accordance with SFAS 142 and SFAS No. 144 "Accounting for the Impairment or Disposal of Long-Lived Assets" ("SFAS 144"). Blockbuster performed an interim impairment test of its goodwill during the third quarter of 2004 because of factors surrounding Viacom's exchange offer for the split-off of Blockbuster.</w:t>
      </w:r>
    </w:p>
    <w:p>
      <w:pPr>
        <w:spacing w:after="0" w:line="198"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March 2005, Blockbuster announced its intention to restate its previously issued financial statements to reflect appropriate lease accounting practices. Viacom has reflected the cumulative impact of the adjustment in 2004. This cumulative impact increased both the loss from discontinued operations and minority interest of discontinued operations, offset by a corresponding decrease in the loss on disposal of discontinued operations, resulting in no impact to Viacom's consolidated 2004 net loss from discontinued operations. The Company's discontinued operation presentation of Blockbuster for prior years has not been revised to reflect this adjustment due to the immateriality of this amount for the current year or any individual prior period consolidated statement of operations or financial position.</w:t>
      </w:r>
    </w:p>
    <w:p>
      <w:pPr>
        <w:spacing w:after="0" w:line="19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2003, the Company recorded a non-cash impairment charge related to Blockbuster of approximately $1.3 billion ($1.0 billion, net of minority interest and tax) in accordance with SFAS 142. In completing its analysis of the fair value of the video business, several events led Blockbuster to conclude that the business had incremental risks that were required to be included in its evaluation of goodwill. Additionally, Blockbuster's review of long-lived assets in conjunction with SFAS 144 resulted in an impairment charge of approximately $18.5 million to reduce the carrying value of certain fixed assets in four international markets.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Cumulative Effect of Accounting Change, Net of Minority Interest and Tax</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Effective December 31, 2004, the Company elected early adoption of Emerging Issues Task Force Topic No. D-108 "Use of the Residual Method to Value Acquired Assets Other Than Goodwill" ("D-108"). D-108 requires companies who have applied the residual value method in the valuation of intangible assets for purposes of impairment testing to use the direct value method. As a result of the adoption, the Company recorded a charge of $2.2 billion ($1.3 billion net of tax), or $.77 per share, to reduce the intangible balances attributable to its television stations' FCC licenses. This charge has been reflected as a cumulative effect of accounting change, net of tax.</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For 2003, the cumulative effect of accounting change, net of minority interest and tax, of $18.5 million, or $.01 per share, resulted from the adoption of SFAS No. 143 "Accounting for Asset Retirement Obligations." For 2002, the cumulative effect of accounting change of $1.5 billion (net of minority interest of $336.1 million), or $.84 per basic and $.83 per diluted share, resulted from the initial adoption of SFAS 142.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(Loss)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2004, the Company reported a net loss of $17.5 billion versus net earnings of $1.4 billion for the prior year. For 2004, the loss was driven by the non-cash impairment charge of $18.0 billion. For 2003, net earnings reflected revenue growth in advertising, feature film exploitation, and affiliate fees partially offset by a non-cash charge of $1.0 billion, net of minority interest and tax, reflected in discontinued operations and higher operating expenses, primarily programming and production costs. For 2002, net earnings were $725.7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Segment Results of Operations—For the Years Ended December 31, 2004, 2003 and 2002</w:t>
      </w:r>
    </w:p>
    <w:p>
      <w:pPr>
        <w:spacing w:after="0" w:line="231" w:lineRule="exact"/>
        <w:rPr>
          <w:sz w:val="20"/>
          <w:szCs w:val="20"/>
          <w:color w:val="auto"/>
        </w:rPr>
      </w:pPr>
    </w:p>
    <w:p>
      <w:pPr>
        <w:ind w:right="940" w:firstLine="348"/>
        <w:spacing w:after="0" w:line="268" w:lineRule="auto"/>
        <w:rPr>
          <w:sz w:val="20"/>
          <w:szCs w:val="20"/>
          <w:color w:val="auto"/>
        </w:rPr>
      </w:pPr>
      <w:r>
        <w:rPr>
          <w:rFonts w:ascii="Arial" w:cs="Arial" w:eastAsia="Arial" w:hAnsi="Arial"/>
          <w:sz w:val="18"/>
          <w:szCs w:val="18"/>
          <w:color w:val="auto"/>
        </w:rPr>
        <w:t>The tables below present the Company's revenues, operating income, and depreciation and amortization by segment, for each of the years ended December 31, 2004, 2003 and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189865</wp:posOffset>
            </wp:positionV>
            <wp:extent cx="5681345"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8134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tcPr>
          <w:p>
            <w:pPr>
              <w:spacing w:after="0"/>
              <w:rPr>
                <w:sz w:val="15"/>
                <w:szCs w:val="15"/>
                <w:color w:val="auto"/>
              </w:rPr>
            </w:pPr>
          </w:p>
        </w:tc>
        <w:tc>
          <w:tcPr>
            <w:tcW w:w="1060" w:type="dxa"/>
            <w:vAlign w:val="bottom"/>
          </w:tcPr>
          <w:p>
            <w:pPr>
              <w:jc w:val="right"/>
              <w:ind w:right="493"/>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980" w:type="dxa"/>
            <w:vAlign w:val="bottom"/>
          </w:tcPr>
          <w:p>
            <w:pPr>
              <w:jc w:val="right"/>
              <w:ind w:right="453"/>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6,578.9</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5,645.5</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4,726.7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Television</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8,504.6</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7,761.0</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Radio</w:t>
            </w:r>
          </w:p>
        </w:tc>
        <w:tc>
          <w:tcPr>
            <w:tcW w:w="126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2,096.1</w:t>
            </w:r>
          </w:p>
        </w:tc>
        <w:tc>
          <w:tcPr>
            <w:tcW w:w="32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2,097.6</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Outdoor</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1,880.2</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1,748.3</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Entertainment</w:t>
            </w:r>
          </w:p>
        </w:tc>
        <w:tc>
          <w:tcPr>
            <w:tcW w:w="126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4,055.6</w:t>
            </w:r>
          </w:p>
        </w:tc>
        <w:tc>
          <w:tcPr>
            <w:tcW w:w="32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4,101.3</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80" w:type="dxa"/>
            <w:vAlign w:val="bottom"/>
          </w:tcPr>
          <w:p>
            <w:pPr>
              <w:ind w:left="340"/>
              <w:spacing w:after="0"/>
              <w:rPr>
                <w:sz w:val="20"/>
                <w:szCs w:val="20"/>
                <w:color w:val="auto"/>
              </w:rPr>
            </w:pPr>
            <w:r>
              <w:rPr>
                <w:rFonts w:ascii="Arial" w:cs="Arial" w:eastAsia="Arial" w:hAnsi="Arial"/>
                <w:sz w:val="18"/>
                <w:szCs w:val="18"/>
                <w:b w:val="1"/>
                <w:bCs w:val="1"/>
                <w:color w:val="auto"/>
              </w:rPr>
              <w:t>Total Revenues</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22,525.9</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20,827.6</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19,186.8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2,525.1</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2,172.3</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Television</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1,547.4</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1,238.1</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Radio</w:t>
            </w:r>
          </w:p>
        </w:tc>
        <w:tc>
          <w:tcPr>
            <w:tcW w:w="1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(10,023.5)</w:t>
            </w:r>
          </w:p>
        </w:tc>
        <w:tc>
          <w:tcPr>
            <w:tcW w:w="32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975.0</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1,007.6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Outdoor</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(6,824.5)</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207.9</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Entertainment</w:t>
            </w:r>
          </w:p>
        </w:tc>
        <w:tc>
          <w:tcPr>
            <w:tcW w:w="126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254.0</w:t>
            </w:r>
          </w:p>
        </w:tc>
        <w:tc>
          <w:tcPr>
            <w:tcW w:w="32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271.4</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expenses</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Residual costs (a)</w:t>
            </w:r>
          </w:p>
        </w:tc>
        <w:tc>
          <w:tcPr>
            <w:tcW w:w="1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(113.8)</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(146.5)</w:t>
            </w: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Eliminations (b)</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80" w:type="dxa"/>
            <w:vAlign w:val="bottom"/>
          </w:tcPr>
          <w:p>
            <w:pPr>
              <w:ind w:left="340"/>
              <w:spacing w:after="0"/>
              <w:rPr>
                <w:sz w:val="20"/>
                <w:szCs w:val="20"/>
                <w:color w:val="auto"/>
              </w:rPr>
            </w:pPr>
            <w:r>
              <w:rPr>
                <w:rFonts w:ascii="Arial" w:cs="Arial" w:eastAsia="Arial" w:hAnsi="Arial"/>
                <w:sz w:val="18"/>
                <w:szCs w:val="18"/>
                <w:b w:val="1"/>
                <w:bCs w:val="1"/>
                <w:color w:val="auto"/>
              </w:rPr>
              <w:t>Total Operating Income (Loss)</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(12,969.0)</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4,473.6</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4,240.9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248.0</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195.3</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Television</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148.9</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151.1</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Radio</w:t>
            </w:r>
          </w:p>
        </w:tc>
        <w:tc>
          <w:tcPr>
            <w:tcW w:w="126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29.9</w:t>
            </w:r>
          </w:p>
        </w:tc>
        <w:tc>
          <w:tcPr>
            <w:tcW w:w="32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27.4</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Outdoor</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223.1</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215.9</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Entertainment</w:t>
            </w:r>
          </w:p>
        </w:tc>
        <w:tc>
          <w:tcPr>
            <w:tcW w:w="126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137.8</w:t>
            </w:r>
          </w:p>
        </w:tc>
        <w:tc>
          <w:tcPr>
            <w:tcW w:w="32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129.7</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22.5</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80" w:type="dxa"/>
            <w:vAlign w:val="bottom"/>
          </w:tcPr>
          <w:p>
            <w:pPr>
              <w:ind w:left="340"/>
              <w:spacing w:after="0"/>
              <w:rPr>
                <w:sz w:val="20"/>
                <w:szCs w:val="20"/>
                <w:color w:val="auto"/>
              </w:rPr>
            </w:pPr>
            <w:r>
              <w:rPr>
                <w:rFonts w:ascii="Arial" w:cs="Arial" w:eastAsia="Arial" w:hAnsi="Arial"/>
                <w:sz w:val="18"/>
                <w:szCs w:val="18"/>
                <w:b w:val="1"/>
                <w:bCs w:val="1"/>
                <w:color w:val="auto"/>
              </w:rPr>
              <w:t>Total Depreciation and Amortization</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809.9</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741.9</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711.8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6400800</wp:posOffset>
            </wp:positionH>
            <wp:positionV relativeFrom="paragraph">
              <wp:posOffset>-4507865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-4507865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-3393440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-3393440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-3101340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-3101340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-1712595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-1712595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-1420495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-1420495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-306070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-306070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Primarily includes pension and postretirement benefit costs for benefit plans retained by the Company for previously divested businesses.</w:t>
      </w:r>
    </w:p>
    <w:p>
      <w:pPr>
        <w:spacing w:after="0" w:line="190" w:lineRule="exact"/>
        <w:rPr>
          <w:rFonts w:ascii="Arial" w:cs="Arial" w:eastAsia="Arial" w:hAnsi="Arial"/>
          <w:sz w:val="14"/>
          <w:szCs w:val="14"/>
          <w:color w:val="auto"/>
        </w:rPr>
      </w:pPr>
    </w:p>
    <w:p>
      <w:pPr>
        <w:ind w:left="1080" w:hanging="532"/>
        <w:spacing w:after="0" w:line="239" w:lineRule="auto"/>
        <w:tabs>
          <w:tab w:leader="none" w:pos="10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Eliminations in all periods principally reflect the timing of intercompany transactions from the sale of television product to Cable Networks and the sale of feature films to cable and broadcast networks.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Segment Results of Operations—2004 vs. 2003 and 2003 vs. 2002</w:t>
      </w:r>
    </w:p>
    <w:p>
      <w:pPr>
        <w:spacing w:after="0" w:line="2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i w:val="1"/>
          <w:iCs w:val="1"/>
          <w:color w:val="auto"/>
        </w:rPr>
        <w:t>(Basic Cable Television Program Services through MTV Networks ("MTVN"), including MTV Music Television, Nickelodeon, Nick at Nite, VH1,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MTV2, TV Land, Spike TV, CMT: Country Music Television </w:t>
      </w:r>
      <w:r>
        <w:rPr>
          <w:rFonts w:ascii="Arial" w:cs="Arial" w:eastAsia="Arial" w:hAnsi="Arial"/>
          <w:sz w:val="18"/>
          <w:szCs w:val="18"/>
          <w:color w:val="auto"/>
        </w:rPr>
        <w:t>and</w:t>
      </w:r>
      <w:r>
        <w:rPr>
          <w:rFonts w:ascii="Arial" w:cs="Arial" w:eastAsia="Arial" w:hAnsi="Arial"/>
          <w:sz w:val="18"/>
          <w:szCs w:val="18"/>
          <w:i w:val="1"/>
          <w:iCs w:val="1"/>
          <w:color w:val="auto"/>
        </w:rPr>
        <w:t xml:space="preserve"> Comedy Central; BET and BET Jazz; and through Showtime Networks Inc. ("SNI"), owner of several premium subscription television program services)</w:t>
      </w:r>
    </w:p>
    <w:p>
      <w:pPr>
        <w:spacing w:after="0" w:line="19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(Contributed 29% of consolidated revenues for the year ended December 31, 2004, 27% for the year ended December 31, 2003 and 25% for the year 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189865</wp:posOffset>
            </wp:positionV>
            <wp:extent cx="580136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980" w:type="dxa"/>
            <w:vAlign w:val="bottom"/>
          </w:tcPr>
          <w:p>
            <w:pPr>
              <w:spacing w:after="0"/>
              <w:rPr>
                <w:sz w:val="15"/>
                <w:szCs w:val="15"/>
                <w:color w:val="auto"/>
              </w:rPr>
            </w:pPr>
          </w:p>
        </w:tc>
        <w:tc>
          <w:tcPr>
            <w:tcW w:w="880" w:type="dxa"/>
            <w:vAlign w:val="bottom"/>
          </w:tcPr>
          <w:p>
            <w:pPr>
              <w:jc w:val="right"/>
              <w:ind w:right="396"/>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900" w:type="dxa"/>
            <w:vAlign w:val="bottom"/>
          </w:tcPr>
          <w:p>
            <w:pPr>
              <w:jc w:val="right"/>
              <w:ind w:right="396"/>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6,578.9</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5,645.5</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Operating income (OI)</w:t>
            </w:r>
          </w:p>
        </w:tc>
        <w:tc>
          <w:tcPr>
            <w:tcW w:w="1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2,525.1</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2,172.3</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OI as a % of revenues</w:t>
            </w:r>
          </w:p>
        </w:tc>
        <w:tc>
          <w:tcPr>
            <w:tcW w:w="1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30"/>
        </w:trPr>
        <w:tc>
          <w:tcPr>
            <w:tcW w:w="39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248.0</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195.3</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96.0</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90.3</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-991870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-991870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vs. 2003</w:t>
      </w:r>
    </w:p>
    <w:p>
      <w:pPr>
        <w:spacing w:after="0" w:line="231"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 xml:space="preserve">For 2004, Cable Networks revenues increased $933.4 million, or 17%, to $6.6 billion principally driven by a 21% increase in advertising revenues and an 8% increase in affiliate fees. Approximately 10% of Cable Networks revenues were generated from international regions, of which approximately 70% came from Europe. </w:t>
      </w:r>
      <w:r>
        <w:rPr>
          <w:rFonts w:ascii="Arial" w:cs="Arial" w:eastAsia="Arial" w:hAnsi="Arial"/>
          <w:sz w:val="16"/>
          <w:szCs w:val="16"/>
          <w:i w:val="1"/>
          <w:iCs w:val="1"/>
          <w:color w:val="auto"/>
        </w:rPr>
        <w:t>Comedy Central</w:t>
      </w:r>
      <w:r>
        <w:rPr>
          <w:rFonts w:ascii="Arial" w:cs="Arial" w:eastAsia="Arial" w:hAnsi="Arial"/>
          <w:sz w:val="16"/>
          <w:szCs w:val="16"/>
          <w:color w:val="auto"/>
        </w:rPr>
        <w:t>, which was acquired in May 2003, contributed 4% to Cable Networks revenue growth for the year.</w:t>
      </w:r>
    </w:p>
    <w:p>
      <w:pPr>
        <w:spacing w:after="0" w:line="161"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 xml:space="preserve">For 2004, MTVN advertising revenues increased 22%, reflecting an increase in the number of units sold and higher average unit rates at domestic channels. BET advertising revenues increased 11% as a result of an increase in the number of units sold, partially offset by a decline in average unit rates and an increase in reserves for audience deficiency liabilities. Affiliate fees increased 8% principally driven by rate increases and subscriber growth at MTVN and BET and slightly higher revenues at SNI. Ancillary revenues, which represent approximately 9% of Cable Networks revenues in 2004 and 8% in 2003, increased more than 30% benefiting from higher </w:t>
      </w:r>
      <w:r>
        <w:rPr>
          <w:rFonts w:ascii="Arial" w:cs="Arial" w:eastAsia="Arial" w:hAnsi="Arial"/>
          <w:sz w:val="15"/>
          <w:szCs w:val="15"/>
          <w:i w:val="1"/>
          <w:iCs w:val="1"/>
          <w:color w:val="auto"/>
        </w:rPr>
        <w:t>Nickelodeon</w:t>
      </w:r>
      <w:r>
        <w:rPr>
          <w:rFonts w:ascii="Arial" w:cs="Arial" w:eastAsia="Arial" w:hAnsi="Arial"/>
          <w:sz w:val="15"/>
          <w:szCs w:val="15"/>
          <w:color w:val="auto"/>
        </w:rPr>
        <w:t xml:space="preserve"> consumer products revenues, higher home video revenues led by </w:t>
      </w:r>
      <w:r>
        <w:rPr>
          <w:rFonts w:ascii="Arial" w:cs="Arial" w:eastAsia="Arial" w:hAnsi="Arial"/>
          <w:sz w:val="15"/>
          <w:szCs w:val="15"/>
          <w:i w:val="1"/>
          <w:iCs w:val="1"/>
          <w:color w:val="auto"/>
        </w:rPr>
        <w:t>Chappelle's Show</w:t>
      </w:r>
      <w:r>
        <w:rPr>
          <w:rFonts w:ascii="Arial" w:cs="Arial" w:eastAsia="Arial" w:hAnsi="Arial"/>
          <w:sz w:val="15"/>
          <w:szCs w:val="15"/>
          <w:color w:val="auto"/>
        </w:rPr>
        <w:t xml:space="preserve"> DVD, and higher licensing revenues.</w:t>
      </w:r>
    </w:p>
    <w:p>
      <w:pPr>
        <w:spacing w:after="0" w:line="154" w:lineRule="exact"/>
        <w:rPr>
          <w:sz w:val="20"/>
          <w:szCs w:val="20"/>
          <w:color w:val="auto"/>
        </w:rPr>
      </w:pPr>
    </w:p>
    <w:p>
      <w:pPr>
        <w:jc w:val="both"/>
        <w:ind w:right="100" w:firstLine="351"/>
        <w:spacing w:after="0" w:line="323" w:lineRule="auto"/>
        <w:rPr>
          <w:sz w:val="20"/>
          <w:szCs w:val="20"/>
          <w:color w:val="auto"/>
        </w:rPr>
      </w:pPr>
      <w:r>
        <w:rPr>
          <w:rFonts w:ascii="Arial" w:cs="Arial" w:eastAsia="Arial" w:hAnsi="Arial"/>
          <w:sz w:val="15"/>
          <w:szCs w:val="15"/>
          <w:color w:val="auto"/>
        </w:rPr>
        <w:t xml:space="preserve">For 2004, Cable Networks operating income increased $352.8 million, or 16%, to $2.5 billion reflecting higher revenues, partially offset by a 17% increase in total expenses. The increase in total expenses for the year was driven by an 18% increase in operating expenses driven by higher programming costs. Selling, general and administrative expenses for the year increased 13% primarily due to higher sales and marketing-related costs at MTVN and increased compensation. Total expenses also included the full-year impact of </w:t>
      </w:r>
      <w:r>
        <w:rPr>
          <w:rFonts w:ascii="Arial" w:cs="Arial" w:eastAsia="Arial" w:hAnsi="Arial"/>
          <w:sz w:val="15"/>
          <w:szCs w:val="15"/>
          <w:i w:val="1"/>
          <w:iCs w:val="1"/>
          <w:color w:val="auto"/>
        </w:rPr>
        <w:t>Comedy Central</w:t>
      </w:r>
      <w:r>
        <w:rPr>
          <w:rFonts w:ascii="Arial" w:cs="Arial" w:eastAsia="Arial" w:hAnsi="Arial"/>
          <w:sz w:val="15"/>
          <w:szCs w:val="15"/>
          <w:color w:val="auto"/>
        </w:rPr>
        <w:t>. Operating income as a percentage of revenues was 38% for 2004 and 2003.</w:t>
      </w:r>
    </w:p>
    <w:p>
      <w:pPr>
        <w:spacing w:after="0" w:line="152"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2004, the Company acquired 97.8% of VIVA Media AG for a total purchase price of $393.6 million. VIVA Media AG results are included as part of MTVN, contributing $63.0 million of revenues to Cable Networks since the date of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vs. 2002</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For 2003, Cable Networks revenues increased $918.8 million, or 19%, to $5.6 billion principally driven by 26% growth in advertising revenues and a 9% increase in affiliate fees. Advertising revenues increased 26% reflecting 27% growth at MTVN principally due to selling more units and higher average unit rates and the impact of </w:t>
      </w:r>
      <w:r>
        <w:rPr>
          <w:rFonts w:ascii="Arial" w:cs="Arial" w:eastAsia="Arial" w:hAnsi="Arial"/>
          <w:sz w:val="18"/>
          <w:szCs w:val="18"/>
          <w:i w:val="1"/>
          <w:iCs w:val="1"/>
          <w:color w:val="auto"/>
        </w:rPr>
        <w:t>Comedy Central</w:t>
      </w:r>
      <w:r>
        <w:rPr>
          <w:rFonts w:ascii="Arial" w:cs="Arial" w:eastAsia="Arial" w:hAnsi="Arial"/>
          <w:sz w:val="18"/>
          <w:szCs w:val="18"/>
          <w:color w:val="auto"/>
        </w:rPr>
        <w:t xml:space="preserve">. BET delivered 17% advertising revenue growth for 2003 over the prior year as a result of higher average rates. The increase in affiliate fees was primarily due to rate and subscriber increases at MTVN and BET and the impact of </w:t>
      </w:r>
      <w:r>
        <w:rPr>
          <w:rFonts w:ascii="Arial" w:cs="Arial" w:eastAsia="Arial" w:hAnsi="Arial"/>
          <w:sz w:val="18"/>
          <w:szCs w:val="18"/>
          <w:i w:val="1"/>
          <w:iCs w:val="1"/>
          <w:color w:val="auto"/>
        </w:rPr>
        <w:t>Comedy Central</w:t>
      </w:r>
      <w:r>
        <w:rPr>
          <w:rFonts w:ascii="Arial" w:cs="Arial" w:eastAsia="Arial" w:hAnsi="Arial"/>
          <w:sz w:val="18"/>
          <w:szCs w:val="18"/>
          <w:color w:val="auto"/>
        </w:rPr>
        <w:t xml:space="preserve">, partially offset by declines at SNI. Other ancillary revenues for Cable Networks grew 40% reflecting higher consumer product licensing revenues at </w:t>
      </w:r>
      <w:r>
        <w:rPr>
          <w:rFonts w:ascii="Arial" w:cs="Arial" w:eastAsia="Arial" w:hAnsi="Arial"/>
          <w:sz w:val="18"/>
          <w:szCs w:val="18"/>
          <w:i w:val="1"/>
          <w:iCs w:val="1"/>
          <w:color w:val="auto"/>
        </w:rPr>
        <w:t>Nickelodeon</w:t>
      </w:r>
      <w:r>
        <w:rPr>
          <w:rFonts w:ascii="Arial" w:cs="Arial" w:eastAsia="Arial" w:hAnsi="Arial"/>
          <w:sz w:val="18"/>
          <w:szCs w:val="18"/>
          <w:color w:val="auto"/>
        </w:rPr>
        <w:t xml:space="preserve"> and contributions from co-produced feature films.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ind w:right="120" w:firstLine="351"/>
        <w:spacing w:after="0" w:line="256" w:lineRule="auto"/>
        <w:rPr>
          <w:sz w:val="20"/>
          <w:szCs w:val="20"/>
          <w:color w:val="auto"/>
        </w:rPr>
      </w:pPr>
      <w:r>
        <w:rPr>
          <w:rFonts w:ascii="Arial" w:cs="Arial" w:eastAsia="Arial" w:hAnsi="Arial"/>
          <w:sz w:val="18"/>
          <w:szCs w:val="18"/>
          <w:color w:val="auto"/>
        </w:rPr>
        <w:t xml:space="preserve">For 2003, Cable Networks operating income increased $400.1 million, or 23%, to $2.2 billion reflecting higher revenues, partially offset by increased expenses. Operating expenses increased 23% led by increases at MTVN and BET primarily for new programming initiatives and the impact of </w:t>
      </w:r>
      <w:r>
        <w:rPr>
          <w:rFonts w:ascii="Arial" w:cs="Arial" w:eastAsia="Arial" w:hAnsi="Arial"/>
          <w:sz w:val="18"/>
          <w:szCs w:val="18"/>
          <w:i w:val="1"/>
          <w:iCs w:val="1"/>
          <w:color w:val="auto"/>
        </w:rPr>
        <w:t>Comedy Central</w:t>
      </w:r>
      <w:r>
        <w:rPr>
          <w:rFonts w:ascii="Arial" w:cs="Arial" w:eastAsia="Arial" w:hAnsi="Arial"/>
          <w:sz w:val="18"/>
          <w:szCs w:val="18"/>
          <w:color w:val="auto"/>
        </w:rPr>
        <w:t xml:space="preserve">. Selling, general and administrative expenses increased 9% primarily due to higher marketing costs at MTVN and the inclusion of </w:t>
      </w:r>
      <w:r>
        <w:rPr>
          <w:rFonts w:ascii="Arial" w:cs="Arial" w:eastAsia="Arial" w:hAnsi="Arial"/>
          <w:sz w:val="18"/>
          <w:szCs w:val="18"/>
          <w:i w:val="1"/>
          <w:iCs w:val="1"/>
          <w:color w:val="auto"/>
        </w:rPr>
        <w:t>Comedy Central</w:t>
      </w:r>
      <w:r>
        <w:rPr>
          <w:rFonts w:ascii="Arial" w:cs="Arial" w:eastAsia="Arial" w:hAnsi="Arial"/>
          <w:sz w:val="18"/>
          <w:szCs w:val="18"/>
          <w:color w:val="auto"/>
        </w:rPr>
        <w:t>. Operating income as a percentage of revenues was 38% for 2003 and 37% for 2002.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Television </w:t>
      </w:r>
      <w:r>
        <w:rPr>
          <w:rFonts w:ascii="Arial" w:cs="Arial" w:eastAsia="Arial" w:hAnsi="Arial"/>
          <w:sz w:val="18"/>
          <w:szCs w:val="18"/>
          <w:i w:val="1"/>
          <w:iCs w:val="1"/>
          <w:color w:val="auto"/>
        </w:rPr>
        <w:t>(CBS and UPN Television Networks and Stations; Television Production and Syndication)</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(Contributed 38% of consolidated revenues for the year ended December 31, 2004, 37% for the year ended December 31, 2003 and 39% for the year 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189865</wp:posOffset>
            </wp:positionV>
            <wp:extent cx="580136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980" w:type="dxa"/>
            <w:vAlign w:val="bottom"/>
          </w:tcPr>
          <w:p>
            <w:pPr>
              <w:spacing w:after="0"/>
              <w:rPr>
                <w:sz w:val="15"/>
                <w:szCs w:val="15"/>
                <w:color w:val="auto"/>
              </w:rPr>
            </w:pPr>
          </w:p>
        </w:tc>
        <w:tc>
          <w:tcPr>
            <w:tcW w:w="880" w:type="dxa"/>
            <w:vAlign w:val="bottom"/>
          </w:tcPr>
          <w:p>
            <w:pPr>
              <w:jc w:val="right"/>
              <w:ind w:right="396"/>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900" w:type="dxa"/>
            <w:vAlign w:val="bottom"/>
          </w:tcPr>
          <w:p>
            <w:pPr>
              <w:jc w:val="right"/>
              <w:ind w:right="396"/>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8,504.6</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7,761.0</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Operating income (OI)</w:t>
            </w:r>
          </w:p>
        </w:tc>
        <w:tc>
          <w:tcPr>
            <w:tcW w:w="1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1,547.4</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1,238.1</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OI as a % of revenues</w:t>
            </w:r>
          </w:p>
        </w:tc>
        <w:tc>
          <w:tcPr>
            <w:tcW w:w="1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0"/>
        </w:trPr>
        <w:tc>
          <w:tcPr>
            <w:tcW w:w="39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148.9</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151.1</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125.6</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123.6</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-991870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-991870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vs. 2003</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For 2004, Television revenues increased $743.6 million, or 10%, to $8.5 billion principally driven by advertising revenue growth at the broadcast networks and the Stations group and higher television license revenues. CBS and UPN Networks combined advertising revenues increased 12% with an 11% increase in CBS and UPN primetime due to 11% average rate increases. CBS Network and the Stations group advertising revenues benefited from the 2004 telecast of Super Bowl XXXVIII. The combination of the Super Bowl and increased political advertising contributed 3% of Television's total revenue growth. For the year, the Stations group advertising revenues increased 10% reflecting higher political advertising with more units sold at higher average unit rates. The Stations group also benefited from higher ad sales in the automotive, leisure and media, and restaurant industries.</w:t>
      </w:r>
    </w:p>
    <w:p>
      <w:pPr>
        <w:spacing w:after="0" w:line="174" w:lineRule="exact"/>
        <w:rPr>
          <w:sz w:val="20"/>
          <w:szCs w:val="20"/>
          <w:color w:val="auto"/>
        </w:rPr>
      </w:pPr>
    </w:p>
    <w:p>
      <w:pPr>
        <w:jc w:val="both"/>
        <w:ind w:right="60" w:firstLine="348"/>
        <w:spacing w:after="0" w:line="335" w:lineRule="auto"/>
        <w:rPr>
          <w:sz w:val="20"/>
          <w:szCs w:val="20"/>
          <w:color w:val="auto"/>
        </w:rPr>
      </w:pPr>
      <w:r>
        <w:rPr>
          <w:rFonts w:ascii="Arial" w:cs="Arial" w:eastAsia="Arial" w:hAnsi="Arial"/>
          <w:sz w:val="15"/>
          <w:szCs w:val="15"/>
          <w:color w:val="auto"/>
        </w:rPr>
        <w:t xml:space="preserve">Television revenues included an increase in television license revenues of 2% benefiting from the basic cable availability of </w:t>
      </w:r>
      <w:r>
        <w:rPr>
          <w:rFonts w:ascii="Arial" w:cs="Arial" w:eastAsia="Arial" w:hAnsi="Arial"/>
          <w:sz w:val="15"/>
          <w:szCs w:val="15"/>
          <w:i w:val="1"/>
          <w:iCs w:val="1"/>
          <w:color w:val="auto"/>
        </w:rPr>
        <w:t>Star Trek: Deep Space Nine</w:t>
      </w:r>
      <w:r>
        <w:rPr>
          <w:rFonts w:ascii="Arial" w:cs="Arial" w:eastAsia="Arial" w:hAnsi="Arial"/>
          <w:sz w:val="15"/>
          <w:szCs w:val="15"/>
          <w:color w:val="auto"/>
        </w:rPr>
        <w:t xml:space="preserve">, the initial domestic syndication of </w:t>
      </w:r>
      <w:r>
        <w:rPr>
          <w:rFonts w:ascii="Arial" w:cs="Arial" w:eastAsia="Arial" w:hAnsi="Arial"/>
          <w:sz w:val="15"/>
          <w:szCs w:val="15"/>
          <w:i w:val="1"/>
          <w:iCs w:val="1"/>
          <w:color w:val="auto"/>
        </w:rPr>
        <w:t>CSI</w:t>
      </w:r>
      <w:r>
        <w:rPr>
          <w:rFonts w:ascii="Arial" w:cs="Arial" w:eastAsia="Arial" w:hAnsi="Arial"/>
          <w:sz w:val="15"/>
          <w:szCs w:val="15"/>
          <w:color w:val="auto"/>
        </w:rPr>
        <w:t xml:space="preserve"> and the renewal by incumbent stations of </w:t>
      </w:r>
      <w:r>
        <w:rPr>
          <w:rFonts w:ascii="Arial" w:cs="Arial" w:eastAsia="Arial" w:hAnsi="Arial"/>
          <w:sz w:val="15"/>
          <w:szCs w:val="15"/>
          <w:i w:val="1"/>
          <w:iCs w:val="1"/>
          <w:color w:val="auto"/>
        </w:rPr>
        <w:t>Everybody Loves Raymond</w:t>
      </w:r>
      <w:r>
        <w:rPr>
          <w:rFonts w:ascii="Arial" w:cs="Arial" w:eastAsia="Arial" w:hAnsi="Arial"/>
          <w:sz w:val="15"/>
          <w:szCs w:val="15"/>
          <w:color w:val="auto"/>
        </w:rPr>
        <w:t xml:space="preserve">, partially offset by lower network revenues for shows no longer in production including </w:t>
      </w:r>
      <w:r>
        <w:rPr>
          <w:rFonts w:ascii="Arial" w:cs="Arial" w:eastAsia="Arial" w:hAnsi="Arial"/>
          <w:sz w:val="15"/>
          <w:szCs w:val="15"/>
          <w:i w:val="1"/>
          <w:iCs w:val="1"/>
          <w:color w:val="auto"/>
        </w:rPr>
        <w:t>Frasier</w:t>
      </w:r>
      <w:r>
        <w:rPr>
          <w:rFonts w:ascii="Arial" w:cs="Arial" w:eastAsia="Arial" w:hAnsi="Arial"/>
          <w:sz w:val="15"/>
          <w:szCs w:val="15"/>
          <w:color w:val="auto"/>
        </w:rPr>
        <w:t xml:space="preserve">. Home entertainment revenues increased due to the DVD releases of </w:t>
      </w:r>
      <w:r>
        <w:rPr>
          <w:rFonts w:ascii="Arial" w:cs="Arial" w:eastAsia="Arial" w:hAnsi="Arial"/>
          <w:sz w:val="15"/>
          <w:szCs w:val="15"/>
          <w:i w:val="1"/>
          <w:iCs w:val="1"/>
          <w:color w:val="auto"/>
        </w:rPr>
        <w:t>Star Trek: Voyager</w:t>
      </w:r>
      <w:r>
        <w:rPr>
          <w:rFonts w:ascii="Arial" w:cs="Arial" w:eastAsia="Arial" w:hAnsi="Arial"/>
          <w:sz w:val="15"/>
          <w:szCs w:val="15"/>
          <w:color w:val="auto"/>
        </w:rPr>
        <w:t xml:space="preserve"> and </w:t>
      </w:r>
      <w:r>
        <w:rPr>
          <w:rFonts w:ascii="Arial" w:cs="Arial" w:eastAsia="Arial" w:hAnsi="Arial"/>
          <w:sz w:val="15"/>
          <w:szCs w:val="15"/>
          <w:i w:val="1"/>
          <w:iCs w:val="1"/>
          <w:color w:val="auto"/>
        </w:rPr>
        <w:t>Star Trek: Original Series.</w:t>
      </w:r>
    </w:p>
    <w:p>
      <w:pPr>
        <w:spacing w:after="0" w:line="142"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For 2004, Television operating income increased $309.3 million, or 25%, to $1.5 billion principally due to the revenue increases noted above. Total expenses increased 7% for the year primarily due to higher production and programming expenses and higher selling, general and administrative expenses. Production costs and programming expenses increased 5% reflecting higher program rights expense for sports events and primetime series. Included in selling, general and administrative expenses was a severance charge of $10.4 million recorded in the second quarter of 2004 related to a management change. Television operating income in 2003 included approximately $27 million in insurance recoveries. Operating income as a percentage of revenues was 18% in 2004 versus 16% in 2003.</w:t>
      </w:r>
    </w:p>
    <w:p>
      <w:pPr>
        <w:spacing w:after="0" w:line="15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License fees for completed television programming in syndication and on cable are recorded as revenue in the period that the products are available for exhibition, which, among other reasons, may cause substantial fluctuation in operating results. Unrecognized revenues attributable to such licensing agreements were approximately $734.4 million and $634.9 million at December 31, 2004 and 2003, respectively, including intercompany revenues of $176.3 million and $345.2 million for these periods, respectively.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2003 vs. 2002</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For 2003, Television revenues increased $304.2 million, or 4%, to $7.8 billion primarily driven by higher advertising revenues at the broadcast networks and the Stations group, and higher syndication revenues. CBS and UPN Networks combined advertising revenues increased 6%, with 8% growth in CBS primetime due primarily to a 6% average rate increase. Late night, daytime and news advertising revenues were up with average rate increases, partially offset by a rate decrease at sports, due primarily to the impact of the war on the broadcast of the NCAA basketball tournament. The Stations group delivered 2% year-over-year advertising revenue growth led by ratings improvements for the CBS Network, particularly at 10 pm, which improved the stations' local news and syndication as well as higher sales in the automotive, leisure and media industries. The Stations group also benefited from the full year results of KCAL-TV Los Angeles, acquired in May 2002, which contributed 3% to the revenue growth in 2003. These increases were more than offset by the absence of political advertising which was down over 80% versus 2002.</w:t>
      </w:r>
    </w:p>
    <w:p>
      <w:pPr>
        <w:spacing w:after="0" w:line="172" w:lineRule="exact"/>
        <w:rPr>
          <w:sz w:val="20"/>
          <w:szCs w:val="20"/>
          <w:color w:val="auto"/>
        </w:rPr>
      </w:pPr>
    </w:p>
    <w:p>
      <w:pPr>
        <w:ind w:right="160" w:firstLine="351"/>
        <w:spacing w:after="0" w:line="303" w:lineRule="auto"/>
        <w:rPr>
          <w:sz w:val="20"/>
          <w:szCs w:val="20"/>
          <w:color w:val="auto"/>
        </w:rPr>
      </w:pPr>
      <w:r>
        <w:rPr>
          <w:rFonts w:ascii="Arial" w:cs="Arial" w:eastAsia="Arial" w:hAnsi="Arial"/>
          <w:sz w:val="15"/>
          <w:szCs w:val="15"/>
          <w:color w:val="auto"/>
        </w:rPr>
        <w:t xml:space="preserve">Higher syndication revenues for 2003 were partially offset by a decrease in domestic syndication availabilities and home entertainment revenues. Syndication revenues were higher primarily due to increases in license fees and barter revenues for </w:t>
      </w:r>
      <w:r>
        <w:rPr>
          <w:rFonts w:ascii="Arial" w:cs="Arial" w:eastAsia="Arial" w:hAnsi="Arial"/>
          <w:sz w:val="15"/>
          <w:szCs w:val="15"/>
          <w:i w:val="1"/>
          <w:iCs w:val="1"/>
          <w:color w:val="auto"/>
        </w:rPr>
        <w:t>The Dr. Phil Show</w:t>
      </w:r>
      <w:r>
        <w:rPr>
          <w:rFonts w:ascii="Arial" w:cs="Arial" w:eastAsia="Arial" w:hAnsi="Arial"/>
          <w:sz w:val="15"/>
          <w:szCs w:val="15"/>
          <w:color w:val="auto"/>
        </w:rPr>
        <w:t xml:space="preserve"> which debuted in September 2002 and higher barter revenues from </w:t>
      </w:r>
      <w:r>
        <w:rPr>
          <w:rFonts w:ascii="Arial" w:cs="Arial" w:eastAsia="Arial" w:hAnsi="Arial"/>
          <w:sz w:val="15"/>
          <w:szCs w:val="15"/>
          <w:i w:val="1"/>
          <w:iCs w:val="1"/>
          <w:color w:val="auto"/>
        </w:rPr>
        <w:t>Everybody Loves Raymond</w:t>
      </w:r>
      <w:r>
        <w:rPr>
          <w:rFonts w:ascii="Arial" w:cs="Arial" w:eastAsia="Arial" w:hAnsi="Arial"/>
          <w:sz w:val="15"/>
          <w:szCs w:val="15"/>
          <w:color w:val="auto"/>
        </w:rPr>
        <w:t xml:space="preserve">. Revenues from domestic syndication availabilities in 2003 included </w:t>
      </w:r>
      <w:r>
        <w:rPr>
          <w:rFonts w:ascii="Arial" w:cs="Arial" w:eastAsia="Arial" w:hAnsi="Arial"/>
          <w:sz w:val="15"/>
          <w:szCs w:val="15"/>
          <w:i w:val="1"/>
          <w:iCs w:val="1"/>
          <w:color w:val="auto"/>
        </w:rPr>
        <w:t>The Parkers</w:t>
      </w:r>
      <w:r>
        <w:rPr>
          <w:rFonts w:ascii="Arial" w:cs="Arial" w:eastAsia="Arial" w:hAnsi="Arial"/>
          <w:sz w:val="15"/>
          <w:szCs w:val="15"/>
          <w:color w:val="auto"/>
        </w:rPr>
        <w:t xml:space="preserve">, </w:t>
      </w:r>
      <w:r>
        <w:rPr>
          <w:rFonts w:ascii="Arial" w:cs="Arial" w:eastAsia="Arial" w:hAnsi="Arial"/>
          <w:sz w:val="15"/>
          <w:szCs w:val="15"/>
          <w:i w:val="1"/>
          <w:iCs w:val="1"/>
          <w:color w:val="auto"/>
        </w:rPr>
        <w:t>Sabrina</w:t>
      </w:r>
      <w:r>
        <w:rPr>
          <w:rFonts w:ascii="Arial" w:cs="Arial" w:eastAsia="Arial" w:hAnsi="Arial"/>
          <w:sz w:val="15"/>
          <w:szCs w:val="15"/>
          <w:color w:val="auto"/>
        </w:rPr>
        <w:t xml:space="preserve">, </w:t>
      </w:r>
      <w:r>
        <w:rPr>
          <w:rFonts w:ascii="Arial" w:cs="Arial" w:eastAsia="Arial" w:hAnsi="Arial"/>
          <w:sz w:val="15"/>
          <w:szCs w:val="15"/>
          <w:i w:val="1"/>
          <w:iCs w:val="1"/>
          <w:color w:val="auto"/>
        </w:rPr>
        <w:t>the Teenage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6"/>
          <w:szCs w:val="16"/>
          <w:i w:val="1"/>
          <w:iCs w:val="1"/>
          <w:color w:val="auto"/>
        </w:rPr>
        <w:t xml:space="preserve">Witch </w:t>
      </w:r>
      <w:r>
        <w:rPr>
          <w:rFonts w:ascii="Arial" w:cs="Arial" w:eastAsia="Arial" w:hAnsi="Arial"/>
          <w:sz w:val="16"/>
          <w:szCs w:val="16"/>
          <w:color w:val="auto"/>
        </w:rPr>
        <w:t>and the off-network syndication of seasons one through five of</w:t>
      </w:r>
      <w:r>
        <w:rPr>
          <w:rFonts w:ascii="Arial" w:cs="Arial" w:eastAsia="Arial" w:hAnsi="Arial"/>
          <w:sz w:val="16"/>
          <w:szCs w:val="16"/>
          <w:i w:val="1"/>
          <w:iCs w:val="1"/>
          <w:color w:val="auto"/>
        </w:rPr>
        <w:t xml:space="preserve"> Becker</w:t>
      </w:r>
      <w:r>
        <w:rPr>
          <w:rFonts w:ascii="Arial" w:cs="Arial" w:eastAsia="Arial" w:hAnsi="Arial"/>
          <w:sz w:val="16"/>
          <w:szCs w:val="16"/>
          <w:color w:val="auto"/>
        </w:rPr>
        <w:t>, and did not match 2002's initial basic cable syndication availabilities including</w:t>
      </w:r>
      <w:r>
        <w:rPr>
          <w:rFonts w:ascii="Arial" w:cs="Arial" w:eastAsia="Arial" w:hAnsi="Arial"/>
          <w:sz w:val="16"/>
          <w:szCs w:val="16"/>
          <w:i w:val="1"/>
          <w:iCs w:val="1"/>
          <w:color w:val="auto"/>
        </w:rPr>
        <w:t xml:space="preserve"> 7</w:t>
      </w:r>
      <w:r>
        <w:rPr>
          <w:rFonts w:ascii="Arial" w:cs="Arial" w:eastAsia="Arial" w:hAnsi="Arial"/>
          <w:sz w:val="26"/>
          <w:szCs w:val="26"/>
          <w:i w:val="1"/>
          <w:iCs w:val="1"/>
          <w:color w:val="auto"/>
          <w:vertAlign w:val="superscript"/>
        </w:rPr>
        <w:t>th</w:t>
      </w:r>
      <w:r>
        <w:rPr>
          <w:rFonts w:ascii="Arial" w:cs="Arial" w:eastAsia="Arial" w:hAnsi="Arial"/>
          <w:sz w:val="16"/>
          <w:szCs w:val="16"/>
          <w:i w:val="1"/>
          <w:iCs w:val="1"/>
          <w:color w:val="auto"/>
        </w:rPr>
        <w:t xml:space="preserve"> Heaven, Charmed </w:t>
      </w:r>
      <w:r>
        <w:rPr>
          <w:rFonts w:ascii="Arial" w:cs="Arial" w:eastAsia="Arial" w:hAnsi="Arial"/>
          <w:sz w:val="16"/>
          <w:szCs w:val="16"/>
          <w:color w:val="auto"/>
        </w:rPr>
        <w:t>and</w:t>
      </w:r>
      <w:r>
        <w:rPr>
          <w:rFonts w:ascii="Arial" w:cs="Arial" w:eastAsia="Arial" w:hAnsi="Arial"/>
          <w:sz w:val="16"/>
          <w:szCs w:val="16"/>
          <w:i w:val="1"/>
          <w:iCs w:val="1"/>
          <w:color w:val="auto"/>
        </w:rPr>
        <w:t xml:space="preserve"> Seven Days</w:t>
      </w:r>
      <w:r>
        <w:rPr>
          <w:rFonts w:ascii="Arial" w:cs="Arial" w:eastAsia="Arial" w:hAnsi="Arial"/>
          <w:sz w:val="16"/>
          <w:szCs w:val="16"/>
          <w:color w:val="auto"/>
        </w:rPr>
        <w:t>. Home entertainment revenues for 2003 decreased as contributions from the DVD release of seasons one through seven of</w:t>
      </w:r>
      <w:r>
        <w:rPr>
          <w:rFonts w:ascii="Arial" w:cs="Arial" w:eastAsia="Arial" w:hAnsi="Arial"/>
          <w:sz w:val="16"/>
          <w:szCs w:val="16"/>
          <w:i w:val="1"/>
          <w:iCs w:val="1"/>
          <w:color w:val="auto"/>
        </w:rPr>
        <w:t xml:space="preserve"> Star Trek: Deep Space Nine </w:t>
      </w:r>
      <w:r>
        <w:rPr>
          <w:rFonts w:ascii="Arial" w:cs="Arial" w:eastAsia="Arial" w:hAnsi="Arial"/>
          <w:sz w:val="16"/>
          <w:szCs w:val="16"/>
          <w:color w:val="auto"/>
        </w:rPr>
        <w:t>did not match the contributions from the 2002 DVD release of seasons one through seven of</w:t>
      </w:r>
      <w:r>
        <w:rPr>
          <w:rFonts w:ascii="Arial" w:cs="Arial" w:eastAsia="Arial" w:hAnsi="Arial"/>
          <w:sz w:val="16"/>
          <w:szCs w:val="16"/>
          <w:i w:val="1"/>
          <w:iCs w:val="1"/>
          <w:color w:val="auto"/>
        </w:rPr>
        <w:t xml:space="preserve"> Star Trek: The Next Generation</w:t>
      </w:r>
      <w:r>
        <w:rPr>
          <w:rFonts w:ascii="Arial" w:cs="Arial" w:eastAsia="Arial" w:hAnsi="Arial"/>
          <w:sz w:val="16"/>
          <w:szCs w:val="16"/>
          <w:color w:val="auto"/>
        </w:rPr>
        <w:t>.</w:t>
      </w:r>
    </w:p>
    <w:p>
      <w:pPr>
        <w:spacing w:after="0" w:line="20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For 2003, Television operating income increased $60.5 million, or 5%, to $1.2 billion principally due to the revenue increases noted above. Operating expenses principally comprised of production costs and programming expenses increased 5%. CBS Network experienced higher programming costs due to more hours of original summer programming, contractual series increases in primetime and increased sports rights payments which were associated with the first year of new contracts with both the NCAA and the PGA Tour. The Stations group incurred higher operating expenses in 2003 principally due to expansion of news coverage and talent, partially offset by reduced advertising and promotion. Television operating income for 2003 included approximately $27 million from insurance recoveries. Operating income as a percentage of revenues was 16% for 2003 and 2002.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Radio </w:t>
      </w:r>
      <w:r>
        <w:rPr>
          <w:rFonts w:ascii="Arial" w:cs="Arial" w:eastAsia="Arial" w:hAnsi="Arial"/>
          <w:sz w:val="18"/>
          <w:szCs w:val="18"/>
          <w:i w:val="1"/>
          <w:iCs w:val="1"/>
          <w:color w:val="auto"/>
        </w:rPr>
        <w:t>(Radio Stations)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(Contributed 9% of consolidated revenues for the year ended December 31, 2004, 10% for the year ended December 31, 2003 and 11% for the year 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189865</wp:posOffset>
            </wp:positionV>
            <wp:extent cx="652145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300" w:type="dxa"/>
            <w:vAlign w:val="bottom"/>
          </w:tcPr>
          <w:p>
            <w:pPr>
              <w:spacing w:after="0"/>
              <w:rPr>
                <w:sz w:val="15"/>
                <w:szCs w:val="15"/>
                <w:color w:val="auto"/>
              </w:rPr>
            </w:pPr>
          </w:p>
        </w:tc>
        <w:tc>
          <w:tcPr>
            <w:tcW w:w="1180" w:type="dxa"/>
            <w:vAlign w:val="bottom"/>
          </w:tcPr>
          <w:p>
            <w:pPr>
              <w:jc w:val="right"/>
              <w:ind w:right="595"/>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1020" w:type="dxa"/>
            <w:vAlign w:val="bottom"/>
          </w:tcPr>
          <w:p>
            <w:pPr>
              <w:jc w:val="right"/>
              <w:ind w:right="475"/>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2,096.1</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2,097.6</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Non-cash impairment charge</w:t>
            </w:r>
          </w:p>
        </w:tc>
        <w:tc>
          <w:tcPr>
            <w:tcW w:w="23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(10,941.8)</w:t>
            </w:r>
          </w:p>
        </w:tc>
        <w:tc>
          <w:tcPr>
            <w:tcW w:w="34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(OI)</w:t>
            </w:r>
          </w:p>
        </w:tc>
        <w:tc>
          <w:tcPr>
            <w:tcW w:w="2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(10,023.5)</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975.0</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OI as a % of revenues</w:t>
            </w:r>
          </w:p>
        </w:tc>
        <w:tc>
          <w:tcPr>
            <w:tcW w:w="230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29.9</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27.4</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Capital expenditures</w:t>
            </w:r>
          </w:p>
        </w:tc>
        <w:tc>
          <w:tcPr>
            <w:tcW w:w="23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38.2</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14.1</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-1129030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-1129030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NM—Not meaningful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vs. 2003</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Radio's revenues are generated domestically from 183 radio stations. For 2004, Radio revenues were primarily flat at $2.1 billion reflecting continued weakness in national and local radio advertising revenues in part due to increased competition from other advertising media. Advertising revenues reflected a decline in the units sold, partially offset by an increase in average unit rates and higher affiliated revenues. Radio receives consideration for management services provided to Westwood One, an affiliated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Revenues from these arrangements were approximately $65.9 million for the year ended December 31, 2004 versus $64.3 million for the prior year.</w:t>
      </w:r>
    </w:p>
    <w:p>
      <w:pPr>
        <w:spacing w:after="0" w:line="248"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For 2004, Radio reported an operating loss of $10.0 billion which included a $10.9 billion non-cash impairment charge to reduce goodwill and intangibles. Expenses, including operating, selling, general and administrative expenses, and depreciation and amortization, increased 5% to $1.2 billion. Operating expenses, primarily comprised of radio programming expenses including on-air talent, program rights amortization and other production costs, increased 5% to</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$513.9 million primarily due to higher contractual talent costs. Selling, general and administrative expenses increased 5% to $634.0 million mainly from higher advertising and promotion expenditures and employee-related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vs. 2002</w:t>
      </w:r>
    </w:p>
    <w:p>
      <w:pPr>
        <w:spacing w:after="0" w:line="231"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For 2003, Radio revenues decreased $24.0 million to $2.1 billion reflecting a 1% increase in advertising revenues which was more than offset by lower revenues for management services provided to Westwood One. Revenues from these arrangements were approximately $64.3 million for the year ended December 31, 2003 and $110.4 million for the year ended December 31, 2002.</w:t>
      </w:r>
    </w:p>
    <w:p>
      <w:pPr>
        <w:spacing w:after="0" w:line="19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For 2003, Radio operating income decreased $32.6 million, or 3%, to $975.0 million principally due to the revenue decrease and an increase in expenses. Operating expenses increased 7% in 2003 primarily reflecting contractual talent increases as well as increased sports rights. Selling, general and administrative expenses decreased 3%, reflecting $13 million of insurance recoveries and lower advertising and promotional expenditures in 2003. Operating income as a percentage of revenues was 46% in 2003 versus 47% in 2002.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Outdoor </w:t>
      </w:r>
      <w:r>
        <w:rPr>
          <w:rFonts w:ascii="Arial" w:cs="Arial" w:eastAsia="Arial" w:hAnsi="Arial"/>
          <w:sz w:val="18"/>
          <w:szCs w:val="18"/>
          <w:i w:val="1"/>
          <w:iCs w:val="1"/>
          <w:color w:val="auto"/>
        </w:rPr>
        <w:t>(Outdoor Advertising Properties)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(Contributed 8% of consolidated revenues for the years ended December 31, 2004 and 2003 and 9% for the year 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229235</wp:posOffset>
            </wp:positionV>
            <wp:extent cx="652145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360" w:type="dxa"/>
            <w:vAlign w:val="bottom"/>
          </w:tcPr>
          <w:p>
            <w:pPr>
              <w:spacing w:after="0"/>
              <w:rPr>
                <w:sz w:val="15"/>
                <w:szCs w:val="15"/>
                <w:color w:val="auto"/>
              </w:rPr>
            </w:pPr>
          </w:p>
        </w:tc>
        <w:tc>
          <w:tcPr>
            <w:tcW w:w="1100" w:type="dxa"/>
            <w:vAlign w:val="bottom"/>
          </w:tcPr>
          <w:p>
            <w:pPr>
              <w:jc w:val="right"/>
              <w:ind w:right="535"/>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1000" w:type="dxa"/>
            <w:vAlign w:val="bottom"/>
          </w:tcPr>
          <w:p>
            <w:pPr>
              <w:jc w:val="right"/>
              <w:ind w:right="475"/>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920" w:type="dxa"/>
            <w:vAlign w:val="bottom"/>
          </w:tcPr>
          <w:p>
            <w:pPr>
              <w:jc w:val="right"/>
              <w:ind w:right="395"/>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1,880.2</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1,748.3</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Non-cash impairment charge</w:t>
            </w:r>
          </w:p>
        </w:tc>
        <w:tc>
          <w:tcPr>
            <w:tcW w:w="2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(7,055.3)</w:t>
            </w:r>
          </w:p>
        </w:tc>
        <w:tc>
          <w:tcPr>
            <w:tcW w:w="34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(OI)</w:t>
            </w:r>
          </w:p>
        </w:tc>
        <w:tc>
          <w:tcPr>
            <w:tcW w:w="2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(6,824.5)</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207.9</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OI as a % of revenues</w:t>
            </w:r>
          </w:p>
        </w:tc>
        <w:tc>
          <w:tcPr>
            <w:tcW w:w="236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223.1</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215.9</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Capital expenditures</w:t>
            </w:r>
          </w:p>
        </w:tc>
        <w:tc>
          <w:tcPr>
            <w:tcW w:w="2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56.5</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58.1</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-1129030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-1129030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NM—Not meaningful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2004 vs. 2003</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For 2004, Outdoor revenues increased $131.9 million, or 8%, to $1.9 billion reflecting a 14% increase from its European properties and a 4% increase in North America. North American properties reflected a 16% increase in Canadian revenues and a 5% increase in U.S. billboards revenues, partially offset by Mexico billboards revenues decrease of 11%. Revenue growth from its European properties benefited from favorable foreign exchange rates. The impact of foreign exchange translation on revenues was approximately $68 million, or four percentage points of the increase for the year. Approximately 45% of Outdoor revenues were generated from international regions, principally Europe, in 2004 versus 43% in 2003.</w:t>
      </w:r>
    </w:p>
    <w:p>
      <w:pPr>
        <w:spacing w:after="0" w:line="170"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For 2004, Outdoor reported an operating loss of $6.8 billion, which included a non-cash impairment charge of $7.1 billion to reduce goodwill. Operating expenses, which exclude the non-cash charge, increased 9% due to higher transit and billboard lease costs, as well as the negative impact of foreign exchange translation.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vs. 2002</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For 2003, Outdoor revenues increased $114.8 million, or 7%, to $1.7 billion reflecting a 17% increase from its European properties and a 2% increase in North America. Revenue growth from its European properties was principally driven by favorable foreign exchange rates. North American results reflected higher revenues from U.S. billboards, driven by an increase in the number of displays, partially offset by lower revenues from the U.S. transit business, due to a decrease in the number of displays and in the average per unit rate, and lower revenues from billboards in Mexico.</w:t>
      </w:r>
    </w:p>
    <w:p>
      <w:pPr>
        <w:spacing w:after="0" w:line="167"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For 2003, Outdoor operating income decreased $10.1 million, or 5%, to $207.9 million as the revenue increase was more than offset by a 9% increase in total expenses principally due to higher billboard lease costs and sales-related expenses as well as in transit guarantees and posting rotation expenses due to shorter campaigns. Operating income as a percentage of revenues was 12% versus 13% in 2002.</w:t>
      </w:r>
    </w:p>
    <w:p>
      <w:pPr>
        <w:spacing w:after="0" w:line="155"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 xml:space="preserve">Entertainment </w:t>
      </w:r>
      <w:r>
        <w:rPr>
          <w:rFonts w:ascii="Arial" w:cs="Arial" w:eastAsia="Arial" w:hAnsi="Arial"/>
          <w:sz w:val="18"/>
          <w:szCs w:val="18"/>
          <w:i w:val="1"/>
          <w:iCs w:val="1"/>
          <w:color w:val="auto"/>
        </w:rPr>
        <w:t>(Production and distribution of Motion Pictures; Consumer Publishing; the operation of Theme Parks and Movie Theaters; and Music</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Publishing</w:t>
      </w:r>
      <w:r>
        <w:rPr>
          <w:rFonts w:ascii="Arial" w:cs="Arial" w:eastAsia="Arial" w:hAnsi="Arial"/>
          <w:sz w:val="18"/>
          <w:szCs w:val="18"/>
          <w:color w:val="auto"/>
        </w:rPr>
        <w:t>)</w:t>
      </w:r>
    </w:p>
    <w:p>
      <w:pPr>
        <w:spacing w:after="0" w:line="180"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(Contributed 18% of consolidated revenues for the year ended December 31, 2004, 20% for the year ended December 31, 2003 and 19% for the year 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900" w:type="dxa"/>
            <w:vAlign w:val="bottom"/>
          </w:tcPr>
          <w:p>
            <w:pPr>
              <w:jc w:val="right"/>
              <w:ind w:right="652"/>
              <w:spacing w:after="0"/>
              <w:rPr>
                <w:sz w:val="20"/>
                <w:szCs w:val="20"/>
                <w:color w:val="auto"/>
              </w:rPr>
            </w:pPr>
            <w:r>
              <w:rPr>
                <w:rFonts w:ascii="Arial" w:cs="Arial" w:eastAsia="Arial" w:hAnsi="Arial"/>
                <w:sz w:val="14"/>
                <w:szCs w:val="14"/>
                <w:b w:val="1"/>
                <w:bCs w:val="1"/>
                <w:color w:val="auto"/>
              </w:rPr>
              <w:t>2004</w:t>
            </w:r>
          </w:p>
        </w:tc>
        <w:tc>
          <w:tcPr>
            <w:tcW w:w="1660" w:type="dxa"/>
            <w:vAlign w:val="bottom"/>
          </w:tcPr>
          <w:p>
            <w:pPr>
              <w:jc w:val="right"/>
              <w:ind w:right="612"/>
              <w:spacing w:after="0"/>
              <w:rPr>
                <w:sz w:val="20"/>
                <w:szCs w:val="20"/>
                <w:color w:val="auto"/>
              </w:rPr>
            </w:pPr>
            <w:r>
              <w:rPr>
                <w:rFonts w:ascii="Arial" w:cs="Arial" w:eastAsia="Arial" w:hAnsi="Arial"/>
                <w:sz w:val="14"/>
                <w:szCs w:val="14"/>
                <w:b w:val="1"/>
                <w:bCs w:val="1"/>
                <w:color w:val="auto"/>
              </w:rPr>
              <w:t>2003</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7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4,055.6</w:t>
            </w:r>
          </w:p>
        </w:tc>
        <w:tc>
          <w:tcPr>
            <w:tcW w:w="6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4,101.3</w:t>
            </w:r>
          </w:p>
        </w:tc>
        <w:tc>
          <w:tcPr>
            <w:tcW w:w="5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3,680.1</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Operating income (OI)</w:t>
            </w:r>
          </w:p>
        </w:tc>
        <w:tc>
          <w:tcPr>
            <w:tcW w:w="27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254.0</w:t>
            </w:r>
          </w:p>
        </w:tc>
        <w:tc>
          <w:tcPr>
            <w:tcW w:w="6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271.4</w:t>
            </w:r>
          </w:p>
        </w:tc>
        <w:tc>
          <w:tcPr>
            <w:tcW w:w="5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358.3</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OI as a % of revenues</w:t>
            </w:r>
          </w:p>
        </w:tc>
        <w:tc>
          <w:tcPr>
            <w:tcW w:w="27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430"/>
        </w:trPr>
        <w:tc>
          <w:tcPr>
            <w:tcW w:w="4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7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137.8</w:t>
            </w:r>
          </w:p>
        </w:tc>
        <w:tc>
          <w:tcPr>
            <w:tcW w:w="6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129.7</w:t>
            </w:r>
          </w:p>
        </w:tc>
        <w:tc>
          <w:tcPr>
            <w:tcW w:w="5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120.7</w:t>
            </w:r>
          </w:p>
        </w:tc>
      </w:tr>
      <w:tr>
        <w:trPr>
          <w:trHeight w:val="218"/>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7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74.2</w:t>
            </w:r>
          </w:p>
        </w:tc>
        <w:tc>
          <w:tcPr>
            <w:tcW w:w="6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66.4</w:t>
            </w:r>
          </w:p>
        </w:tc>
        <w:tc>
          <w:tcPr>
            <w:tcW w:w="5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118"/>
        </w:trPr>
        <w:tc>
          <w:tcPr>
            <w:tcW w:w="4460" w:type="dxa"/>
            <w:vAlign w:val="bottom"/>
            <w:tcBorders>
              <w:bottom w:val="single" w:sz="8" w:color="808080"/>
            </w:tcBorders>
          </w:tcPr>
          <w:p>
            <w:pPr>
              <w:spacing w:after="0"/>
              <w:rPr>
                <w:sz w:val="10"/>
                <w:szCs w:val="10"/>
                <w:color w:val="auto"/>
              </w:rPr>
            </w:pPr>
          </w:p>
        </w:tc>
        <w:tc>
          <w:tcPr>
            <w:tcW w:w="27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vs. 2003</w:t>
      </w:r>
    </w:p>
    <w:p>
      <w:pPr>
        <w:spacing w:after="0" w:line="231"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For 2004, Entertainment revenues decreased $45.7 million, or 1%, to $4.1 billion principally reflecting lower Features revenues, partially offset by higher revenues from Publishing, Parks and Theaters. Approximately 38% of Entertainment's revenues were generated from international regions in 2004, principally Europe and Canada.</w:t>
      </w:r>
    </w:p>
    <w:p>
      <w:pPr>
        <w:spacing w:after="0" w:line="194" w:lineRule="exact"/>
        <w:rPr>
          <w:sz w:val="20"/>
          <w:szCs w:val="20"/>
          <w:color w:val="auto"/>
        </w:rPr>
      </w:pPr>
    </w:p>
    <w:p>
      <w:pPr>
        <w:jc w:val="both"/>
        <w:ind w:right="240" w:firstLine="351"/>
        <w:spacing w:after="0" w:line="370" w:lineRule="auto"/>
        <w:rPr>
          <w:sz w:val="20"/>
          <w:szCs w:val="20"/>
          <w:color w:val="auto"/>
        </w:rPr>
      </w:pPr>
      <w:r>
        <w:rPr>
          <w:rFonts w:ascii="Arial" w:cs="Arial" w:eastAsia="Arial" w:hAnsi="Arial"/>
          <w:sz w:val="15"/>
          <w:szCs w:val="15"/>
          <w:color w:val="auto"/>
        </w:rPr>
        <w:t xml:space="preserve">For 2004, Features revenues decreased 6% principally reflecting lower home entertainment revenues as contributions from 2004 titles including </w:t>
      </w:r>
      <w:r>
        <w:rPr>
          <w:rFonts w:ascii="Arial" w:cs="Arial" w:eastAsia="Arial" w:hAnsi="Arial"/>
          <w:sz w:val="15"/>
          <w:szCs w:val="15"/>
          <w:i w:val="1"/>
          <w:iCs w:val="1"/>
          <w:color w:val="auto"/>
        </w:rPr>
        <w:t>School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Rock </w:t>
      </w:r>
      <w:r>
        <w:rPr>
          <w:rFonts w:ascii="Arial" w:cs="Arial" w:eastAsia="Arial" w:hAnsi="Arial"/>
          <w:sz w:val="15"/>
          <w:szCs w:val="15"/>
          <w:color w:val="auto"/>
        </w:rPr>
        <w:t>and</w:t>
      </w:r>
      <w:r>
        <w:rPr>
          <w:rFonts w:ascii="Arial" w:cs="Arial" w:eastAsia="Arial" w:hAnsi="Arial"/>
          <w:sz w:val="15"/>
          <w:szCs w:val="15"/>
          <w:i w:val="1"/>
          <w:iCs w:val="1"/>
          <w:color w:val="auto"/>
        </w:rPr>
        <w:t xml:space="preserve"> Mean Girls </w:t>
      </w:r>
      <w:r>
        <w:rPr>
          <w:rFonts w:ascii="Arial" w:cs="Arial" w:eastAsia="Arial" w:hAnsi="Arial"/>
          <w:sz w:val="15"/>
          <w:szCs w:val="15"/>
          <w:color w:val="auto"/>
        </w:rPr>
        <w:t>did not match the success of last year's titles led by</w:t>
      </w:r>
      <w:r>
        <w:rPr>
          <w:rFonts w:ascii="Arial" w:cs="Arial" w:eastAsia="Arial" w:hAnsi="Arial"/>
          <w:sz w:val="15"/>
          <w:szCs w:val="15"/>
          <w:i w:val="1"/>
          <w:iCs w:val="1"/>
          <w:color w:val="auto"/>
        </w:rPr>
        <w:t xml:space="preserve"> The Adventures of Indiana Jones—the Complete DVD Movie Collection</w:t>
      </w:r>
      <w:r>
        <w:rPr>
          <w:rFonts w:ascii="Arial" w:cs="Arial" w:eastAsia="Arial" w:hAnsi="Arial"/>
          <w:sz w:val="15"/>
          <w:szCs w:val="15"/>
          <w:color w:val="auto"/>
        </w:rPr>
        <w:t>. Publishing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ind w:right="320"/>
        <w:spacing w:after="0" w:line="256" w:lineRule="auto"/>
        <w:rPr>
          <w:sz w:val="20"/>
          <w:szCs w:val="20"/>
          <w:color w:val="auto"/>
        </w:rPr>
      </w:pPr>
      <w:r>
        <w:rPr>
          <w:rFonts w:ascii="Arial" w:cs="Arial" w:eastAsia="Arial" w:hAnsi="Arial"/>
          <w:sz w:val="18"/>
          <w:szCs w:val="18"/>
          <w:color w:val="auto"/>
        </w:rPr>
        <w:t>revenues increased 8% primarily due to several top selling titles including "</w:t>
      </w:r>
      <w:r>
        <w:rPr>
          <w:rFonts w:ascii="Arial" w:cs="Arial" w:eastAsia="Arial" w:hAnsi="Arial"/>
          <w:sz w:val="18"/>
          <w:szCs w:val="18"/>
          <w:i w:val="1"/>
          <w:iCs w:val="1"/>
          <w:color w:val="auto"/>
        </w:rPr>
        <w:t>Angels &amp; Demons"</w:t>
      </w:r>
      <w:r>
        <w:rPr>
          <w:rFonts w:ascii="Arial" w:cs="Arial" w:eastAsia="Arial" w:hAnsi="Arial"/>
          <w:sz w:val="18"/>
          <w:szCs w:val="18"/>
          <w:color w:val="auto"/>
        </w:rPr>
        <w:t xml:space="preserve"> by Dan Brown and "</w:t>
      </w:r>
      <w:r>
        <w:rPr>
          <w:rFonts w:ascii="Arial" w:cs="Arial" w:eastAsia="Arial" w:hAnsi="Arial"/>
          <w:sz w:val="18"/>
          <w:szCs w:val="18"/>
          <w:i w:val="1"/>
          <w:iCs w:val="1"/>
          <w:color w:val="auto"/>
        </w:rPr>
        <w:t>Family First"</w:t>
      </w:r>
      <w:r>
        <w:rPr>
          <w:rFonts w:ascii="Arial" w:cs="Arial" w:eastAsia="Arial" w:hAnsi="Arial"/>
          <w:sz w:val="18"/>
          <w:szCs w:val="18"/>
          <w:color w:val="auto"/>
        </w:rPr>
        <w:t xml:space="preserve"> by Dr. Phil McGraw. Parks revenues increased 9% primarily due to higher attendance, up 12%, partially offset by lower average per capita spending. Parks also benefited from favorable foreign currency translation. Theaters revenues increased 2% primarily from the benefit of favorable foreign currency translation, partially offset by lower attendance.</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For 2004, Entertainment operating income decreased $17.4 million, or 6%, to $254.0 million primarily due to the revenue decreases noted above, partially offset by an overall 1% decrease in total expenses. Higher variable expenses at Parks and Publishing, and higher Theater operating expenses and depreciation principally resulting from the negative impact of foreign exchange rates, were more than offset by lower Features film amortization and distribution costs. Included in selling, general and administrative expenses was a severance charge of $10.4 million recorded in the second quarter of 2004 related to a management change. Operating income as a percentage of revenues was 6% in 2004 versus 7% in 2003.</w:t>
      </w:r>
    </w:p>
    <w:p>
      <w:pPr>
        <w:spacing w:after="0" w:line="170"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License fees for television exhibition of completed motion pictures are recorded as revenue in the period that the products are available for such exhibition, which, among other reasons, may cause substantial fluctuation in operating results. Unrecognized revenues attributable to such licensing agreements were approximately $1.2 billion as of December 31, 2004 and 2003 including intercompany revenues of $287.4 million and $281.1 million,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vs. 2002</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2003, Entertainment revenues increased $421.2 million, or 11%, to $4.1 billion principally reflecting higher Features, Theaters and Publishing revenues.</w:t>
      </w:r>
    </w:p>
    <w:p>
      <w:pPr>
        <w:spacing w:after="0" w:line="248"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 xml:space="preserve">Features revenues were higher principally due to increased worldwide home entertainment, theatrical and pay television revenues, partially offset by lower network revenues. Domestic theatrical revenues were lower than the prior year due in part to fewer titles in domestic theatrical release. Foreign theatrical revenues were higher than the prior year primarily due to contributions from </w:t>
      </w:r>
      <w:r>
        <w:rPr>
          <w:rFonts w:ascii="Arial" w:cs="Arial" w:eastAsia="Arial" w:hAnsi="Arial"/>
          <w:sz w:val="18"/>
          <w:szCs w:val="18"/>
          <w:i w:val="1"/>
          <w:iCs w:val="1"/>
          <w:color w:val="auto"/>
        </w:rPr>
        <w:t>How To Lose A Guy In 10 Days</w:t>
      </w:r>
      <w:r>
        <w:rPr>
          <w:rFonts w:ascii="Arial" w:cs="Arial" w:eastAsia="Arial" w:hAnsi="Arial"/>
          <w:sz w:val="18"/>
          <w:szCs w:val="18"/>
          <w:color w:val="auto"/>
        </w:rPr>
        <w:t xml:space="preserve">, </w:t>
      </w:r>
      <w:r>
        <w:rPr>
          <w:rFonts w:ascii="Arial" w:cs="Arial" w:eastAsia="Arial" w:hAnsi="Arial"/>
          <w:sz w:val="18"/>
          <w:szCs w:val="18"/>
          <w:i w:val="1"/>
          <w:iCs w:val="1"/>
          <w:color w:val="auto"/>
        </w:rPr>
        <w:t>Lara Croft Tomb Raider</w:t>
      </w:r>
      <w:r>
        <w:rPr>
          <w:rFonts w:ascii="Arial" w:cs="Arial" w:eastAsia="Arial" w:hAnsi="Arial"/>
          <w:sz w:val="18"/>
          <w:szCs w:val="18"/>
          <w:color w:val="auto"/>
        </w:rPr>
        <w:t xml:space="preserve">: </w:t>
      </w:r>
      <w:r>
        <w:rPr>
          <w:rFonts w:ascii="Arial" w:cs="Arial" w:eastAsia="Arial" w:hAnsi="Arial"/>
          <w:sz w:val="18"/>
          <w:szCs w:val="18"/>
          <w:i w:val="1"/>
          <w:iCs w:val="1"/>
          <w:color w:val="auto"/>
        </w:rPr>
        <w:t>The Cradle Of Life</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Italian Job</w:t>
      </w:r>
      <w:r>
        <w:rPr>
          <w:rFonts w:ascii="Arial" w:cs="Arial" w:eastAsia="Arial" w:hAnsi="Arial"/>
          <w:sz w:val="18"/>
          <w:szCs w:val="18"/>
          <w:color w:val="auto"/>
        </w:rPr>
        <w:t>. Pay television revenues were higher while network revenues were lower compared to the prior year, both reflecting a change in the mix of titles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w:t>
      </w:r>
    </w:p>
    <w:p>
      <w:pPr>
        <w:spacing w:after="0" w:line="19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Theaters revenues increased 12% principally due to the benefit of favorable foreign currency translation, higher average admission prices and increased per capita spending, which more than offset a decline in attendance. Parks revenues increased slightly for the year primarily due to a 1% increase in average per capita spending and the benefit of favorable foreign currency translation, partially offset by a 2% decline in attendance. Publishing revenues increased 3% on the strength of its top-selling titles for the year which included "</w:t>
      </w:r>
      <w:r>
        <w:rPr>
          <w:rFonts w:ascii="Arial" w:cs="Arial" w:eastAsia="Arial" w:hAnsi="Arial"/>
          <w:sz w:val="18"/>
          <w:szCs w:val="18"/>
          <w:i w:val="1"/>
          <w:iCs w:val="1"/>
          <w:color w:val="auto"/>
        </w:rPr>
        <w:t>The Ultimate Weight Solution"</w:t>
      </w:r>
      <w:r>
        <w:rPr>
          <w:rFonts w:ascii="Arial" w:cs="Arial" w:eastAsia="Arial" w:hAnsi="Arial"/>
          <w:sz w:val="18"/>
          <w:szCs w:val="18"/>
          <w:color w:val="auto"/>
        </w:rPr>
        <w:t xml:space="preserve"> by Dr. Phil McGraw, "</w:t>
      </w:r>
      <w:r>
        <w:rPr>
          <w:rFonts w:ascii="Arial" w:cs="Arial" w:eastAsia="Arial" w:hAnsi="Arial"/>
          <w:sz w:val="18"/>
          <w:szCs w:val="18"/>
          <w:i w:val="1"/>
          <w:iCs w:val="1"/>
          <w:color w:val="auto"/>
        </w:rPr>
        <w:t>Living History"</w:t>
      </w:r>
      <w:r>
        <w:rPr>
          <w:rFonts w:ascii="Arial" w:cs="Arial" w:eastAsia="Arial" w:hAnsi="Arial"/>
          <w:sz w:val="18"/>
          <w:szCs w:val="18"/>
          <w:color w:val="auto"/>
        </w:rPr>
        <w:t xml:space="preserve"> by Hillary Rodham Clinton and "</w:t>
      </w:r>
      <w:r>
        <w:rPr>
          <w:rFonts w:ascii="Arial" w:cs="Arial" w:eastAsia="Arial" w:hAnsi="Arial"/>
          <w:sz w:val="18"/>
          <w:szCs w:val="18"/>
          <w:i w:val="1"/>
          <w:iCs w:val="1"/>
          <w:color w:val="auto"/>
        </w:rPr>
        <w:t>The Dark Tower V</w:t>
      </w:r>
      <w:r>
        <w:rPr>
          <w:rFonts w:ascii="Arial" w:cs="Arial" w:eastAsia="Arial" w:hAnsi="Arial"/>
          <w:sz w:val="18"/>
          <w:szCs w:val="18"/>
          <w:color w:val="auto"/>
        </w:rPr>
        <w:t xml:space="preserve"> (</w:t>
      </w:r>
      <w:r>
        <w:rPr>
          <w:rFonts w:ascii="Arial" w:cs="Arial" w:eastAsia="Arial" w:hAnsi="Arial"/>
          <w:sz w:val="18"/>
          <w:szCs w:val="18"/>
          <w:i w:val="1"/>
          <w:iCs w:val="1"/>
          <w:color w:val="auto"/>
        </w:rPr>
        <w:t>Wolves Of The Calla</w:t>
      </w:r>
      <w:r>
        <w:rPr>
          <w:rFonts w:ascii="Arial" w:cs="Arial" w:eastAsia="Arial" w:hAnsi="Arial"/>
          <w:sz w:val="18"/>
          <w:szCs w:val="18"/>
          <w:color w:val="auto"/>
        </w:rPr>
        <w:t>)" by Stephen King.</w:t>
      </w:r>
    </w:p>
    <w:p>
      <w:pPr>
        <w:spacing w:after="0" w:line="197"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For 2003, Entertainment operating income decreased $86.9 million, or 24%, to $271.4 million, as the revenue increases noted above were more than offset by increased Features distribution and film amortization costs. Operating income as a percentage of revenues was 7% in 2003 versus 10% in 2002.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Current assets decreased by $274.9 million to $7.5 billion at December 31, 2004 from $7.8 billion at December 31, 2003 primarily due to a $962.7 million decrease in current assets of discontinued operations. This decrease was partially offset by an increase in cash and cash equivalents of $310.9 million, deferred tax assets of $146.0 million, other current assets of $142.2 million and receivables of $66.0 million. The allowance for doubtful accounts as a percentage of receivables was 6.1% at December 31, 2004 compared with 6.5% at December 31, 2003.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0" w:name="page51"/>
    <w:bookmarkEnd w:id="50"/>
    <w:p>
      <w:pPr>
        <w:ind w:firstLine="351"/>
        <w:spacing w:after="0" w:line="294" w:lineRule="auto"/>
        <w:rPr>
          <w:sz w:val="20"/>
          <w:szCs w:val="20"/>
          <w:color w:val="auto"/>
        </w:rPr>
      </w:pPr>
      <w:r>
        <w:rPr>
          <w:rFonts w:ascii="Arial" w:cs="Arial" w:eastAsia="Arial" w:hAnsi="Arial"/>
          <w:sz w:val="16"/>
          <w:szCs w:val="16"/>
          <w:color w:val="auto"/>
        </w:rPr>
        <w:t>Net property and equipment increased to $4.7 billion at December 31, 2004 from $4.6 billion at December 31, 2003 primarily reflecting capital expenditures of $415.0 million and the addition of capital leases of $141.7 million partially offset by depreciation expense of $665.2 million. Goodwill of $38.5 billion decreased $15.9 billion from December 31, 2003, primarily reflecting the impairment of goodwill at the Radio and Outdoor segments, partially offset by acquisitions. Intangibles, principally consisting of FCC licenses, decreased by $2.3 billion to $10.6 billion at December 31, 2004 from $12.9 billion at December 31, 2003. This decrease reflected the $2.2 billion reduction of television station's FCC licenses due to a change in accounting.</w:t>
      </w:r>
    </w:p>
    <w:p>
      <w:pPr>
        <w:spacing w:after="0" w:line="170"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Current liabilities decreased $715.2 million to $6.9 billion primarily due to a $1.2 billion decrease in current liabilities of discontinued operations, partially offset by increases of $134.4 million in participants' share, residuals and royalties payable, primarily for feature films and television product, and other current liabilities of $300.8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and cash equivalents increased by $77.5 million for the year ended December 31, 2004. The change in cash and cash equivalents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229235</wp:posOffset>
            </wp:positionV>
            <wp:extent cx="5887085"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87085"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980" w:type="dxa"/>
        <w:tblCellMar>
          <w:top w:w="0" w:type="dxa"/>
          <w:left w:w="0" w:type="dxa"/>
          <w:bottom w:w="0" w:type="dxa"/>
          <w:right w:w="0" w:type="dxa"/>
        </w:tblCellMar>
      </w:tblPr>
      <w:tr>
        <w:trPr>
          <w:trHeight w:val="174"/>
        </w:trPr>
        <w:tc>
          <w:tcPr>
            <w:tcW w:w="37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980" w:type="dxa"/>
            <w:vAlign w:val="bottom"/>
          </w:tcPr>
          <w:p>
            <w:pPr>
              <w:jc w:val="right"/>
              <w:ind w:right="452"/>
              <w:spacing w:after="0"/>
              <w:rPr>
                <w:sz w:val="20"/>
                <w:szCs w:val="20"/>
                <w:color w:val="auto"/>
              </w:rPr>
            </w:pPr>
            <w:r>
              <w:rPr>
                <w:rFonts w:ascii="Arial" w:cs="Arial" w:eastAsia="Arial" w:hAnsi="Arial"/>
                <w:sz w:val="14"/>
                <w:szCs w:val="14"/>
                <w:b w:val="1"/>
                <w:bCs w:val="1"/>
                <w:color w:val="auto"/>
              </w:rPr>
              <w:t>2004</w:t>
            </w:r>
          </w:p>
        </w:tc>
        <w:tc>
          <w:tcPr>
            <w:tcW w:w="1340" w:type="dxa"/>
            <w:vAlign w:val="bottom"/>
          </w:tcPr>
          <w:p>
            <w:pPr>
              <w:jc w:val="right"/>
              <w:ind w:right="472"/>
              <w:spacing w:after="0"/>
              <w:rPr>
                <w:sz w:val="20"/>
                <w:szCs w:val="20"/>
                <w:color w:val="auto"/>
              </w:rPr>
            </w:pPr>
            <w:r>
              <w:rPr>
                <w:rFonts w:ascii="Arial" w:cs="Arial" w:eastAsia="Arial" w:hAnsi="Arial"/>
                <w:sz w:val="14"/>
                <w:szCs w:val="14"/>
                <w:b w:val="1"/>
                <w:bCs w:val="1"/>
                <w:color w:val="auto"/>
              </w:rPr>
              <w:t>2003</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212725</wp:posOffset>
            </wp:positionV>
            <wp:extent cx="5887085"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8708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Cash provided by operating activities</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3,404.0</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2,901.9</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2,728.7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used for investing activities</w:t>
            </w: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(1,683.3)</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Cash used for financing activities</w:t>
            </w:r>
          </w:p>
        </w:tc>
        <w:tc>
          <w:tcPr>
            <w:tcW w:w="1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(2,980.4)</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(1,080.2)</w:t>
            </w:r>
          </w:p>
        </w:tc>
        <w:tc>
          <w:tcPr>
            <w:tcW w:w="3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(1,583.6)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continuing operations</w:t>
            </w: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310.9</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138.4</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cash flow attributable to Blockbuster</w:t>
            </w:r>
          </w:p>
        </w:tc>
        <w:tc>
          <w:tcPr>
            <w:tcW w:w="1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(233.4)</w:t>
            </w:r>
          </w:p>
        </w:tc>
        <w:tc>
          <w:tcPr>
            <w:tcW w:w="38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80.9</w:t>
            </w:r>
          </w:p>
        </w:tc>
        <w:tc>
          <w:tcPr>
            <w:tcW w:w="3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77.5</w:t>
            </w: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219.3</w:t>
            </w: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6494780</wp:posOffset>
            </wp:positionH>
            <wp:positionV relativeFrom="paragraph">
              <wp:posOffset>-734695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-734695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-306070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-306070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In 2004, cash provided by operating activities from continuing operations increased $502.1 million, or 17%, to $3.4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reflecting growth in net earnings from continuing operations, after adjusting for the non-cash impairment charge, partially offset by higher taxes paid in 2004. In 2003, cash provided by operating activities from continuing operations increased $173.2 million, or 6%, to $2.9 billion principally reflecting higher earnings, partially offset by higher taxes paid in 2003 compared to 2002.</w:t>
      </w:r>
    </w:p>
    <w:p>
      <w:pPr>
        <w:spacing w:after="0" w:line="197"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Cash paid for income taxes of $1.2 billion for 2004 was higher than 2003 payments of $933.9 million principally due to higher operating income (excluding the non-cash 2004 impairment charge). The Company anticipates that higher operating income and the absence of audit refunds in 2005 will result in an increase in cash payments for taxes of approximately $400 million to $450 million over 2004 payments.</w:t>
      </w:r>
    </w:p>
    <w:p>
      <w:pPr>
        <w:spacing w:after="0" w:line="194" w:lineRule="exact"/>
        <w:rPr>
          <w:sz w:val="20"/>
          <w:szCs w:val="20"/>
          <w:color w:val="auto"/>
        </w:rPr>
      </w:pPr>
    </w:p>
    <w:p>
      <w:pPr>
        <w:ind w:left="360"/>
        <w:spacing w:after="0"/>
        <w:tabs>
          <w:tab w:leader="none" w:pos="1900" w:val="left"/>
        </w:tabs>
        <w:rPr>
          <w:sz w:val="20"/>
          <w:szCs w:val="20"/>
          <w:color w:val="auto"/>
        </w:rPr>
      </w:pPr>
      <w:r>
        <w:rPr>
          <w:rFonts w:ascii="Arial" w:cs="Arial" w:eastAsia="Arial" w:hAnsi="Arial"/>
          <w:sz w:val="18"/>
          <w:szCs w:val="18"/>
          <w:i w:val="1"/>
          <w:iCs w:val="1"/>
          <w:color w:val="auto"/>
        </w:rPr>
        <w:t>Investing Activities.</w:t>
      </w:r>
      <w:r>
        <w:rPr>
          <w:sz w:val="20"/>
          <w:szCs w:val="20"/>
          <w:color w:val="auto"/>
        </w:rPr>
        <w:tab/>
      </w:r>
      <w:r>
        <w:rPr>
          <w:rFonts w:ascii="Arial" w:cs="Arial" w:eastAsia="Arial" w:hAnsi="Arial"/>
          <w:sz w:val="16"/>
          <w:szCs w:val="16"/>
          <w:color w:val="auto"/>
        </w:rPr>
        <w:t>In 2004, cash used for investing activities from continuing operations of $112.7 million reflected acquisitions of $427.7 million,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primarily consisting of the acquisition of 97.8% of VIVA Media AG, the remaining interest in SportsLine.com, Inc. and Outdoor properties and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expenditures of $415.0 million, offset by the $738.1 million special distribution paid by Blockbuster in the third quarter. Capital expenditures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$57.4 million, or 16%, to $415.0 million in 2004 principally reflecting investment in systems upgrades and building improvements. Net cash expenditures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investing activities from continuing operations of $1.7 billion for the year ended December 31, 2003 principally reflected acquisitions of $1.3 billion and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expenditures of $357.6 million principally for broadcasting equipment and outdoor advertising structures. Acquisitions in 2003 included the acquisition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remaining 50% interest in </w:t>
      </w:r>
      <w:r>
        <w:rPr>
          <w:rFonts w:ascii="Arial" w:cs="Arial" w:eastAsia="Arial" w:hAnsi="Arial"/>
          <w:sz w:val="16"/>
          <w:szCs w:val="16"/>
          <w:i w:val="1"/>
          <w:iCs w:val="1"/>
          <w:color w:val="auto"/>
        </w:rPr>
        <w:t>Comedy Central</w:t>
      </w:r>
      <w:r>
        <w:rPr>
          <w:rFonts w:ascii="Arial" w:cs="Arial" w:eastAsia="Arial" w:hAnsi="Arial"/>
          <w:sz w:val="16"/>
          <w:szCs w:val="16"/>
          <w:color w:val="auto"/>
        </w:rPr>
        <w:t xml:space="preserve"> for $1.2 billion, as well as the acquisition of a billboard operator in Puerto Rico. Net cash expenditures for investing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activities from continuing operations of $1.2 billion in</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1" w:name="page52"/>
    <w:bookmarkEnd w:id="51"/>
    <w:p>
      <w:pPr>
        <w:ind w:right="620"/>
        <w:spacing w:after="0" w:line="268" w:lineRule="auto"/>
        <w:rPr>
          <w:sz w:val="20"/>
          <w:szCs w:val="20"/>
          <w:color w:val="auto"/>
        </w:rPr>
      </w:pPr>
      <w:r>
        <w:rPr>
          <w:rFonts w:ascii="Arial" w:cs="Arial" w:eastAsia="Arial" w:hAnsi="Arial"/>
          <w:sz w:val="18"/>
          <w:szCs w:val="18"/>
          <w:color w:val="auto"/>
        </w:rPr>
        <w:t xml:space="preserve">2002 primarily reflected acquisitions of $818.0 million, principally for KCAL-TV and the remaining interest in </w:t>
      </w:r>
      <w:r>
        <w:rPr>
          <w:rFonts w:ascii="Arial" w:cs="Arial" w:eastAsia="Arial" w:hAnsi="Arial"/>
          <w:sz w:val="18"/>
          <w:szCs w:val="18"/>
          <w:i w:val="1"/>
          <w:iCs w:val="1"/>
          <w:color w:val="auto"/>
        </w:rPr>
        <w:t>Noggin</w:t>
      </w:r>
      <w:r>
        <w:rPr>
          <w:rFonts w:ascii="Arial" w:cs="Arial" w:eastAsia="Arial" w:hAnsi="Arial"/>
          <w:sz w:val="18"/>
          <w:szCs w:val="18"/>
          <w:color w:val="auto"/>
        </w:rPr>
        <w:t>, as well as capital expenditures of $396.5 million.</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Capital expenditures for 2005 are anticipated to be in the range of $625 million to $675 million. The increase over 2004 levels principally reflects investment in information systems, technology and building improvements.</w:t>
      </w:r>
    </w:p>
    <w:p>
      <w:pPr>
        <w:spacing w:after="0" w:line="186"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In 2004, cash flow used for financing activities from continuing operations of $3.0 billion principally reflected the purchase of</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stock for $2.5 billion, repayment of notes and debentures of $80.3 million and the net repayment of bank debt, including commercial paper and financing costs, of $26.1 million. In addition, the Company paid dividends of $415.2 million. These uses were partially offset by proceeds from the exercise of employee stock options of $119.6 million. In 2003, cash flow used for financing activities from continuing operations of $1.1 billion principally reflected the purchase of Company stock for $945.1 million, repayment of notes and debentures of $765.4 million, and the net repayment of bank debt, including commercial paper and financing costs, of $162.1 million. The Company paid dividends of $104.6 million in 2003. These uses were partially offset by proceeds from the issuance of notes of $736.5 million, net of financing costs, and from the exercise of employee stock options of $245.2 million. Net cash flow used for financing activities from continuing operations of $1.6 billion for 2002 principally reflected the repayment of notes and debentures of $1.0 billion, the net repayment of bank debt, including commercial paper, of $963.8 million, and the purchase of Company stock for $1.1 billion. These uses were partially offset by proceeds from the issuance of notes of $1.3 billion and from the exercise of employee stock options of $315.1 million.</w:t>
      </w:r>
    </w:p>
    <w:p>
      <w:pPr>
        <w:spacing w:after="0" w:line="17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 2005, the declarations of a $.07 per share quarterly dividend would result in an annual payment to Viacom's stockholders of approximately $450 million. On January 26, 2005, the Company declared a $.07 per share quarterly dividend payable April 1, 2005 to Viacom's stockholders of record at the close of business on February 28,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Purchase Program and Cash Dividends</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On October 28, 2004, the Company announced a new stock purchase program under which the Company is authorized to acquire from time to time up to $8.0 billion in Viacom Class A Common Stock and non-voting Class B Common Stock. The program succeeded and replaced the Company's $3.0 billion stock purchase program announced in 2002, under which 40.7 million shares of Class B Common Stock had been purchased for $1.7 billion. The Company will finance the purchase program using a combination of cash and investments, future cash flows and borrowing capacity. NAIRI, Inc. and National Amusements, Inc., each closely held corporations controlled by Sumner M. Redstone, Chairman of the Board of Directors and Chief Executive Officer of the Company, have entered into an agreement with the Company to participate in the program on a pro-rata basis. The agreement, which has been approved by an independent committee of Viacom directors, will prevent the buyback from increasing NAIRI, Inc.'s economic interest in Viacom. National Amusements, Inc., through its wholly owned subsidiary, NAIRI, Inc., beneficially owns Viacom's Class A Common Stock representing approximately 71% of the voting power of all classes of the Company's Common Stock and approximately 12% of Viacom's Class A and Class B Common Stock on a combined basis at December 31, 2004 (See Related Parties). In 2004, on a trade date basis, the Company purchased 68.4 million shares of Viacom Class B Common Stock for approximately $2.5 billion, of which approximately $2.0 billion was spent under the new $8.0 billion program. As of December 31, 2004, there was approximately $6.0 billion remaining under the current $8.0 billion purchase program. From January 1 through March 14, 2005, the Company purchased an additional 34.7 million shares for approximately $1.3 billion.</w:t>
      </w:r>
    </w:p>
    <w:p>
      <w:pPr>
        <w:spacing w:after="0" w:line="175" w:lineRule="exact"/>
        <w:rPr>
          <w:sz w:val="20"/>
          <w:szCs w:val="20"/>
          <w:color w:val="auto"/>
        </w:rPr>
      </w:pPr>
    </w:p>
    <w:p>
      <w:pPr>
        <w:ind w:right="1000" w:firstLine="351"/>
        <w:spacing w:after="0" w:line="268" w:lineRule="auto"/>
        <w:rPr>
          <w:sz w:val="20"/>
          <w:szCs w:val="20"/>
          <w:color w:val="auto"/>
        </w:rPr>
      </w:pPr>
      <w:r>
        <w:rPr>
          <w:rFonts w:ascii="Arial" w:cs="Arial" w:eastAsia="Arial" w:hAnsi="Arial"/>
          <w:sz w:val="18"/>
          <w:szCs w:val="18"/>
          <w:color w:val="auto"/>
        </w:rPr>
        <w:t>During 2003, on a trade date basis, the Company purchased approximately 23.6 million shares of its Class B Common Stock for approximately $981.4 million under its stock purchase programs.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2" w:name="page53"/>
    <w:bookmarkEnd w:id="52"/>
    <w:p>
      <w:pPr>
        <w:ind w:right="80" w:firstLine="351"/>
        <w:spacing w:after="0" w:line="256" w:lineRule="auto"/>
        <w:rPr>
          <w:sz w:val="20"/>
          <w:szCs w:val="20"/>
          <w:color w:val="auto"/>
        </w:rPr>
      </w:pPr>
      <w:r>
        <w:rPr>
          <w:rFonts w:ascii="Arial" w:cs="Arial" w:eastAsia="Arial" w:hAnsi="Arial"/>
          <w:sz w:val="18"/>
          <w:szCs w:val="18"/>
          <w:color w:val="auto"/>
        </w:rPr>
        <w:t>During the first three quarters of 2004, Viacom declared a quarterly cash dividend of $.06 per share on Viacom Class A and Class B Common Stock. During the fourth quarter of 2004, the Company declared a quarterly cash dividend of $.07 per share on Viacom Class A and Class B Common Stock, which was paid on January 1, 2005 to stockholders of record at the close of business on November 30, 2004. Approximately $415.2 million was paid to these shareholders during 2004 and $116.2 million was paid in January 2005.</w:t>
      </w:r>
    </w:p>
    <w:p>
      <w:pPr>
        <w:spacing w:after="0" w:line="197" w:lineRule="exact"/>
        <w:rPr>
          <w:sz w:val="20"/>
          <w:szCs w:val="20"/>
          <w:color w:val="auto"/>
        </w:rPr>
      </w:pPr>
    </w:p>
    <w:p>
      <w:pPr>
        <w:ind w:right="1060" w:firstLine="351"/>
        <w:spacing w:after="0" w:line="268" w:lineRule="auto"/>
        <w:rPr>
          <w:sz w:val="20"/>
          <w:szCs w:val="20"/>
          <w:color w:val="auto"/>
        </w:rPr>
      </w:pPr>
      <w:r>
        <w:rPr>
          <w:rFonts w:ascii="Arial" w:cs="Arial" w:eastAsia="Arial" w:hAnsi="Arial"/>
          <w:sz w:val="18"/>
          <w:szCs w:val="18"/>
          <w:color w:val="auto"/>
        </w:rPr>
        <w:t>During the third and fourth quarters of 2003, Viacom declared a quarterly cash dividend of $.06 per share and paid $104.6 million in 2003 and $104.4 million in January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August 2004, the Company acquired 75.8% of VIVA Media AG for $306.9 million. Pursuant to a tender offer, the Company subsequently purchased additional shares of VIVA Media AG, raising the Company's total ownership to 97.8% for a total purchase price of $393.6 million. VIVA Media AG's results have been included as part of Cable Networks since the date of acquisition. The allocation of the purchase price is pending a final evaluation of the fair value of VIVA Media AG's assets acquired and liabilities assumed.</w:t>
      </w:r>
    </w:p>
    <w:p>
      <w:pPr>
        <w:spacing w:after="0" w:line="197"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On December 30, 2004 the Company acquired a 10% interest in Spanish Broadcasting System, Inc., in exchange for a San Francisco radio station. In addition to the 10% interest, the Company received warrants that would allow the Company to increase its equity stake by an additional 5%.</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On May 22, 2003, the Company acquired the remaining 50% interest in </w:t>
      </w:r>
      <w:r>
        <w:rPr>
          <w:rFonts w:ascii="Arial" w:cs="Arial" w:eastAsia="Arial" w:hAnsi="Arial"/>
          <w:sz w:val="16"/>
          <w:szCs w:val="16"/>
          <w:i w:val="1"/>
          <w:iCs w:val="1"/>
          <w:color w:val="auto"/>
        </w:rPr>
        <w:t>Comedy Central</w:t>
      </w:r>
      <w:r>
        <w:rPr>
          <w:rFonts w:ascii="Arial" w:cs="Arial" w:eastAsia="Arial" w:hAnsi="Arial"/>
          <w:sz w:val="16"/>
          <w:szCs w:val="16"/>
          <w:color w:val="auto"/>
        </w:rPr>
        <w:t xml:space="preserve"> that it did not own for $1.2 billion in cash. </w:t>
      </w:r>
      <w:r>
        <w:rPr>
          <w:rFonts w:ascii="Arial" w:cs="Arial" w:eastAsia="Arial" w:hAnsi="Arial"/>
          <w:sz w:val="16"/>
          <w:szCs w:val="16"/>
          <w:i w:val="1"/>
          <w:iCs w:val="1"/>
          <w:color w:val="auto"/>
        </w:rPr>
        <w:t>Comedy Central</w:t>
      </w:r>
      <w:r>
        <w:rPr>
          <w:rFonts w:ascii="Arial" w:cs="Arial" w:eastAsia="Arial" w:hAnsi="Arial"/>
          <w:sz w:val="16"/>
          <w:szCs w:val="16"/>
          <w:color w:val="auto"/>
        </w:rPr>
        <w:t xml:space="preserve">'s results have been consolidated as part of Cable Networks, effective from the date of acquisition. The excess purchase price over the fair value of the tangible and identifiable intangible net assets acquired of approximately $1.0 billion was allocated to goodwill and other intangibles. The final allocation of the purchase price was based on comprehensive evaluations of the fair value of </w:t>
      </w:r>
      <w:r>
        <w:rPr>
          <w:rFonts w:ascii="Arial" w:cs="Arial" w:eastAsia="Arial" w:hAnsi="Arial"/>
          <w:sz w:val="16"/>
          <w:szCs w:val="16"/>
          <w:i w:val="1"/>
          <w:iCs w:val="1"/>
          <w:color w:val="auto"/>
        </w:rPr>
        <w:t>Comedy Central</w:t>
      </w:r>
      <w:r>
        <w:rPr>
          <w:rFonts w:ascii="Arial" w:cs="Arial" w:eastAsia="Arial" w:hAnsi="Arial"/>
          <w:sz w:val="16"/>
          <w:szCs w:val="16"/>
          <w:color w:val="auto"/>
        </w:rPr>
        <w:t>'s assets acquired and liabilities assumed.</w:t>
      </w:r>
    </w:p>
    <w:p>
      <w:pPr>
        <w:spacing w:after="0" w:line="16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On May 15, 2002, the Company acquired the assets of KCAL-TV Los Angeles for approximately $650 million. During 2002, the Company also acquired the remaining 50% interest in </w:t>
      </w:r>
      <w:r>
        <w:rPr>
          <w:rFonts w:ascii="Arial" w:cs="Arial" w:eastAsia="Arial" w:hAnsi="Arial"/>
          <w:sz w:val="16"/>
          <w:szCs w:val="16"/>
          <w:i w:val="1"/>
          <w:iCs w:val="1"/>
          <w:color w:val="auto"/>
        </w:rPr>
        <w:t>Noggin</w:t>
      </w:r>
      <w:r>
        <w:rPr>
          <w:rFonts w:ascii="Arial" w:cs="Arial" w:eastAsia="Arial" w:hAnsi="Arial"/>
          <w:sz w:val="16"/>
          <w:szCs w:val="16"/>
          <w:color w:val="auto"/>
        </w:rPr>
        <w:t>, the 24-hour digital network for kids that it did not already own for approximately $100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218440</wp:posOffset>
            </wp:positionV>
            <wp:extent cx="5578475"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1320" w:type="dxa"/>
        <w:tblCellMar>
          <w:top w:w="0" w:type="dxa"/>
          <w:left w:w="0" w:type="dxa"/>
          <w:bottom w:w="0" w:type="dxa"/>
          <w:right w:w="0" w:type="dxa"/>
        </w:tblCellMar>
      </w:tblPr>
      <w:tr>
        <w:trPr>
          <w:trHeight w:val="174"/>
        </w:trPr>
        <w:tc>
          <w:tcPr>
            <w:tcW w:w="3820" w:type="dxa"/>
            <w:vAlign w:val="bottom"/>
          </w:tcPr>
          <w:p>
            <w:pPr>
              <w:spacing w:after="0"/>
              <w:rPr>
                <w:sz w:val="20"/>
                <w:szCs w:val="20"/>
                <w:color w:val="auto"/>
              </w:rPr>
            </w:pPr>
            <w:r>
              <w:rPr>
                <w:rFonts w:ascii="Arial" w:cs="Arial" w:eastAsia="Arial" w:hAnsi="Arial"/>
                <w:sz w:val="14"/>
                <w:szCs w:val="14"/>
                <w:b w:val="1"/>
                <w:bCs w:val="1"/>
                <w:color w:val="auto"/>
              </w:rPr>
              <w:t>At December 31,</w:t>
            </w:r>
          </w:p>
        </w:tc>
        <w:tc>
          <w:tcPr>
            <w:tcW w:w="3700" w:type="dxa"/>
            <w:vAlign w:val="bottom"/>
          </w:tcPr>
          <w:p>
            <w:pPr>
              <w:jc w:val="right"/>
              <w:ind w:right="492"/>
              <w:spacing w:after="0"/>
              <w:rPr>
                <w:sz w:val="20"/>
                <w:szCs w:val="20"/>
                <w:color w:val="auto"/>
              </w:rPr>
            </w:pPr>
            <w:r>
              <w:rPr>
                <w:rFonts w:ascii="Arial" w:cs="Arial" w:eastAsia="Arial" w:hAnsi="Arial"/>
                <w:sz w:val="14"/>
                <w:szCs w:val="14"/>
                <w:b w:val="1"/>
                <w:bCs w:val="1"/>
                <w:color w:val="auto"/>
              </w:rPr>
              <w:t>2004</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212725</wp:posOffset>
            </wp:positionV>
            <wp:extent cx="5578475"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banks</w:t>
            </w: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Commercial paper</w:t>
            </w:r>
          </w:p>
        </w:tc>
        <w:tc>
          <w:tcPr>
            <w:tcW w:w="98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Senior debt—4.625%–8.875% due 2005—2051</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9,421.4</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Senior subordinated debt 10.50% due 2009</w:t>
            </w:r>
          </w:p>
        </w:tc>
        <w:tc>
          <w:tcPr>
            <w:tcW w:w="98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notes</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Obligations under capital leases</w:t>
            </w:r>
          </w:p>
        </w:tc>
        <w:tc>
          <w:tcPr>
            <w:tcW w:w="98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471.8</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9,917.0</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Less Blockbuster debt</w:t>
            </w:r>
          </w:p>
        </w:tc>
        <w:tc>
          <w:tcPr>
            <w:tcW w:w="98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other discontinued operations debt</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Less current portion</w:t>
            </w:r>
          </w:p>
        </w:tc>
        <w:tc>
          <w:tcPr>
            <w:tcW w:w="98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65.8</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from continuing operations, net of current portion</w:t>
            </w: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9,649.2</w:t>
            </w:r>
          </w:p>
        </w:tc>
        <w:tc>
          <w:tcPr>
            <w:tcW w:w="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-1009015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-1009015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-306070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-306070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920" w:firstLine="348"/>
        <w:spacing w:after="0" w:line="268" w:lineRule="auto"/>
        <w:rPr>
          <w:sz w:val="20"/>
          <w:szCs w:val="20"/>
          <w:color w:val="auto"/>
        </w:rPr>
      </w:pPr>
      <w:r>
        <w:rPr>
          <w:rFonts w:ascii="Arial" w:cs="Arial" w:eastAsia="Arial" w:hAnsi="Arial"/>
          <w:sz w:val="18"/>
          <w:szCs w:val="18"/>
          <w:color w:val="auto"/>
        </w:rPr>
        <w:t>Total debt of $9.9 billion at December 31, 2004 and $10.1 billion at December 31, 2003 was 19% and 14%, respectively, as a percentage of total capitalization of the Company.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ind w:right="140" w:firstLine="348"/>
        <w:spacing w:after="0" w:line="268" w:lineRule="auto"/>
        <w:rPr>
          <w:sz w:val="20"/>
          <w:szCs w:val="20"/>
          <w:color w:val="auto"/>
        </w:rPr>
      </w:pPr>
      <w:r>
        <w:rPr>
          <w:rFonts w:ascii="Arial" w:cs="Arial" w:eastAsia="Arial" w:hAnsi="Arial"/>
          <w:sz w:val="18"/>
          <w:szCs w:val="18"/>
          <w:color w:val="auto"/>
        </w:rPr>
        <w:t>The senior debt of Viacom Inc. is fully and unconditionally guaranteed by its wholly owned subsidiary Viacom International Inc. Senior debt in the amount of $52.2 million of the Company's wholly owned subsidiary, CBS Broadcasting Inc., is not guaranteed.</w:t>
      </w:r>
    </w:p>
    <w:p>
      <w:pPr>
        <w:spacing w:after="0" w:line="186"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Company's total debt included, as of December 31, 2004 and December 31, 2003, respectively, (i) an aggregate unamortized premium of $35.3 million and $41.4 million and (ii) the net change in the carrying value of the debt relating to fair value swaps of $17.4 million and $48.2 million.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years ended December 31, 2004 and 2003, the following debt issuances, maturities and redemptions occurred: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May 14, 2003, $300.0 million 4.625% senior notes due 2018</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May 14, 2003, $450.0 million 5.50% senior debentures due 2033</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Interest on the above debt instruments is paid semi-annually.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Maturities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September 1, 2003, 6.875% notes, $275.0 million</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January 15, 2003, 6.75% senior notes, $333.8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Redemptions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July 15, 2004, all of the outstanding Go Outdoor Systems Holdings S.A. 10.50% senior subordinated notes due 2009 at 105.25% of principal</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July 15, 2003, $150.0 million 7.50% senior debentures due 2023 at 103.6% of principal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years ended December 31, 2004 and 2003, the Company repurchased approximately $20.0 million and $1.0 million of its debt, respectively.</w:t>
      </w:r>
    </w:p>
    <w:p>
      <w:pPr>
        <w:spacing w:after="0" w:line="248"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During 2004, the Company acquired SportsLine.com, Inc., which had outstanding $16.9 million 5% convertible subordinated notes due 2006. These notes were redeemed in January 2005.</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Company's scheduled maturities of long-term debt at face value, excluding commercial paper and capital leases, outstanding at December 31, 2004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189865</wp:posOffset>
            </wp:positionV>
            <wp:extent cx="681355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center"/>
              <w:ind w:right="66"/>
              <w:spacing w:after="0"/>
              <w:rPr>
                <w:sz w:val="20"/>
                <w:szCs w:val="20"/>
                <w:color w:val="auto"/>
              </w:rPr>
            </w:pPr>
            <w:r>
              <w:rPr>
                <w:rFonts w:ascii="Arial" w:cs="Arial" w:eastAsia="Arial" w:hAnsi="Arial"/>
                <w:sz w:val="14"/>
                <w:szCs w:val="14"/>
                <w:b w:val="1"/>
                <w:bCs w:val="1"/>
                <w:color w:val="auto"/>
                <w:w w:val="86"/>
              </w:rPr>
              <w:t>2010 and</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jc w:val="right"/>
              <w:ind w:right="642"/>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5"/>
                <w:szCs w:val="15"/>
                <w:color w:val="auto"/>
              </w:rPr>
            </w:pPr>
          </w:p>
        </w:tc>
        <w:tc>
          <w:tcPr>
            <w:tcW w:w="840" w:type="dxa"/>
            <w:vAlign w:val="bottom"/>
          </w:tcPr>
          <w:p>
            <w:pPr>
              <w:jc w:val="right"/>
              <w:ind w:right="382"/>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5"/>
                <w:szCs w:val="15"/>
                <w:color w:val="auto"/>
              </w:rPr>
            </w:pPr>
          </w:p>
        </w:tc>
        <w:tc>
          <w:tcPr>
            <w:tcW w:w="1000" w:type="dxa"/>
            <w:vAlign w:val="bottom"/>
          </w:tcPr>
          <w:p>
            <w:pPr>
              <w:jc w:val="right"/>
              <w:ind w:right="562"/>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5"/>
                <w:szCs w:val="15"/>
                <w:color w:val="auto"/>
              </w:rPr>
            </w:pPr>
          </w:p>
        </w:tc>
        <w:tc>
          <w:tcPr>
            <w:tcW w:w="900" w:type="dxa"/>
            <w:vAlign w:val="bottom"/>
          </w:tcPr>
          <w:p>
            <w:pPr>
              <w:jc w:val="right"/>
              <w:ind w:right="482"/>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5"/>
                <w:szCs w:val="15"/>
                <w:color w:val="auto"/>
              </w:rPr>
            </w:pPr>
          </w:p>
        </w:tc>
        <w:tc>
          <w:tcPr>
            <w:tcW w:w="880" w:type="dxa"/>
            <w:vAlign w:val="bottom"/>
          </w:tcPr>
          <w:p>
            <w:pPr>
              <w:jc w:val="right"/>
              <w:ind w:right="462"/>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5"/>
                <w:szCs w:val="15"/>
                <w:color w:val="auto"/>
              </w:rPr>
            </w:pPr>
          </w:p>
        </w:tc>
        <w:tc>
          <w:tcPr>
            <w:tcW w:w="820" w:type="dxa"/>
            <w:vAlign w:val="bottom"/>
          </w:tcPr>
          <w:p>
            <w:pPr>
              <w:jc w:val="center"/>
              <w:ind w:right="86"/>
              <w:spacing w:after="0"/>
              <w:rPr>
                <w:sz w:val="20"/>
                <w:szCs w:val="20"/>
                <w:color w:val="auto"/>
              </w:rPr>
            </w:pPr>
            <w:r>
              <w:rPr>
                <w:rFonts w:ascii="Arial" w:cs="Arial" w:eastAsia="Arial" w:hAnsi="Arial"/>
                <w:sz w:val="14"/>
                <w:szCs w:val="14"/>
                <w:b w:val="1"/>
                <w:bCs w:val="1"/>
                <w:color w:val="auto"/>
                <w:w w:val="89"/>
              </w:rPr>
              <w:t>thereafter</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360" w:type="dxa"/>
            <w:vAlign w:val="bottom"/>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60" w:type="dxa"/>
            <w:vAlign w:val="bottom"/>
            <w:vMerge w:val="restart"/>
          </w:tcPr>
          <w:p>
            <w:pPr>
              <w:spacing w:after="0"/>
              <w:rPr>
                <w:sz w:val="9"/>
                <w:szCs w:val="9"/>
                <w:color w:val="auto"/>
              </w:rPr>
            </w:pPr>
          </w:p>
        </w:tc>
        <w:tc>
          <w:tcPr>
            <w:tcW w:w="1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1,453.1</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818.7</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700.4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II-20</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7026910</wp:posOffset>
            </wp:positionH>
            <wp:positionV relativeFrom="paragraph">
              <wp:posOffset>-803275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-803275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-511810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-511810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Viacom Credit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2004, the Company's credit facilities totaled $4.5 billion comprised of a $3.0 billion revolving facility due February 2009 and a</w:t>
      </w:r>
    </w:p>
    <w:p>
      <w:pPr>
        <w:spacing w:after="0" w:line="3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$1.5 billion revolving facility due March 2006 (collectively, the "Credit Facilities"). The Company, at its option, may also borrow in certain foreign currencies up to specified limits under the $3.0 billion and $1.5 billion facilities. Borrowing rates under the facilities are determined at the Company's option at the time of each borrowing and are based generally on the prime rate in the United States or the London Interbank Offer Rate ("LIBOR") plus a margin based on the Company's senior unsecured debt rating. The Company pays a facility fee based on the total amount of the commitments. As of December 31, 2004, the Company had unused revolving credit facilities of $4.27 billion in the aggregate.</w:t>
      </w:r>
    </w:p>
    <w:p>
      <w:pPr>
        <w:spacing w:after="0" w:line="199"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facilities contain covenants, which, among other things, require that the Company maintain a minimum interest coverage ratio. At December 31, 2004, the Company was in compliance with all covenants under the Credit Facilities.</w:t>
      </w:r>
    </w:p>
    <w:p>
      <w:pPr>
        <w:spacing w:after="0" w:line="186"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primary purpose of the credit facilities is to support commercial paper borrowings. At December 31, 2004, the Company had no commercial paper borrowings under its $4.5 billion commercial paper program.</w:t>
      </w:r>
    </w:p>
    <w:p>
      <w:pPr>
        <w:spacing w:after="0" w:line="186" w:lineRule="exact"/>
        <w:rPr>
          <w:sz w:val="20"/>
          <w:szCs w:val="20"/>
          <w:color w:val="auto"/>
        </w:rPr>
      </w:pPr>
    </w:p>
    <w:p>
      <w:pPr>
        <w:ind w:right="160" w:firstLine="341"/>
        <w:spacing w:after="0" w:line="332" w:lineRule="auto"/>
        <w:rPr>
          <w:sz w:val="20"/>
          <w:szCs w:val="20"/>
          <w:color w:val="auto"/>
        </w:rPr>
      </w:pPr>
      <w:r>
        <w:rPr>
          <w:rFonts w:ascii="Arial" w:cs="Arial" w:eastAsia="Arial" w:hAnsi="Arial"/>
          <w:sz w:val="16"/>
          <w:szCs w:val="16"/>
          <w:color w:val="auto"/>
        </w:rPr>
        <w:t>At December 31, 2004, the Company had classified as long-term debt approximately $1.38 billion of other debt scheduled to mature within the next twelve months, reflecting its intent and ability, through the existence of unused revolving credit facilities, to refinance this debt on a long-term basis.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Securitization Programs</w:t>
      </w:r>
    </w:p>
    <w:p>
      <w:pPr>
        <w:spacing w:after="0" w:line="225"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As of December 31, 2004 and December 31, 2003, the Company had an aggregate of $1.0 billion outstanding under revolving receivable securitization programs. The programs result in the sale of receivables on a non-recourse basis to unrelated third parties on a one-year renewable basis, thereby reducing accounts receivable and debt on the Company's Consolidated Balance Sheets. The Company enters into these arrangements because they provide an additional source of liquidity. Proceeds from the programs were used to reduce outstanding borrowings. The terms of the revolving securitization arrangements require that the receivable pools subject to the programs meet certain performance ratios. As of December 31, 2004, the Company was in compliance with the required ratios under the receivable securitization programs.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believes that its operating cash flows ($3.6 billion in 2004), cash and cash equivalents ($928.2 million at December 31, 2004), borrowing capacity under committed bank facilities (which consisted of unused revolving credit facilities of $4.27 billion in the aggregate at December 31, 2004), and access to capital markets are sufficient to fund its operating needs, including commitments and contingencies, capital and investing commitments and its financing requirements for the foreseeable future. The funding for commitments to purchase sports programming rights, television and film operations, and talent contracts will come primarily from cash flow from operations.</w:t>
      </w:r>
    </w:p>
    <w:p>
      <w:pPr>
        <w:spacing w:after="0" w:line="19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Company continually projects anticipated cash requirements, which include capital expenditures, share purchases, acquisitions, dividends and principal payments on its outstanding indebtedness, as well as cash flows generated from operating activity available to meet these needs. Any net cash funding requirements are financed with short-term borrowings (primarily commercial paper) and long-term debt. Commercial paper borrowings, which also accommodate day-to-day changes in funding requirements, are backed by committed bank facilities that may be utilized in the event that commercial paper borrowings are not available. The Company's credit position affords sufficient access to the capital markets to meet the Company's financing requirements.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ind w:right="180" w:firstLine="348"/>
        <w:spacing w:after="0" w:line="259" w:lineRule="auto"/>
        <w:rPr>
          <w:sz w:val="20"/>
          <w:szCs w:val="20"/>
          <w:color w:val="auto"/>
        </w:rPr>
      </w:pPr>
      <w:r>
        <w:rPr>
          <w:rFonts w:ascii="Arial" w:cs="Arial" w:eastAsia="Arial" w:hAnsi="Arial"/>
          <w:sz w:val="18"/>
          <w:szCs w:val="18"/>
          <w:color w:val="auto"/>
        </w:rPr>
        <w:t>The Company anticipates that future debt maturities will be funded with cash and cash equivalents, and cash flows generated from operating activities and other debt financing. There are no provisions in any of the Company's material financing agreements that would cause an acceleration of the obligation in the event of a downgrade in the Company's debt ratings.</w:t>
      </w:r>
    </w:p>
    <w:p>
      <w:pPr>
        <w:spacing w:after="0" w:line="194"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Company filed a shelf registration statement with the Securities and Exchange Commission registering debt securities, preferred stock and warrants of Viacom that may be issued for aggregate gross proceeds of $5.0 billion. The registration statement was first declared effective on January 8, 2001. The net proceeds from the sale of the offered securities may be used by Viacom for general corporate purposes, including repayment of borrowings, working capital and capital expenditures, or for such other purposes as may be specified in the applicable prospectus supplement. To date, the Company has issued $2.385 billion of securities under the shelf registration statement.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 ended December 31, 2004, the Company had a total of $86.3 million of long-term debt maturities, redemptions and repurchases.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2004, the Company's significant contractual obligations, including payments due by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05015"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0501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Payments Due by Period</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2010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5"/>
                <w:szCs w:val="15"/>
                <w:color w:val="auto"/>
              </w:rPr>
            </w:pPr>
          </w:p>
        </w:tc>
        <w:tc>
          <w:tcPr>
            <w:tcW w:w="920" w:type="dxa"/>
            <w:vAlign w:val="bottom"/>
          </w:tcPr>
          <w:p>
            <w:pPr>
              <w:jc w:val="right"/>
              <w:ind w:right="395"/>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5"/>
                <w:szCs w:val="15"/>
                <w:color w:val="auto"/>
              </w:rPr>
            </w:pPr>
          </w:p>
        </w:tc>
        <w:tc>
          <w:tcPr>
            <w:tcW w:w="1160" w:type="dxa"/>
            <w:vAlign w:val="bottom"/>
          </w:tcPr>
          <w:p>
            <w:pPr>
              <w:jc w:val="right"/>
              <w:ind w:right="375"/>
              <w:spacing w:after="0"/>
              <w:rPr>
                <w:sz w:val="20"/>
                <w:szCs w:val="20"/>
                <w:color w:val="auto"/>
              </w:rPr>
            </w:pPr>
            <w:r>
              <w:rPr>
                <w:rFonts w:ascii="Arial" w:cs="Arial" w:eastAsia="Arial" w:hAnsi="Arial"/>
                <w:sz w:val="14"/>
                <w:szCs w:val="14"/>
                <w:b w:val="1"/>
                <w:bCs w:val="1"/>
                <w:color w:val="auto"/>
              </w:rPr>
              <w:t>2006-2007</w:t>
            </w:r>
          </w:p>
        </w:tc>
        <w:tc>
          <w:tcPr>
            <w:tcW w:w="280" w:type="dxa"/>
            <w:vAlign w:val="bottom"/>
          </w:tcPr>
          <w:p>
            <w:pPr>
              <w:spacing w:after="0"/>
              <w:rPr>
                <w:sz w:val="15"/>
                <w:szCs w:val="15"/>
                <w:color w:val="auto"/>
              </w:rPr>
            </w:pPr>
          </w:p>
        </w:tc>
        <w:tc>
          <w:tcPr>
            <w:tcW w:w="1120" w:type="dxa"/>
            <w:vAlign w:val="bottom"/>
          </w:tcPr>
          <w:p>
            <w:pPr>
              <w:jc w:val="right"/>
              <w:ind w:right="335"/>
              <w:spacing w:after="0"/>
              <w:rPr>
                <w:sz w:val="20"/>
                <w:szCs w:val="20"/>
                <w:color w:val="auto"/>
              </w:rPr>
            </w:pPr>
            <w:r>
              <w:rPr>
                <w:rFonts w:ascii="Arial" w:cs="Arial" w:eastAsia="Arial" w:hAnsi="Arial"/>
                <w:sz w:val="14"/>
                <w:szCs w:val="14"/>
                <w:b w:val="1"/>
                <w:bCs w:val="1"/>
                <w:color w:val="auto"/>
              </w:rPr>
              <w:t>2008-2009</w:t>
            </w:r>
          </w:p>
        </w:tc>
        <w:tc>
          <w:tcPr>
            <w:tcW w:w="28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thereafter</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Programming and talent commitments (1)</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16,123.4</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3,809.9</w:t>
            </w:r>
          </w:p>
        </w:tc>
        <w:tc>
          <w:tcPr>
            <w:tcW w:w="3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4,491.6</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3,434.4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Operating leases (2)</w:t>
            </w:r>
          </w:p>
        </w:tc>
        <w:tc>
          <w:tcPr>
            <w:tcW w:w="28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2,903.0</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459.9</w:t>
            </w:r>
          </w:p>
        </w:tc>
        <w:tc>
          <w:tcPr>
            <w:tcW w:w="38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750.5</w:t>
            </w:r>
          </w:p>
        </w:tc>
        <w:tc>
          <w:tcPr>
            <w:tcW w:w="28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565.6</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Guaranteed minimum franchise payments (3)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1,377.3</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487.1</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248.9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Purchase obligations (4)</w:t>
            </w:r>
          </w:p>
        </w:tc>
        <w:tc>
          <w:tcPr>
            <w:tcW w:w="28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413.2</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184.0</w:t>
            </w:r>
          </w:p>
        </w:tc>
        <w:tc>
          <w:tcPr>
            <w:tcW w:w="38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139.1</w:t>
            </w:r>
          </w:p>
        </w:tc>
        <w:tc>
          <w:tcPr>
            <w:tcW w:w="28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51.3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(including interest) (5)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632.1</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173.7</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143.4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Long-term debt obligations (6)</w:t>
            </w:r>
          </w:p>
        </w:tc>
        <w:tc>
          <w:tcPr>
            <w:tcW w:w="28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9,392.5</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1,453.1</w:t>
            </w:r>
          </w:p>
        </w:tc>
        <w:tc>
          <w:tcPr>
            <w:tcW w:w="38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1,519.1</w:t>
            </w:r>
          </w:p>
        </w:tc>
        <w:tc>
          <w:tcPr>
            <w:tcW w:w="28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1,882.4</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1,406.5</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292.0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-1626235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-1626235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-1129030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right="140" w:hanging="532"/>
        <w:spacing w:after="0" w:line="239"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Programming and talent commitments of the Company include $10.9 billion for the acquisition of sports programming rights, $3.7 billion relating to television, radio and feature film production and acquisitions and $1.0 billion for talent contracts.</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long-term noncancelable operating lease commitments for office space and equipment, transponders, studio facilities and vehicles.</w:t>
      </w:r>
    </w:p>
    <w:p>
      <w:pPr>
        <w:spacing w:after="0" w:line="122" w:lineRule="exact"/>
        <w:rPr>
          <w:rFonts w:ascii="Arial" w:cs="Arial" w:eastAsia="Arial" w:hAnsi="Arial"/>
          <w:sz w:val="14"/>
          <w:szCs w:val="14"/>
          <w:color w:val="auto"/>
        </w:rPr>
      </w:pPr>
    </w:p>
    <w:p>
      <w:pPr>
        <w:ind w:left="540" w:right="100" w:hanging="532"/>
        <w:spacing w:after="0" w:line="233"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Viacom's outdoor advertising business has franchise rights entitling it to display advertising on media including billboards, transit shelters, buses, rail systems (in-car, station platforms and terminals), mall kiosks and stadium signage. Under most of these franchise agreements, the franchisor is entitled to receive the greater of a percentage of the relevant advertising revenues, net of advertising agency fees, or a specified guaranteed minimum annual payment.</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Purchase obligations include agreements to purchase goods or services that are enforceable and legally binding and that specify all significant terms, including open purchase orders.</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capital leases for satellite transponders.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Long-term debt obligations are presented at face value.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Long-term contractual obligations including program liabilities and participations due to producers and residuals.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follows the recognition provisions of FASB Interpretation No. 45, "Guarantor's Accounting and Disclosure Requirements for Guarantees, Including Indirect Guarantees of Indebtedness of Others" ("FIN 45") for guarantees issued or modified after December 31, 2002. FIN 45 requires a guarantor to recognize, at the inception of a guarantee, a liability for the fair value of an obligation assumed by issuing a guarantee. FIN 45 also requires additional disclosures for certain guarantees.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off-balance sheet arrangements primarily consist of the following guarantees.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ind w:right="40" w:firstLine="351"/>
        <w:spacing w:after="0" w:line="312" w:lineRule="auto"/>
        <w:rPr>
          <w:sz w:val="20"/>
          <w:szCs w:val="20"/>
          <w:color w:val="auto"/>
        </w:rPr>
      </w:pPr>
      <w:r>
        <w:rPr>
          <w:rFonts w:ascii="Arial" w:cs="Arial" w:eastAsia="Arial" w:hAnsi="Arial"/>
          <w:sz w:val="15"/>
          <w:szCs w:val="15"/>
          <w:color w:val="auto"/>
        </w:rPr>
        <w:t>In the fourth quarter of 2004, the Company sold its 50% equity interest in United Cinemas International Multiplex B.V. ("UCI"), which operated movie theaters in Europe, Latin America and Asia. The Company had guaranteed UCI's debt obligations under a revolving credit facility which was repaid during the fourth quarter of 2004. The Company contributed $29.1 million toward the repayment of UCI's debt obligations under the terms of this guarantee. The Company continues to guarantee certain UCI theater leases which are secured by bank guarantees provided by the buyer. The Company's guarantee totaled approximately $177.0 million at December 31, 2004. The Company also owns a 50% interest in WF Cinema Holdings, L.P. and Grauman's Theatres LLC and guarantees certain theater leases for approximately $13.3 million. The lease guarantees would only be triggered upon non-payment by the respective primary obligors. These guarantees are not recorded on the balance sheet as of December 31, 2004 as they were provided by the Company prior to the adoption of FIN 45.</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continues to remain as guarantor on certain Blockbuster store leases approximating $359 million at December 31, 2004 and secured by a</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$150 million letter of credit. Certain leases contain renewal options that can extend the primary lease term and remain covered by the guarantees. Blockbuster has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agreed to indemnify the Company with respect to any amounts paid under these guarantees. The Company recorded a liability of $53.6 million reflecting the fair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of such guarantees.</w:t>
      </w:r>
    </w:p>
    <w:p>
      <w:pPr>
        <w:spacing w:after="0" w:line="219"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Additionally, the Company has indemnification obligations with respect to letters of credit and surety bonds primarily used as security against non-performance in the normal course of business. The outstanding letters of credit and surety bonds approximated $342.4 million at December 31, 2004 and are not recorded on the balance sheet as of December 31, 2004.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360" w:firstLine="348"/>
        <w:spacing w:after="0" w:line="286" w:lineRule="auto"/>
        <w:rPr>
          <w:sz w:val="20"/>
          <w:szCs w:val="20"/>
          <w:color w:val="auto"/>
        </w:rPr>
      </w:pPr>
      <w:r>
        <w:rPr>
          <w:rFonts w:ascii="Arial" w:cs="Arial" w:eastAsia="Arial" w:hAnsi="Arial"/>
          <w:sz w:val="16"/>
          <w:szCs w:val="16"/>
          <w:i w:val="1"/>
          <w:iCs w:val="1"/>
          <w:color w:val="auto"/>
        </w:rPr>
        <w:t xml:space="preserve">Asbestos and Environmental. </w:t>
      </w:r>
      <w:r>
        <w:rPr>
          <w:rFonts w:ascii="Arial" w:cs="Arial" w:eastAsia="Arial" w:hAnsi="Arial"/>
          <w:sz w:val="16"/>
          <w:szCs w:val="16"/>
          <w:color w:val="auto"/>
        </w:rPr>
        <w:t>The Company is a defendant in lawsuits claiming various personal injuries related to asbestos and other materials, which</w:t>
      </w:r>
      <w:r>
        <w:rPr>
          <w:rFonts w:ascii="Arial" w:cs="Arial" w:eastAsia="Arial" w:hAnsi="Arial"/>
          <w:sz w:val="16"/>
          <w:szCs w:val="16"/>
          <w:i w:val="1"/>
          <w:iCs w:val="1"/>
          <w:color w:val="auto"/>
        </w:rPr>
        <w:t xml:space="preserve"> </w:t>
      </w:r>
      <w:r>
        <w:rPr>
          <w:rFonts w:ascii="Arial" w:cs="Arial" w:eastAsia="Arial" w:hAnsi="Arial"/>
          <w:sz w:val="16"/>
          <w:szCs w:val="16"/>
          <w:color w:val="auto"/>
        </w:rPr>
        <w:t>allegedly occurred principally as a result of exposure caused by various products manufactured by Westinghouse, a predecessor, generally prior to the early</w:t>
      </w:r>
    </w:p>
    <w:p>
      <w:pPr>
        <w:spacing w:after="0" w:line="295" w:lineRule="auto"/>
        <w:rPr>
          <w:sz w:val="20"/>
          <w:szCs w:val="20"/>
          <w:color w:val="auto"/>
        </w:rPr>
      </w:pPr>
      <w:r>
        <w:rPr>
          <w:rFonts w:ascii="Arial" w:cs="Arial" w:eastAsia="Arial" w:hAnsi="Arial"/>
          <w:sz w:val="16"/>
          <w:szCs w:val="16"/>
          <w:color w:val="auto"/>
        </w:rPr>
        <w:t>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asbestos-containing grades of decorative micarta, a laminate used in commercial ships.</w:t>
      </w:r>
    </w:p>
    <w:p>
      <w:pPr>
        <w:spacing w:after="0" w:line="16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Claims are frequently filed and/or settled in large groups, which may make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December 31, 2004, the Company had pending approximately 112,140 asbestos claims, as compared with approximately 112,280 as of December 31, 2003 and approximately 103,800 as of December 31, 2002. Of the claims pending as of December 31, 2004, approximately 82,370 were pending in state courts, 27,180 in federal courts and approximately 2,590 were third party claims. During 2004, the Company received approximately 16,060 new claims and closed or moved to an inactive docket approximately 16,200 claims. The Company reports claims as closed when it becomes aware that a dismissal order has been entered by a court or when the Company has reached agreement with the claimants on the material terms of a settlement.</w:t>
      </w:r>
    </w:p>
    <w:p>
      <w:pPr>
        <w:spacing w:after="0" w:line="172"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Settlement costs depend on the seriousness of the injuries that form the basis of the claim, the quality of evidence supporting the claims and other factors. To date, the Company has not been liable for any third party claims. The Company's total costs (recovery) for the years 2004 and 2003 for settlement and defense of asbestos claims after insurance recoveries and net of tax benefits were approximately $58.4 million and $(8.7) million, respectively. A portion of such costs relates to claims settled in prior years. If proceeds received in 2003 from an insurance commutation were excluded from the Company's total costs in 2003,</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ind w:right="240"/>
        <w:spacing w:after="0" w:line="332" w:lineRule="auto"/>
        <w:rPr>
          <w:sz w:val="20"/>
          <w:szCs w:val="20"/>
          <w:color w:val="auto"/>
        </w:rPr>
      </w:pPr>
      <w:r>
        <w:rPr>
          <w:rFonts w:ascii="Arial" w:cs="Arial" w:eastAsia="Arial" w:hAnsi="Arial"/>
          <w:sz w:val="16"/>
          <w:szCs w:val="16"/>
          <w:color w:val="auto"/>
        </w:rPr>
        <w:t>the Company's total costs after insurance recoveries and net of tax benefits would have been $56.6 million. The Company's costs for settlement and defense of asbestos claims may vary year to year as insurance proceeds are not always recovered in the same period as the insured portion of the expenses.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Filings include claims for individuals suffering from mesothelioma, a rare cancer, the risk of which is allegedly increased primarily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Claims identified as cancer remain a small percentage of asbestos claims pending at December 31, 2004. In a substantial number of the pending claims, the plaintiff has not yet identified the claimed injury.</w:t>
      </w:r>
    </w:p>
    <w:p>
      <w:pPr>
        <w:spacing w:after="0" w:line="19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 believes that its reserves and insurance are adequate to cover its asbestos liabilities and that these asbestos liabilities are not likely to have a material adverse effect on its results of operations, financial position or cash flows.</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discontinued operations conducted by companies acquired by the Company. In addition, the Company from time to time receives personal injury claims including toxic tort and product liability claims arising from historical operations of the Company and its predecessors.</w:t>
      </w:r>
    </w:p>
    <w:p>
      <w:pPr>
        <w:spacing w:after="0" w:line="197"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i w:val="1"/>
          <w:iCs w:val="1"/>
          <w:color w:val="auto"/>
        </w:rPr>
        <w:t xml:space="preserve">Antitrust. </w:t>
      </w:r>
      <w:r>
        <w:rPr>
          <w:rFonts w:ascii="Arial" w:cs="Arial" w:eastAsia="Arial" w:hAnsi="Arial"/>
          <w:sz w:val="16"/>
          <w:szCs w:val="16"/>
          <w:color w:val="auto"/>
        </w:rPr>
        <w:t>In July 2002, judgment was entered in favor of the Company, Blockbuster, Paramount Home Entertainment and other major motion picture</w:t>
      </w:r>
      <w:r>
        <w:rPr>
          <w:rFonts w:ascii="Arial" w:cs="Arial" w:eastAsia="Arial" w:hAnsi="Arial"/>
          <w:sz w:val="16"/>
          <w:szCs w:val="16"/>
          <w:i w:val="1"/>
          <w:iCs w:val="1"/>
          <w:color w:val="auto"/>
        </w:rPr>
        <w:t xml:space="preserve"> </w:t>
      </w:r>
      <w:r>
        <w:rPr>
          <w:rFonts w:ascii="Arial" w:cs="Arial" w:eastAsia="Arial" w:hAnsi="Arial"/>
          <w:sz w:val="16"/>
          <w:szCs w:val="16"/>
          <w:color w:val="auto"/>
        </w:rPr>
        <w:t>studios and their home video subsidiaries with respect to a complaint filed in the United States District Court for the Western District of Texas. The complaint included federal antitrust and California state law claims. In August 2003, the Fifth Circuit Court of Appeals affirmed the federal court judgment. The Supreme Court of the United States refused plaintiffs' petition for writ of certiorari in March 2004. In February 2003, a similar complaint that had been filed in a Los Angeles County Superior Court was also dismissed with prejudice. The plaintiffs have appealed the California state court dismissal, as well as a prior denial of class certification. As a result of the split-off of Blockbuster in 2004, any judgment in this matter adverse to the Company, Blockbuster and/or Paramount Home Entertainment will be allocated 33.33% to Blockbuster and 66.67% to the Company. The Company believes that the plaintiffs' positions in these litigations are without merit and intends to continue to vigorously defend itself in the litigations.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Litigation is inherently uncertain and always difficult to predict. However, based on its understanding and evaluation of the relevant facts and circumstances, the Company believes that all of the above-described legal matters and other litigation to which it is a party are not likely, in the aggregate, to have a material adverse effect on its results of operations, financial position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Company is exposed to market risk related to foreign currency exchange rates and interest rates. The Company uses derivative financial instruments to modify exposure to risks from fluctuations in foreign currency exchange rates and interest rates. In accordance with its policy, the Company does not use derivative instruments unless there is an underlying exposure and therefore, the Company does not hold or enter into financial instruments for speculative trading purposes.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conducts business with companies in various countries outside the United States, resulting in exposure to movements in foreign exchange rates when translating from the foreign local currency to the U.S. dollar. In order to hedge anticipated cash flows and foreign currency balances in such currencies as the British Pound, the Australian Dollar, the Japanese Yen, the Canadian Dollar, the Singapore Dollar and the Euro, foreign currency forward and option contracts are used. Additionally,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8" w:name="page59"/>
    <w:bookmarkEnd w:id="58"/>
    <w:p>
      <w:pPr>
        <w:spacing w:after="0" w:line="289" w:lineRule="auto"/>
        <w:rPr>
          <w:sz w:val="20"/>
          <w:szCs w:val="20"/>
          <w:color w:val="auto"/>
        </w:rPr>
      </w:pPr>
      <w:r>
        <w:rPr>
          <w:rFonts w:ascii="Arial" w:cs="Arial" w:eastAsia="Arial" w:hAnsi="Arial"/>
          <w:sz w:val="16"/>
          <w:szCs w:val="16"/>
          <w:color w:val="auto"/>
        </w:rPr>
        <w:t>Company designates forward contracts used to hedge future production costs as cash flow hedges, and designates certain forward contracts as a hedge of the foreign currency exposure of a net investment in a foreign operation. The change in fair value of the non-designated contracts is included in current period results as part of "Other items, net." The Company manages the use of foreign exchange derivatives centrally. At December 31, 2004, the notional value of all foreign exchange contracts was $633.0 million, of which $82.9 million related to the hedging of future production costs and $157.2 million related to the hedging of a net investment in a foreign operation. The remaining $392.9 million represents hedges of underlying foreign currency balances, expected foreign currency net cash flows and investment hedges. At December 31, 2003, the notional value of all foreign exchange contracts was $296.9 million, of which $12.0 million related to the hedging of future productions costs. The remaining $284.9 million represented hedges of underlying foreign currency balances, expected foreign currency net cash flows and investment hedges.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00" w:firstLine="348"/>
        <w:spacing w:after="0" w:line="323" w:lineRule="auto"/>
        <w:rPr>
          <w:sz w:val="20"/>
          <w:szCs w:val="20"/>
          <w:color w:val="auto"/>
        </w:rPr>
      </w:pPr>
      <w:r>
        <w:rPr>
          <w:rFonts w:ascii="Arial" w:cs="Arial" w:eastAsia="Arial" w:hAnsi="Arial"/>
          <w:sz w:val="15"/>
          <w:szCs w:val="15"/>
          <w:color w:val="auto"/>
        </w:rPr>
        <w:t>The Company's interest expense is exposed to movements in short-term rates. Swap agreements may be used to modify this exposure. The Company has entered into fixed to variable rate swaps, which are designated as fair value hedges. Based on the amount of variable rate debt and receivable securitization programs outstanding at December 31, 2004, a 100 basis point change in interest rates would cause a $26.1 million change to pre-tax earnings. As of December 31, 2004, if all parties were to agree, the swaps could have been terminated by a net payment from the counterparties of approximately $23.1 million.</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2004, the Company was a party to the following outstanding fair value hedges, which were fully effective.</w:t>
      </w:r>
    </w:p>
    <w:p>
      <w:pPr>
        <w:spacing w:after="0" w:line="225"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Interest rate swaps totaling $250 million in notional amount, which mature on June 1, 2005, receive interest at a weighted average rate of approximately 4.54% and pay interest based on three-month LIBOR in advance.</w:t>
      </w:r>
    </w:p>
    <w:p>
      <w:pPr>
        <w:spacing w:after="0" w:line="186" w:lineRule="exact"/>
        <w:rPr>
          <w:sz w:val="20"/>
          <w:szCs w:val="20"/>
          <w:color w:val="auto"/>
        </w:rPr>
      </w:pPr>
    </w:p>
    <w:p>
      <w:pPr>
        <w:jc w:val="both"/>
        <w:ind w:left="540" w:right="300"/>
        <w:spacing w:after="0" w:line="259" w:lineRule="auto"/>
        <w:rPr>
          <w:sz w:val="20"/>
          <w:szCs w:val="20"/>
          <w:color w:val="auto"/>
        </w:rPr>
      </w:pPr>
      <w:r>
        <w:rPr>
          <w:rFonts w:ascii="Arial" w:cs="Arial" w:eastAsia="Arial" w:hAnsi="Arial"/>
          <w:sz w:val="18"/>
          <w:szCs w:val="18"/>
          <w:color w:val="auto"/>
        </w:rPr>
        <w:t>Interest rate swaps totaling $350 million in notional amount, which mature on January 30, 2006, and (i) receive interest on $200 million at a weighted average rate of approximately 2.78% and pay interest based on three-month LIBOR in advance and (ii) receive interest on $150 million at a weighted average rate of approximately 3.57% and pay interest based on six-month LIBOR in arrears.</w:t>
      </w:r>
    </w:p>
    <w:p>
      <w:pPr>
        <w:spacing w:after="0" w:line="194" w:lineRule="exact"/>
        <w:rPr>
          <w:sz w:val="20"/>
          <w:szCs w:val="20"/>
          <w:color w:val="auto"/>
        </w:rPr>
      </w:pPr>
    </w:p>
    <w:p>
      <w:pPr>
        <w:jc w:val="both"/>
        <w:ind w:left="540" w:right="320"/>
        <w:spacing w:after="0" w:line="259" w:lineRule="auto"/>
        <w:rPr>
          <w:sz w:val="20"/>
          <w:szCs w:val="20"/>
          <w:color w:val="auto"/>
        </w:rPr>
      </w:pPr>
      <w:r>
        <w:rPr>
          <w:rFonts w:ascii="Arial" w:cs="Arial" w:eastAsia="Arial" w:hAnsi="Arial"/>
          <w:sz w:val="18"/>
          <w:szCs w:val="18"/>
          <w:color w:val="auto"/>
        </w:rPr>
        <w:t>Interest rate swaps totaling $700 million in notional amount, which mature on May 1, 2007, and (i) receive interest on $400 million at 5.11% and pay interest based on three-month LIBOR in advance and (ii) receive interest on $300 million at a weighted average rate of approximately 5.35% and pay interest based on three-month LIBOR in arrears.</w:t>
      </w:r>
    </w:p>
    <w:p>
      <w:pPr>
        <w:spacing w:after="0" w:line="194"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Interest rate swaps totaling $300 million in notional amount, which mature on May 15, 2018, receive interest at a weighted average rate of approximately 4.55% and pay interest based on three-month LIBOR in advance.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2004, the Company did not have any interest rate cash flow hedges outstanding.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w:t>
      </w:r>
    </w:p>
    <w:p>
      <w:pPr>
        <w:spacing w:after="0" w:line="194"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Company's receivables do not represent significant concentrations of credit risk at December 31, 2004, due to the wide variety of customers, markets and geographic areas to which the Company's products and services are sold.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Related Parties</w:t>
      </w:r>
    </w:p>
    <w:p>
      <w:pPr>
        <w:spacing w:after="0" w:line="231"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color w:val="auto"/>
        </w:rPr>
        <w:t>National Amusements, Inc. ("NAI") is a closely held corporation that beneficially owned Class A Common Stock of the Company representing approximately 71% of the voting power of all classes of the Company's Common Stock, and approximately 12% of the Company's Class A Common Stock and Class B Common Stock on a combined basis at December 31, 2004. Owners of the Company's Class A Common Stock are entitled to one vote per share. The Company's Class B Common Stock does not have voting rights. NAI is not subject to the reporting requirements of the Securities Exchange Act of 1934, as amended. Sumner M. Redstone, the controlling shareholder of NAI, is the Chairman of the Board of Directors and Chief Executive Officer of the Company. On October 28, 2004, the Company entered into an agreement (the "NAIRI Agreement") with NAI and NAIRI, Inc. ("NAIRI"), a wholly-owned subsidiary of NAI, pursuant to which the Company agreed to buy, and NAI and NAIRI agreed to sell, a number of shares of Viacom Class B Common Stock each month such that the ownership percentage of Viacom Class A Common Stock and Class B Common Stock (considered as a single class) held by NAI and/or NAIRI would not increase as a result of purchases of shares of Viacom Common Stock under the Company's $8.0 billion stock purchase program announced in October 2004. Pursuant to this agreement, Viacom recorded the purchase of 6.3 million shares of Viacom Class B Common Stock from NAIRI for $226.6 million in 2004.</w:t>
      </w:r>
    </w:p>
    <w:p>
      <w:pPr>
        <w:spacing w:after="0" w:line="17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NAI licenses films in the ordinary course of business for its motion picture theaters from all major studios including Paramount Pictures. During the years ended December 31, 2004, 2003 and 2002, NAI made payments to Paramount Pictures in the aggregate amounts of approximately $11.2 million, $9.6 million and $12.3 million, respectively.</w:t>
      </w:r>
    </w:p>
    <w:p>
      <w:pPr>
        <w:spacing w:after="0" w:line="194" w:lineRule="exact"/>
        <w:rPr>
          <w:sz w:val="20"/>
          <w:szCs w:val="20"/>
          <w:color w:val="auto"/>
        </w:rPr>
      </w:pPr>
    </w:p>
    <w:p>
      <w:pPr>
        <w:jc w:val="both"/>
        <w:ind w:right="420" w:firstLine="351"/>
        <w:spacing w:after="0" w:line="306" w:lineRule="auto"/>
        <w:rPr>
          <w:sz w:val="20"/>
          <w:szCs w:val="20"/>
          <w:color w:val="auto"/>
        </w:rPr>
      </w:pPr>
      <w:r>
        <w:rPr>
          <w:rFonts w:ascii="Arial" w:cs="Arial" w:eastAsia="Arial" w:hAnsi="Arial"/>
          <w:sz w:val="16"/>
          <w:szCs w:val="16"/>
          <w:color w:val="auto"/>
        </w:rPr>
        <w:t>NAI and Mr. Redstone owned in the aggregate approximately 75% of the common stock of Midway Games Inc. ("Midway") as of December 31, 2004. Midway places advertisements on various of the Company's cable networks from time to time. During the years ended December 31, 2004, 2003 and 2002, transactions with Midway totaled approximately $5.5 million, $1.4 million and $2.0 million, respectively.</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owns approximately 17% in Westwood One, Inc. ("Westwood One") which is treated as an equity investment. Most of Infinity's radio stations are affiliated with Westwood One, and Westwood One distributes nationally certain of the Company's radio programming. In connection with these arrangements, the Company receives affiliation fees as well as programming cost reimbursements and in certain instances, shares in revenue from the sale by Westwood One of Infinity's programming. In addition, certain employees of Infinity serve as officers of Westwood One for which the Company receives a management fee. CBS Television and Cable Networks also enter into programming agreements with Westwood One. Revenues from these arrangements were approximately $86.9 million, $85.5 million and $127.7 million in 2004, 2003 and 2002, respectively.</w:t>
      </w:r>
    </w:p>
    <w:p>
      <w:pPr>
        <w:spacing w:after="0" w:line="174"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Company, through the normal course of business, is involved in transactions with other affiliated companies that have not been material in any of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Pronouncements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December 2004, the FASB issued SFAS No. 123 (revised 2004) "Share-Based Payment" ("SFAS 123R"), effective the first interim period or annual reporting period that begins after June 15, 2005. SFAS 123R revises SFAS No. 123 "Accounting for Stock-based Compensation" and supersedes APB Opinion No. 25 "Accounting for Stock Issues to Employees." SFAS 123R requires companies to measure the cost of employee services received in exchange for an award of equity instruments based on grant-date fair value of the award. That cost will be recognized over the vesting period during which an employee is required to provide service in exchange for the award.</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March 8, 2005, the Compensation Committee of the Board of Directors of the Company approved the acceleration of the vesting of unvested stock options having an exercise price of $38.00 or greater granted under the Company's 2000 and 1997 Long-Term Management Incentive Plans. Stock Option awards granted from 1999 through 2004 with respect to approximately 29 million shares of the Company's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ind w:right="120"/>
        <w:spacing w:after="0" w:line="298" w:lineRule="auto"/>
        <w:rPr>
          <w:sz w:val="20"/>
          <w:szCs w:val="20"/>
          <w:color w:val="auto"/>
        </w:rPr>
      </w:pPr>
      <w:r>
        <w:rPr>
          <w:rFonts w:ascii="Arial" w:cs="Arial" w:eastAsia="Arial" w:hAnsi="Arial"/>
          <w:sz w:val="16"/>
          <w:szCs w:val="16"/>
          <w:color w:val="auto"/>
        </w:rPr>
        <w:t>Class B Common Stock are subject to this acceleration which is effective as of March 8, 2005. Since these options had exercise prices in excess of the current market value and were not fully achieving their original objectives of incentive compensation and employee retention, the Company expects the acceleration to have a positive effect on employee morale, retention and perception of option value. The acceleration also eliminates future compensation expense the Company would otherwise recognize in its Consolidated Statements of Operations once SFAS 123R becomes effective on July 1, 2005.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Financial Reporting Release No. 60, "Cautionary Advice Regarding Disclosure About Critical Accounting Policies" ("FRR 60"), suggests companies provide additional disclosure and commentary on those accounting policies considered most critical. FRR 60 considers an accounting policy to be critical if it is important to the Company's financial condition and results of operations, and requires significant judgment and estimates on the part of management in its application. For a summary of the Company's significant accounting policies, including the critical accounting policies discussed below, see the accompanying notes to the consolidated financial statements.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preparation of the Company's financial statements in conformity with GAAP requires management to make estimates, judgments and assumptions that affect the reported amounts of assets and liabilities, disclosure of contingent assets and liabilities at the date of the financial statements and the reported amount of expenses during the reporting period. On an ongoing basis, the Company evaluates its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expenses that are not readily apparent from other sources. Actual results may differ from these estimates under different assumptions. The following accounting policies require significant management judgments and estimates.</w:t>
      </w:r>
    </w:p>
    <w:p>
      <w:pPr>
        <w:spacing w:after="0" w:line="188" w:lineRule="exact"/>
        <w:rPr>
          <w:sz w:val="20"/>
          <w:szCs w:val="20"/>
          <w:color w:val="auto"/>
        </w:rPr>
      </w:pPr>
    </w:p>
    <w:p>
      <w:pPr>
        <w:ind w:left="1080" w:right="20" w:hanging="532"/>
        <w:spacing w:after="0" w:line="25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Accounting for the production and distribution of motion pictures and television programming is in accordance with SOP 00-2, which requires management's judgment as it relates to total revenues to be received and costs to be incurred throughout the life of each program. These judgments are used to determine the amortization of capitalized production costs, expensing of participation and residual cost and any necessary net realizable value adjustments.</w:t>
      </w:r>
    </w:p>
    <w:p>
      <w:pPr>
        <w:spacing w:after="0" w:line="224" w:lineRule="exact"/>
        <w:rPr>
          <w:rFonts w:ascii="Arial" w:cs="Arial" w:eastAsia="Arial" w:hAnsi="Arial"/>
          <w:sz w:val="18"/>
          <w:szCs w:val="18"/>
          <w:color w:val="auto"/>
        </w:rPr>
      </w:pPr>
    </w:p>
    <w:p>
      <w:pPr>
        <w:ind w:left="1080" w:right="60" w:hanging="532"/>
        <w:spacing w:after="0" w:line="294"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accounts for its business acquisitions under the purchase method of accounting. The total cost of acquisitions is allocated to the underlying net assets, based on their respective estimated fair values. The excess of the purchase price over the estimated fair values of the tangible net assets acquired is recorded as intangibles.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 other items.</w:t>
      </w:r>
    </w:p>
    <w:p>
      <w:pPr>
        <w:spacing w:after="0" w:line="183" w:lineRule="exact"/>
        <w:rPr>
          <w:rFonts w:ascii="Arial" w:cs="Arial" w:eastAsia="Arial" w:hAnsi="Arial"/>
          <w:sz w:val="16"/>
          <w:szCs w:val="16"/>
          <w:color w:val="auto"/>
        </w:rPr>
      </w:pPr>
    </w:p>
    <w:p>
      <w:pPr>
        <w:ind w:left="1080" w:right="100" w:hanging="532"/>
        <w:spacing w:after="0" w:line="25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accordance with SFAS 142, the Company tests goodwill and other intangible assets for impairment during the fourth quarter of each year, and on an interim date should factors or indicators become apparent that would require an interim test. A significant downward revision in the present value of estimated future cash flows for a reporting unit or intangible assets could result in an impairment under SFAS 142 and a non-cash charge would be required.</w:t>
      </w:r>
    </w:p>
    <w:p>
      <w:pPr>
        <w:spacing w:after="0" w:line="210" w:lineRule="exact"/>
        <w:rPr>
          <w:rFonts w:ascii="Arial" w:cs="Arial" w:eastAsia="Arial" w:hAnsi="Arial"/>
          <w:sz w:val="18"/>
          <w:szCs w:val="18"/>
          <w:color w:val="auto"/>
        </w:rPr>
      </w:pPr>
    </w:p>
    <w:p>
      <w:pPr>
        <w:ind w:left="1080" w:right="80" w:hanging="532"/>
        <w:spacing w:after="0" w:line="255"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 sheet reserves and liabilities related to legal issues, restructuring charges and discontinued businesses, including asbestos and environmental matters, require significant judgments and estimates by management. The Company continually evaluates these estimates based on changes in the relevant facts and circumstances and events that may impact estimates. While management believes that the current reserves for matters related to discontinued businesses, including environmental and asbestos are adequate, there can be no assurance that circumstances will not change in future periods.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1" w:name="page62"/>
    <w:bookmarkEnd w:id="61"/>
    <w:p>
      <w:pPr>
        <w:ind w:left="1080" w:right="40" w:hanging="532"/>
        <w:spacing w:after="0" w:line="287"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Pension benefit obligations and net periodic pension costs are calculated using many actuarial assumptions. Two key assumptions used in accounting for pension liabilities and expenses are the discount rate and expected rate of return on plan assets. The discount rate reflects the rate at which the pension benefit obligations could effectively be settled. The Company used investment grade corporate bond yields to support its discount rate assumption. The expected return on plan assets assumption was derived using the current and expected asset allocation of the pension plan assets and considering historical as well as expected returns on various classes of plan assets. For 2004, the unrecognized actuarial loss for pension increased principally as a result of lowering the discount rate for the Company's major plans from 6.0% in 2003 to 5.75% in 2004. A decrease in the discount rate or a decrease in the expected rate of return on plan assets would increase pension expense. The estimated impact of a 25 basis point change in the discount rate would be a change of approximately $15 million on 2005 pension expense and will change the projected benefit obligation by approximately $162 million. The estimated impact of a 25 basis point change in the expected rate of return on plan assets is a change of approximately $11 million.</w:t>
      </w:r>
    </w:p>
    <w:p>
      <w:pPr>
        <w:spacing w:after="0" w:line="203" w:lineRule="exact"/>
        <w:rPr>
          <w:rFonts w:ascii="Arial" w:cs="Arial" w:eastAsia="Arial" w:hAnsi="Arial"/>
          <w:sz w:val="16"/>
          <w:szCs w:val="16"/>
          <w:color w:val="auto"/>
        </w:rPr>
      </w:pPr>
    </w:p>
    <w:p>
      <w:pPr>
        <w:ind w:left="1080" w:right="20" w:hanging="532"/>
        <w:spacing w:after="0" w:line="256"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is subject to income taxes in both the U.S. and numerous foreign jurisdictions. Significant judgment is required in determining the worldwide provision for income taxes. The Company is continually audited by U.S. federal and state as well as foreign tax authorities. While it is often difficult to predict the final outcome or the timing of resolution of any particular tax matter, the Company believes that its tax reserves reflect the probable outcome of known contingencies.</w:t>
      </w:r>
    </w:p>
    <w:p>
      <w:pPr>
        <w:spacing w:after="0" w:line="197" w:lineRule="exact"/>
        <w:rPr>
          <w:rFonts w:ascii="Arial" w:cs="Arial" w:eastAsia="Arial" w:hAnsi="Arial"/>
          <w:sz w:val="18"/>
          <w:szCs w:val="18"/>
          <w:color w:val="auto"/>
        </w:rPr>
      </w:pPr>
    </w:p>
    <w:p>
      <w:pPr>
        <w:ind w:left="1080" w:right="160"/>
        <w:spacing w:after="0" w:line="298" w:lineRule="auto"/>
        <w:rPr>
          <w:rFonts w:ascii="Arial" w:cs="Arial" w:eastAsia="Arial" w:hAnsi="Arial"/>
          <w:sz w:val="18"/>
          <w:szCs w:val="18"/>
          <w:color w:val="auto"/>
        </w:rPr>
      </w:pPr>
      <w:r>
        <w:rPr>
          <w:rFonts w:ascii="Arial" w:cs="Arial" w:eastAsia="Arial" w:hAnsi="Arial"/>
          <w:sz w:val="16"/>
          <w:szCs w:val="16"/>
          <w:color w:val="auto"/>
        </w:rPr>
        <w:t>An estimated effective tax rate for a year is applied to quarterly operating results. In the event there is a significant or unusual item recognized in the quarterly operating results, the tax attributable to that item is separately calculated and recorded in the same quarter. A number of years may elapse before a tax return containing tax matters, for which a reserve has been established, is audited and finally resolved. During 2004, the Company recognized $205.4 million of tax benefits related to the resolution of certain prior year tax audits.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 risk factors listed below, in addition to those set forth elsewhere in this report, could affect the business and future results of the Company. Past financial performance may not be a reliable indicator of future performance and historical trends should not be used to anticipate results or trends in future periods.</w:t>
      </w:r>
    </w:p>
    <w:p>
      <w:pPr>
        <w:spacing w:after="0" w:line="130" w:lineRule="exact"/>
        <w:rPr>
          <w:sz w:val="20"/>
          <w:szCs w:val="20"/>
          <w:color w:val="auto"/>
        </w:rPr>
      </w:pPr>
    </w:p>
    <w:p>
      <w:pPr>
        <w:ind w:left="1080" w:hanging="532"/>
        <w:spacing w:after="0" w:line="306"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derives substantial revenues from the sale of advertising on its over-the-air networks, basic cable networks, television stations, radio stations and outdoor businesses. The sale of advertising is affected by viewer demographics, viewer ratings and market conditions for advertising. Adverse changes to any of these factors, including as a result of acts of terrorism or war, could have a negative effect on revenues.</w:t>
      </w:r>
    </w:p>
    <w:p>
      <w:pPr>
        <w:spacing w:after="0" w:line="174" w:lineRule="exact"/>
        <w:rPr>
          <w:rFonts w:ascii="Arial" w:cs="Arial" w:eastAsia="Arial" w:hAnsi="Arial"/>
          <w:sz w:val="16"/>
          <w:szCs w:val="16"/>
          <w:color w:val="auto"/>
        </w:rPr>
      </w:pPr>
    </w:p>
    <w:p>
      <w:pPr>
        <w:ind w:left="1080" w:right="40" w:hanging="532"/>
        <w:spacing w:after="0" w:line="290"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Company's basic cable networks and premium subscription television networks are dependent upon affiliation agreements with cable and direct-to-home satellite ("DTH") distributors on acceptable terms. The loss of carriage on such distributors, or continued carriage on less favorable terms, could adversely affect, with respect to basic cable networks, revenues from subscriber fees and the ability to sell advertising and, with respect to premium subscription television networks, subscriber fee revenues. In addition, continued consolidation among cable programming and/or DTH distributors and vertical integration of such distributors into the cable or broadcast network business, could have an adverse effect on subscriber fees and advertising revenues, as the Company's ability to launch new networks or maintain or obtain additional distribution for existing networks is impacted by these factors.</w:t>
      </w:r>
    </w:p>
    <w:p>
      <w:pPr>
        <w:spacing w:after="0" w:line="199" w:lineRule="exact"/>
        <w:rPr>
          <w:rFonts w:ascii="Arial" w:cs="Arial" w:eastAsia="Arial" w:hAnsi="Arial"/>
          <w:sz w:val="16"/>
          <w:szCs w:val="16"/>
          <w:color w:val="auto"/>
        </w:rPr>
      </w:pPr>
    </w:p>
    <w:p>
      <w:pPr>
        <w:jc w:val="both"/>
        <w:ind w:left="1080" w:right="300" w:hanging="532"/>
        <w:spacing w:after="0" w:line="306"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Operating results derived from the Company's motion picture and television production businesses fluctuate depending primarily upon cost of such productions and acceptance of such productions by the public, which are difficult to predict. Motion picture and television production has experienced cycles in which increased costs of talent, reduced availability of co-financing opportunities,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62" w:name="page63"/>
    <w:bookmarkEnd w:id="62"/>
    <w:p>
      <w:pPr>
        <w:ind w:left="540" w:right="260"/>
        <w:spacing w:after="0" w:line="259" w:lineRule="auto"/>
        <w:rPr>
          <w:sz w:val="20"/>
          <w:szCs w:val="20"/>
          <w:color w:val="auto"/>
        </w:rPr>
      </w:pPr>
      <w:r>
        <w:rPr>
          <w:rFonts w:ascii="Arial" w:cs="Arial" w:eastAsia="Arial" w:hAnsi="Arial"/>
          <w:sz w:val="18"/>
          <w:szCs w:val="18"/>
          <w:color w:val="auto"/>
        </w:rPr>
        <w:t>other factors have resulted in higher production costs. In addition, the commercial success of the Company's motion picture and television productions depends upon the quality and acceptance of other competing productions, and the availability of alternative forms of entertainment and leisure time activities.</w:t>
      </w:r>
    </w:p>
    <w:p>
      <w:pPr>
        <w:spacing w:after="0" w:line="208" w:lineRule="exact"/>
        <w:rPr>
          <w:sz w:val="20"/>
          <w:szCs w:val="20"/>
          <w:color w:val="auto"/>
        </w:rPr>
      </w:pPr>
    </w:p>
    <w:p>
      <w:pPr>
        <w:ind w:left="540" w:hanging="532"/>
        <w:spacing w:after="0" w:line="259"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operating results fluctuate due to the timing and availability of theatrical and home video releases, as well as the recording of license fees for television exhibition of motion pictures and for syndication and basic cable exhibition of television programming in the period that the products are available for such exhibition.</w:t>
      </w:r>
    </w:p>
    <w:p>
      <w:pPr>
        <w:spacing w:after="0" w:line="221" w:lineRule="exact"/>
        <w:rPr>
          <w:rFonts w:ascii="Arial" w:cs="Arial" w:eastAsia="Arial" w:hAnsi="Arial"/>
          <w:sz w:val="18"/>
          <w:szCs w:val="18"/>
          <w:color w:val="auto"/>
        </w:rPr>
      </w:pPr>
    </w:p>
    <w:p>
      <w:pPr>
        <w:ind w:left="540" w:right="160" w:hanging="532"/>
        <w:spacing w:after="0" w:line="256"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accordance with SFAS 142, the Company tests goodwill and other intangible assets for impairment during the fourth quarter of each year, and on an interim date should factors or indicators become apparent that would require an interim test. A downward revision in the fair value of a reporting unit or intangible assets could result in an impairment under SFAS 142 and a non-cash charge would be required. Such a charge could have a significant effect on the Company's reported net earnings.</w:t>
      </w:r>
    </w:p>
    <w:p>
      <w:pPr>
        <w:spacing w:after="0" w:line="210" w:lineRule="exact"/>
        <w:rPr>
          <w:rFonts w:ascii="Arial" w:cs="Arial" w:eastAsia="Arial" w:hAnsi="Arial"/>
          <w:sz w:val="18"/>
          <w:szCs w:val="18"/>
          <w:color w:val="auto"/>
        </w:rPr>
      </w:pPr>
    </w:p>
    <w:p>
      <w:pPr>
        <w:ind w:left="540" w:right="240" w:hanging="532"/>
        <w:spacing w:after="0" w:line="298"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While the Company seeks to ensure compliance with FCC indecency laws and regulations, the definition of "indecency" is subject to interpretation and there can be no assurance that employees of the Company will not make decisions resulting in the broadcast of programming that is viewed by regulators or the public as not meeting such standards. Such programming could subject the Company to regulatory review or investigation, fines, adverse publicity or other sanctions including the loss of station licenses.</w:t>
      </w:r>
    </w:p>
    <w:p>
      <w:pPr>
        <w:spacing w:after="0" w:line="180" w:lineRule="exact"/>
        <w:rPr>
          <w:rFonts w:ascii="Arial" w:cs="Arial" w:eastAsia="Arial" w:hAnsi="Arial"/>
          <w:sz w:val="16"/>
          <w:szCs w:val="16"/>
          <w:color w:val="auto"/>
        </w:rPr>
      </w:pPr>
    </w:p>
    <w:p>
      <w:pPr>
        <w:ind w:left="540" w:right="140" w:hanging="532"/>
        <w:spacing w:after="0" w:line="255"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Technology developments, including digital copying and file compression, and the growing penetration of high-bandwidth Internet connections, increase the threat of content piracy by making it easier to duplicate and widely distribute pirated material. The Company takes actions to vigorously enforce its rights and protect its copyrighted materials and products, however there can be no assurance that it will be successful in preventing the distribution of pirated content. Increased piracy of the Company's copyrighted materials could negatively affect its operations and financial results.</w:t>
      </w:r>
    </w:p>
    <w:p>
      <w:pPr>
        <w:spacing w:after="0" w:line="223" w:lineRule="exact"/>
        <w:rPr>
          <w:rFonts w:ascii="Arial" w:cs="Arial" w:eastAsia="Arial" w:hAnsi="Arial"/>
          <w:sz w:val="18"/>
          <w:szCs w:val="18"/>
          <w:color w:val="auto"/>
        </w:rPr>
      </w:pPr>
    </w:p>
    <w:p>
      <w:pPr>
        <w:ind w:left="540" w:right="60" w:hanging="532"/>
        <w:spacing w:after="0" w:line="298"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Newer technologies, including video on demand, personal video recorders and other devices that allow users to view television or motion pictures from a remote location or on a time-delayed basis, and technologies which implement the ability for users to fast-forward, rewind, pause and skip programming may cause changes in consumer behavior that could affect the attractiveness of the Company's offerings to viewers, advertisers and/or distributors and could therefore have an adverse effect on the Company's businesses, particularly its television business.</w:t>
      </w:r>
    </w:p>
    <w:p>
      <w:pPr>
        <w:spacing w:after="0" w:line="180" w:lineRule="exact"/>
        <w:rPr>
          <w:rFonts w:ascii="Arial" w:cs="Arial" w:eastAsia="Arial" w:hAnsi="Arial"/>
          <w:sz w:val="16"/>
          <w:szCs w:val="16"/>
          <w:color w:val="auto"/>
        </w:rPr>
      </w:pPr>
    </w:p>
    <w:p>
      <w:pPr>
        <w:ind w:left="540" w:right="160" w:hanging="532"/>
        <w:spacing w:after="0" w:line="306"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has contingent liabilities related to discontinued businesses, including environmental liabilities, liabilities related to illnesses of former employees, asbestos liabilities and other pending and threatened litigation. While the pending or threatened litigations and environmental and other liabilities should not have a material adverse effect on the Company, there can be no assurance in this regard.</w:t>
      </w:r>
    </w:p>
    <w:p>
      <w:pPr>
        <w:spacing w:after="0" w:line="174" w:lineRule="exact"/>
        <w:rPr>
          <w:rFonts w:ascii="Arial" w:cs="Arial" w:eastAsia="Arial" w:hAnsi="Arial"/>
          <w:sz w:val="16"/>
          <w:szCs w:val="16"/>
          <w:color w:val="auto"/>
        </w:rPr>
      </w:pPr>
    </w:p>
    <w:p>
      <w:pPr>
        <w:ind w:left="540" w:right="580" w:hanging="532"/>
        <w:spacing w:after="0" w:line="259"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operation of its businesses, the Company engages the services of writers, directors, actors and others, which are subject to collective bargaining agreements. Work stoppages and/or higher costs in connection with these agreements could adversely impact the Company's operations.</w:t>
      </w:r>
    </w:p>
    <w:p>
      <w:pPr>
        <w:spacing w:after="0" w:line="221" w:lineRule="exact"/>
        <w:rPr>
          <w:rFonts w:ascii="Arial" w:cs="Arial" w:eastAsia="Arial" w:hAnsi="Arial"/>
          <w:sz w:val="18"/>
          <w:szCs w:val="18"/>
          <w:color w:val="auto"/>
        </w:rPr>
      </w:pPr>
    </w:p>
    <w:p>
      <w:pPr>
        <w:ind w:left="540" w:right="440" w:hanging="532"/>
        <w:spacing w:after="0" w:line="370" w:lineRule="auto"/>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Changes in laws and regulations, including in particular FCC ownership rules and rules related to the carriage of broadcast and multichannel distribution programming, could, directly or indirectly, adversely affect the operations and ownership of the Company's properties.</w:t>
      </w:r>
    </w:p>
    <w:p>
      <w:pPr>
        <w:spacing w:after="0" w:line="129" w:lineRule="exact"/>
        <w:rPr>
          <w:rFonts w:ascii="Arial" w:cs="Arial" w:eastAsia="Arial" w:hAnsi="Arial"/>
          <w:sz w:val="15"/>
          <w:szCs w:val="15"/>
          <w:color w:val="auto"/>
        </w:rPr>
      </w:pPr>
    </w:p>
    <w:p>
      <w:pPr>
        <w:ind w:left="540" w:right="540" w:hanging="532"/>
        <w:spacing w:after="0" w:line="268"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advertiser-supported businesses experience fluctuations based on the timing of advertising expenditures by retailers, which typically increase in the fourth quarter.</w:t>
      </w:r>
    </w:p>
    <w:p>
      <w:pPr>
        <w:spacing w:after="0" w:line="199" w:lineRule="exact"/>
        <w:rPr>
          <w:rFonts w:ascii="Arial" w:cs="Arial" w:eastAsia="Arial" w:hAnsi="Arial"/>
          <w:sz w:val="18"/>
          <w:szCs w:val="18"/>
          <w:color w:val="auto"/>
        </w:rPr>
      </w:pPr>
    </w:p>
    <w:p>
      <w:pPr>
        <w:ind w:left="540" w:right="320" w:hanging="532"/>
        <w:spacing w:after="0" w:line="268"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NAI, through its beneficial ownership of the Company's Class A common stock, has voting control of the Company. Sumner M. Redstone, the controlling shareholder of NAI, is the chairman of the</w:t>
      </w:r>
    </w:p>
    <w:p>
      <w:pPr>
        <w:spacing w:after="0" w:line="1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31" w:right="259" w:bottom="1440" w:gutter="0" w:footer="0" w:header="0"/>
        </w:sectPr>
      </w:pPr>
    </w:p>
    <w:bookmarkStart w:id="63" w:name="page64"/>
    <w:bookmarkEnd w:id="63"/>
    <w:p>
      <w:pPr>
        <w:ind w:left="1080" w:right="360"/>
        <w:spacing w:after="0" w:line="259" w:lineRule="auto"/>
        <w:rPr>
          <w:sz w:val="20"/>
          <w:szCs w:val="20"/>
          <w:color w:val="auto"/>
        </w:rPr>
      </w:pPr>
      <w:r>
        <w:rPr>
          <w:rFonts w:ascii="Arial" w:cs="Arial" w:eastAsia="Arial" w:hAnsi="Arial"/>
          <w:sz w:val="18"/>
          <w:szCs w:val="18"/>
          <w:color w:val="auto"/>
        </w:rPr>
        <w:t>board and chief executive officer of the Company, and Shari Redstone, president of NAI, is a director of the Company. NAI is in a position to control the outcome of corporate actions that require shareholder approval, including the election of directors, issuance of securities and transactions involving a change of control.</w:t>
      </w:r>
    </w:p>
    <w:p>
      <w:pPr>
        <w:spacing w:after="0" w:line="208" w:lineRule="exact"/>
        <w:rPr>
          <w:sz w:val="20"/>
          <w:szCs w:val="20"/>
          <w:color w:val="auto"/>
        </w:rPr>
      </w:pPr>
    </w:p>
    <w:p>
      <w:pPr>
        <w:ind w:left="1080" w:right="60" w:hanging="532"/>
        <w:spacing w:after="0" w:line="255"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June 1, 2004, the Company announced the appointment of Tom Freston and Leslie Moonves as co-presidents and co-chief operating officers. Until that time, Mr. Freston was the chairman and chief executive officer of MTV Networks and Mr. Moonves was the chairman and chief executive officer of CBS. Until this recent management change, the Company had a sole president and chief operating officer. The Company does not have experience with a co-president and co-chief operating officer management structure and there can be no assurance that this new management structure will be successful.</w:t>
      </w:r>
    </w:p>
    <w:p>
      <w:pPr>
        <w:spacing w:after="0" w:line="197"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These risk factors are not necessarily all of the important factors that could cause actual results to differ materially from those expressed by the Company. Other unknown or unpredictable economic, business, competitive, regulatory or other factors also could have material adverse effects on the Company's future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document and the documents incorporated by reference into this Annual Report on Form 10-K including "Item 7. Management's Discussion and Analysis of Results of Operations and Financial Condition," contain both historical and forward-looking statements. All statements other than statements of historical fact are, or may be deemed to be, forward-looking statements within the meaning of section 27A of the Securities Act of 1933 and section 21E of the Securities Exchange Act of 1934. These forward-looking statements are not based on historical facts, but rather reflect the Company's current expectations concerning future results and events. These forward-looking statements generally can be identified by the use of statements that include phrases such as "believe," "expect," "anticipate," "intend," "plan," "foresee," "likely," "will" or other similar words or phrases. Similarly, statements that describe the Company's objectives, plans or goals are or may be forward-looking statements. These forward-looking statements involve known and unknown risks, uncertainties and other factors that are difficult to predict and which may cause the actual results, performance or achievements of the Company to be different from any future results, performance and achievements expressed or implied by these statements. There may be additional risks, uncertainties and factors that the Company does not currently view as material or that are not necessarily known. The forward-looking statements included in this document are only made as of the date of this document and the Company does not have any obligation to publicly update any forward-looking statements to reflect subsequent events or circumstances.</w:t>
      </w:r>
    </w:p>
    <w:p>
      <w:pPr>
        <w:spacing w:after="0" w:line="1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Response to this is included in "Management's Discussion and Analysis of Results of Operations and Financial Condition—Market Risk."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STATEMENT OF RESPONSIBILITY FOR FINANCIAL REPORTING</w:t>
      </w:r>
    </w:p>
    <w:p>
      <w:pPr>
        <w:spacing w:after="0" w:line="231" w:lineRule="exact"/>
        <w:rPr>
          <w:sz w:val="20"/>
          <w:szCs w:val="20"/>
          <w:color w:val="auto"/>
        </w:rPr>
      </w:pPr>
    </w:p>
    <w:p>
      <w:pPr>
        <w:ind w:right="120" w:firstLine="351"/>
        <w:spacing w:after="0" w:line="314" w:lineRule="auto"/>
        <w:rPr>
          <w:sz w:val="20"/>
          <w:szCs w:val="20"/>
          <w:color w:val="auto"/>
        </w:rPr>
      </w:pPr>
      <w:r>
        <w:rPr>
          <w:rFonts w:ascii="Arial" w:cs="Arial" w:eastAsia="Arial" w:hAnsi="Arial"/>
          <w:sz w:val="15"/>
          <w:szCs w:val="15"/>
          <w:color w:val="auto"/>
        </w:rPr>
        <w:t>Management is responsible for establishing and maintaining adequate internal control over financial reporting, as such term is defined in Rule 13a-15(f) of the Exchange Act. Our internal control over financial reporting includes those policies and procedures that (a) pertain to the maintenance of records that, in reasonable detail, accurately and fairly reflect the transactions and disposition of assets; (b)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the directors of the Company; and (c) provide reasonable assurance regarding prevention or timely detection of unauthorized acquisition, use or disposition of the Company's assets that could have a material effect on the financial statements.</w:t>
      </w:r>
    </w:p>
    <w:p>
      <w:pPr>
        <w:spacing w:after="0" w:line="159" w:lineRule="exact"/>
        <w:rPr>
          <w:sz w:val="20"/>
          <w:szCs w:val="20"/>
          <w:color w:val="auto"/>
        </w:rPr>
      </w:pPr>
    </w:p>
    <w:p>
      <w:pPr>
        <w:ind w:right="200" w:firstLine="351"/>
        <w:spacing w:after="0" w:line="323" w:lineRule="auto"/>
        <w:rPr>
          <w:sz w:val="20"/>
          <w:szCs w:val="20"/>
          <w:color w:val="auto"/>
        </w:rPr>
      </w:pPr>
      <w:r>
        <w:rPr>
          <w:rFonts w:ascii="Arial" w:cs="Arial" w:eastAsia="Arial" w:hAnsi="Arial"/>
          <w:sz w:val="15"/>
          <w:szCs w:val="15"/>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w:t>
      </w:r>
      <w:r>
        <w:rPr>
          <w:rFonts w:ascii="Arial" w:cs="Arial" w:eastAsia="Arial" w:hAnsi="Arial"/>
          <w:sz w:val="15"/>
          <w:szCs w:val="15"/>
          <w:b w:val="1"/>
          <w:bCs w:val="1"/>
          <w:color w:val="auto"/>
        </w:rPr>
        <w:t>,</w:t>
      </w:r>
      <w:r>
        <w:rPr>
          <w:rFonts w:ascii="Arial" w:cs="Arial" w:eastAsia="Arial" w:hAnsi="Arial"/>
          <w:sz w:val="15"/>
          <w:szCs w:val="15"/>
          <w:color w:val="auto"/>
        </w:rPr>
        <w:t xml:space="preserve">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6" w:lineRule="exact"/>
        <w:rPr>
          <w:sz w:val="20"/>
          <w:szCs w:val="20"/>
          <w:color w:val="auto"/>
        </w:rPr>
      </w:pPr>
    </w:p>
    <w:p>
      <w:pPr>
        <w:jc w:val="both"/>
        <w:ind w:right="180" w:firstLine="351"/>
        <w:spacing w:after="0" w:line="310" w:lineRule="auto"/>
        <w:rPr>
          <w:sz w:val="20"/>
          <w:szCs w:val="20"/>
          <w:color w:val="auto"/>
        </w:rPr>
      </w:pPr>
      <w:r>
        <w:rPr>
          <w:rFonts w:ascii="Arial" w:cs="Arial" w:eastAsia="Arial" w:hAnsi="Arial"/>
          <w:sz w:val="16"/>
          <w:szCs w:val="16"/>
          <w:color w:val="auto"/>
        </w:rPr>
        <w:t>Management conducted an evaluation of the effectiveness of the registrant's internal control over financial reporting as of December 31</w:t>
      </w:r>
      <w:r>
        <w:rPr>
          <w:rFonts w:ascii="Arial" w:cs="Arial" w:eastAsia="Arial" w:hAnsi="Arial"/>
          <w:sz w:val="16"/>
          <w:szCs w:val="16"/>
          <w:b w:val="1"/>
          <w:bCs w:val="1"/>
          <w:color w:val="auto"/>
        </w:rPr>
        <w:t>,</w:t>
      </w:r>
      <w:r>
        <w:rPr>
          <w:rFonts w:ascii="Arial" w:cs="Arial" w:eastAsia="Arial" w:hAnsi="Arial"/>
          <w:sz w:val="16"/>
          <w:szCs w:val="16"/>
          <w:color w:val="auto"/>
        </w:rPr>
        <w:t xml:space="preserve"> 2004 based on the framework set forth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Based on this evaluation, management concluded that the Company's internal control over financial reporting was effective as of December 31, 2004.</w:t>
      </w:r>
    </w:p>
    <w:p>
      <w:pPr>
        <w:spacing w:after="0" w:line="157" w:lineRule="exact"/>
        <w:rPr>
          <w:sz w:val="20"/>
          <w:szCs w:val="20"/>
          <w:color w:val="auto"/>
        </w:rPr>
      </w:pPr>
    </w:p>
    <w:p>
      <w:pPr>
        <w:ind w:right="1560" w:firstLine="351"/>
        <w:spacing w:after="0" w:line="332" w:lineRule="auto"/>
        <w:rPr>
          <w:sz w:val="20"/>
          <w:szCs w:val="20"/>
          <w:color w:val="auto"/>
        </w:rPr>
      </w:pPr>
      <w:r>
        <w:rPr>
          <w:rFonts w:ascii="Arial" w:cs="Arial" w:eastAsia="Arial" w:hAnsi="Arial"/>
          <w:sz w:val="16"/>
          <w:szCs w:val="16"/>
          <w:color w:val="auto"/>
        </w:rPr>
        <w:t>Management's assessment of the effectiveness of internal control over financial reporting as of December 31, 2004 has been audited by PricewaterhouseCoopers LLP, an independent registered public accounting firm, as stated in their report which is included herein.</w:t>
      </w:r>
    </w:p>
    <w:p>
      <w:pPr>
        <w:spacing w:after="0" w:line="13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VIACOM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40" w:type="dxa"/>
            <w:vAlign w:val="bottom"/>
          </w:tcPr>
          <w:p>
            <w:pPr>
              <w:ind w:left="4420"/>
              <w:spacing w:after="0"/>
              <w:rPr>
                <w:sz w:val="20"/>
                <w:szCs w:val="20"/>
                <w:color w:val="auto"/>
              </w:rPr>
            </w:pPr>
            <w:r>
              <w:rPr>
                <w:rFonts w:ascii="Arial" w:cs="Arial" w:eastAsia="Arial" w:hAnsi="Arial"/>
                <w:sz w:val="18"/>
                <w:szCs w:val="18"/>
                <w:color w:val="auto"/>
              </w:rPr>
              <w:t>By:</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6"/>
              </w:rPr>
              <w:t>/s/ SUMNER M. REDSTONE</w:t>
            </w:r>
          </w:p>
        </w:tc>
        <w:tc>
          <w:tcPr>
            <w:tcW w:w="2640" w:type="dxa"/>
            <w:vAlign w:val="bottom"/>
          </w:tcPr>
          <w:p>
            <w:pPr>
              <w:spacing w:after="0"/>
              <w:rPr>
                <w:sz w:val="19"/>
                <w:szCs w:val="19"/>
                <w:color w:val="auto"/>
              </w:rPr>
            </w:pPr>
          </w:p>
        </w:tc>
      </w:tr>
      <w:tr>
        <w:trPr>
          <w:trHeight w:val="120"/>
        </w:trPr>
        <w:tc>
          <w:tcPr>
            <w:tcW w:w="484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2640" w:type="dxa"/>
            <w:vAlign w:val="bottom"/>
          </w:tcPr>
          <w:p>
            <w:pPr>
              <w:spacing w:after="0"/>
              <w:rPr>
                <w:sz w:val="10"/>
                <w:szCs w:val="10"/>
                <w:color w:val="auto"/>
              </w:rPr>
            </w:pPr>
          </w:p>
        </w:tc>
      </w:tr>
      <w:tr>
        <w:trPr>
          <w:trHeight w:val="313"/>
        </w:trPr>
        <w:tc>
          <w:tcPr>
            <w:tcW w:w="484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86"/>
              </w:rPr>
              <w:t>Sumner M. Redstone</w:t>
            </w:r>
          </w:p>
        </w:tc>
        <w:tc>
          <w:tcPr>
            <w:tcW w:w="2640" w:type="dxa"/>
            <w:vAlign w:val="bottom"/>
          </w:tcPr>
          <w:p>
            <w:pPr>
              <w:spacing w:after="0"/>
              <w:rPr>
                <w:sz w:val="24"/>
                <w:szCs w:val="24"/>
                <w:color w:val="auto"/>
              </w:rPr>
            </w:pPr>
          </w:p>
        </w:tc>
      </w:tr>
      <w:tr>
        <w:trPr>
          <w:trHeight w:val="216"/>
        </w:trPr>
        <w:tc>
          <w:tcPr>
            <w:tcW w:w="484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90"/>
              </w:rPr>
              <w:t>Chairman of the Board of Directors</w:t>
            </w:r>
          </w:p>
        </w:tc>
        <w:tc>
          <w:tcPr>
            <w:tcW w:w="2640" w:type="dxa"/>
            <w:vAlign w:val="bottom"/>
          </w:tcPr>
          <w:p>
            <w:pPr>
              <w:spacing w:after="0"/>
              <w:rPr>
                <w:sz w:val="18"/>
                <w:szCs w:val="18"/>
                <w:color w:val="auto"/>
              </w:rPr>
            </w:pPr>
          </w:p>
        </w:tc>
      </w:tr>
      <w:tr>
        <w:trPr>
          <w:trHeight w:val="222"/>
        </w:trPr>
        <w:tc>
          <w:tcPr>
            <w:tcW w:w="48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89"/>
              </w:rPr>
              <w:t>Chief Executive Officer</w:t>
            </w:r>
          </w:p>
        </w:tc>
        <w:tc>
          <w:tcPr>
            <w:tcW w:w="2640" w:type="dxa"/>
            <w:vAlign w:val="bottom"/>
          </w:tcPr>
          <w:p>
            <w:pPr>
              <w:spacing w:after="0"/>
              <w:rPr>
                <w:sz w:val="19"/>
                <w:szCs w:val="19"/>
                <w:color w:val="auto"/>
              </w:rPr>
            </w:pPr>
          </w:p>
        </w:tc>
      </w:tr>
      <w:tr>
        <w:trPr>
          <w:trHeight w:val="459"/>
        </w:trPr>
        <w:tc>
          <w:tcPr>
            <w:tcW w:w="4840" w:type="dxa"/>
            <w:vAlign w:val="bottom"/>
          </w:tcPr>
          <w:p>
            <w:pPr>
              <w:ind w:left="4420"/>
              <w:spacing w:after="0"/>
              <w:rPr>
                <w:sz w:val="20"/>
                <w:szCs w:val="20"/>
                <w:color w:val="auto"/>
              </w:rPr>
            </w:pPr>
            <w:r>
              <w:rPr>
                <w:rFonts w:ascii="Arial" w:cs="Arial" w:eastAsia="Arial" w:hAnsi="Arial"/>
                <w:sz w:val="18"/>
                <w:szCs w:val="18"/>
                <w:color w:val="auto"/>
              </w:rPr>
              <w:t>By:</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4"/>
              </w:rPr>
              <w:t>/s/ RICHARD J. BRESSLER</w:t>
            </w:r>
          </w:p>
        </w:tc>
        <w:tc>
          <w:tcPr>
            <w:tcW w:w="2640" w:type="dxa"/>
            <w:vAlign w:val="bottom"/>
          </w:tcPr>
          <w:p>
            <w:pPr>
              <w:spacing w:after="0"/>
              <w:rPr>
                <w:sz w:val="24"/>
                <w:szCs w:val="24"/>
                <w:color w:val="auto"/>
              </w:rPr>
            </w:pPr>
          </w:p>
        </w:tc>
      </w:tr>
      <w:tr>
        <w:trPr>
          <w:trHeight w:val="120"/>
        </w:trPr>
        <w:tc>
          <w:tcPr>
            <w:tcW w:w="484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2640" w:type="dxa"/>
            <w:vAlign w:val="bottom"/>
          </w:tcPr>
          <w:p>
            <w:pPr>
              <w:spacing w:after="0"/>
              <w:rPr>
                <w:sz w:val="10"/>
                <w:szCs w:val="10"/>
                <w:color w:val="auto"/>
              </w:rPr>
            </w:pPr>
          </w:p>
        </w:tc>
      </w:tr>
      <w:tr>
        <w:trPr>
          <w:trHeight w:val="313"/>
        </w:trPr>
        <w:tc>
          <w:tcPr>
            <w:tcW w:w="484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88"/>
              </w:rPr>
              <w:t>Richard J. Bressler</w:t>
            </w:r>
          </w:p>
        </w:tc>
        <w:tc>
          <w:tcPr>
            <w:tcW w:w="2640" w:type="dxa"/>
            <w:vAlign w:val="bottom"/>
          </w:tcPr>
          <w:p>
            <w:pPr>
              <w:spacing w:after="0"/>
              <w:rPr>
                <w:sz w:val="24"/>
                <w:szCs w:val="24"/>
                <w:color w:val="auto"/>
              </w:rPr>
            </w:pPr>
          </w:p>
        </w:tc>
      </w:tr>
      <w:tr>
        <w:trPr>
          <w:trHeight w:val="216"/>
        </w:trPr>
        <w:tc>
          <w:tcPr>
            <w:tcW w:w="484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87"/>
              </w:rPr>
              <w:t>Senior Executive Vice President</w:t>
            </w:r>
          </w:p>
        </w:tc>
        <w:tc>
          <w:tcPr>
            <w:tcW w:w="2640" w:type="dxa"/>
            <w:vAlign w:val="bottom"/>
          </w:tcPr>
          <w:p>
            <w:pPr>
              <w:spacing w:after="0"/>
              <w:rPr>
                <w:sz w:val="18"/>
                <w:szCs w:val="18"/>
                <w:color w:val="auto"/>
              </w:rPr>
            </w:pPr>
          </w:p>
        </w:tc>
      </w:tr>
      <w:tr>
        <w:trPr>
          <w:trHeight w:val="222"/>
        </w:trPr>
        <w:tc>
          <w:tcPr>
            <w:tcW w:w="48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92"/>
              </w:rPr>
              <w:t>Chief Financial Officer</w:t>
            </w:r>
          </w:p>
        </w:tc>
        <w:tc>
          <w:tcPr>
            <w:tcW w:w="2640" w:type="dxa"/>
            <w:vAlign w:val="bottom"/>
          </w:tcPr>
          <w:p>
            <w:pPr>
              <w:spacing w:after="0"/>
              <w:rPr>
                <w:sz w:val="19"/>
                <w:szCs w:val="19"/>
                <w:color w:val="auto"/>
              </w:rPr>
            </w:pPr>
          </w:p>
        </w:tc>
      </w:tr>
      <w:tr>
        <w:trPr>
          <w:trHeight w:val="459"/>
        </w:trPr>
        <w:tc>
          <w:tcPr>
            <w:tcW w:w="4840" w:type="dxa"/>
            <w:vAlign w:val="bottom"/>
          </w:tcPr>
          <w:p>
            <w:pPr>
              <w:ind w:left="4420"/>
              <w:spacing w:after="0"/>
              <w:rPr>
                <w:sz w:val="20"/>
                <w:szCs w:val="20"/>
                <w:color w:val="auto"/>
              </w:rPr>
            </w:pPr>
            <w:r>
              <w:rPr>
                <w:rFonts w:ascii="Arial" w:cs="Arial" w:eastAsia="Arial" w:hAnsi="Arial"/>
                <w:sz w:val="18"/>
                <w:szCs w:val="18"/>
                <w:color w:val="auto"/>
              </w:rPr>
              <w:t>By:</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3"/>
              </w:rPr>
              <w:t>/s/ SUSAN C. GORDON</w:t>
            </w:r>
          </w:p>
        </w:tc>
        <w:tc>
          <w:tcPr>
            <w:tcW w:w="2640" w:type="dxa"/>
            <w:vAlign w:val="bottom"/>
          </w:tcPr>
          <w:p>
            <w:pPr>
              <w:spacing w:after="0"/>
              <w:rPr>
                <w:sz w:val="24"/>
                <w:szCs w:val="24"/>
                <w:color w:val="auto"/>
              </w:rPr>
            </w:pPr>
          </w:p>
        </w:tc>
      </w:tr>
      <w:tr>
        <w:trPr>
          <w:trHeight w:val="120"/>
        </w:trPr>
        <w:tc>
          <w:tcPr>
            <w:tcW w:w="484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2640" w:type="dxa"/>
            <w:vAlign w:val="bottom"/>
          </w:tcPr>
          <w:p>
            <w:pPr>
              <w:spacing w:after="0"/>
              <w:rPr>
                <w:sz w:val="10"/>
                <w:szCs w:val="10"/>
                <w:color w:val="auto"/>
              </w:rPr>
            </w:pPr>
          </w:p>
        </w:tc>
      </w:tr>
      <w:tr>
        <w:trPr>
          <w:trHeight w:val="313"/>
        </w:trPr>
        <w:tc>
          <w:tcPr>
            <w:tcW w:w="484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86"/>
              </w:rPr>
              <w:t>Susan C. Gordon</w:t>
            </w:r>
          </w:p>
        </w:tc>
        <w:tc>
          <w:tcPr>
            <w:tcW w:w="2640" w:type="dxa"/>
            <w:vAlign w:val="bottom"/>
          </w:tcPr>
          <w:p>
            <w:pPr>
              <w:spacing w:after="0"/>
              <w:rPr>
                <w:sz w:val="24"/>
                <w:szCs w:val="24"/>
                <w:color w:val="auto"/>
              </w:rPr>
            </w:pPr>
          </w:p>
        </w:tc>
      </w:tr>
      <w:tr>
        <w:trPr>
          <w:trHeight w:val="216"/>
        </w:trPr>
        <w:tc>
          <w:tcPr>
            <w:tcW w:w="484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89"/>
              </w:rPr>
              <w:t>Senior Vice President, Controller</w:t>
            </w:r>
          </w:p>
        </w:tc>
        <w:tc>
          <w:tcPr>
            <w:tcW w:w="2640" w:type="dxa"/>
            <w:vAlign w:val="bottom"/>
          </w:tcPr>
          <w:p>
            <w:pPr>
              <w:spacing w:after="0"/>
              <w:rPr>
                <w:sz w:val="18"/>
                <w:szCs w:val="18"/>
                <w:color w:val="auto"/>
              </w:rPr>
            </w:pPr>
          </w:p>
        </w:tc>
      </w:tr>
      <w:tr>
        <w:trPr>
          <w:trHeight w:val="222"/>
        </w:trPr>
        <w:tc>
          <w:tcPr>
            <w:tcW w:w="48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90"/>
              </w:rPr>
              <w:t>Chief Accounting Officer</w:t>
            </w:r>
          </w:p>
        </w:tc>
        <w:tc>
          <w:tcPr>
            <w:tcW w:w="2640" w:type="dxa"/>
            <w:vAlign w:val="bottom"/>
          </w:tcPr>
          <w:p>
            <w:pPr>
              <w:spacing w:after="0"/>
              <w:rPr>
                <w:sz w:val="19"/>
                <w:szCs w:val="19"/>
                <w:color w:val="auto"/>
              </w:rPr>
            </w:pPr>
          </w:p>
        </w:tc>
      </w:tr>
      <w:tr>
        <w:trPr>
          <w:trHeight w:val="432"/>
        </w:trPr>
        <w:tc>
          <w:tcPr>
            <w:tcW w:w="484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18"/>
                <w:szCs w:val="18"/>
                <w:color w:val="auto"/>
              </w:rPr>
              <w:t>II-31</w:t>
            </w:r>
          </w:p>
        </w:tc>
        <w:tc>
          <w:tcPr>
            <w:tcW w:w="2640" w:type="dxa"/>
            <w:vAlign w:val="bottom"/>
          </w:tcPr>
          <w:p>
            <w:pPr>
              <w:spacing w:after="0"/>
              <w:rPr>
                <w:sz w:val="24"/>
                <w:szCs w:val="24"/>
                <w:color w:val="auto"/>
              </w:rPr>
            </w:pPr>
          </w:p>
        </w:tc>
      </w:tr>
      <w:tr>
        <w:trPr>
          <w:trHeight w:val="228"/>
        </w:trPr>
        <w:tc>
          <w:tcPr>
            <w:tcW w:w="484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-2638425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-2638425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-1781175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-1781175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-923290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-923290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Viacom Inc.:</w:t>
      </w:r>
    </w:p>
    <w:p>
      <w:pPr>
        <w:spacing w:after="0" w:line="219"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We have completed an integrated audit of Viacom Inc.'s 2004 consolidated financial statements and of its internal control over financial reporting as of December 31, 2004 and audits of its 2003 and 2002 consolidated financial statements in accordance with the standards of the Public Company Accounting Oversight Board (United States). Our opinions, based on our audits, are presented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 and financial statement schedule</w:t>
      </w:r>
    </w:p>
    <w:p>
      <w:pPr>
        <w:spacing w:after="0" w:line="225"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In our opinion, the consolidated financial statements listed in the index appearing under Item 15(a)(1) present fairly, in all material respects, the financial position of Viacom Inc. and its subsidiaries (the "Company") at December 31, 2004 and 2003, and the results of their operations and their cash flows for each of the three years in the period ended December 31, 2004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1" w:lineRule="exact"/>
        <w:rPr>
          <w:sz w:val="20"/>
          <w:szCs w:val="20"/>
          <w:color w:val="auto"/>
        </w:rPr>
      </w:pPr>
    </w:p>
    <w:p>
      <w:pPr>
        <w:ind w:right="200" w:firstLine="341"/>
        <w:spacing w:after="0" w:line="323" w:lineRule="auto"/>
        <w:rPr>
          <w:sz w:val="20"/>
          <w:szCs w:val="20"/>
          <w:color w:val="auto"/>
        </w:rPr>
      </w:pPr>
      <w:r>
        <w:rPr>
          <w:rFonts w:ascii="Arial" w:cs="Arial" w:eastAsia="Arial" w:hAnsi="Arial"/>
          <w:sz w:val="15"/>
          <w:szCs w:val="15"/>
          <w:color w:val="auto"/>
        </w:rPr>
        <w:t>As discussed in Note 1 to the consolidated financial statements, the Company adopted EITF Topic No. D-108, "Use of the Residual Method to Value Acquired Assets Other Than Goodwill", as of December 31, 2004, changing the method for valuing FCC licenses for purposes of impairment testing. Also discussed in Note 1 to the consolidated financial statements, the Company adopted Statement of Financial Accounting Standards No. 142, "Goodwill and Other Intangible Assets" effective January 1, 2002 and, accordingly, the Company ceased amortizing goodwill and indefinite lived intangible assets as of that date.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 xml:space="preserve">Also, in our opinion, management's assessment, included in Management's Statement of Responsibility For Financial Reporting appearing under Item 8, that the Company maintained effective internal control over financial reporting as of December 31, 2004 based on criteria established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 is fairly stated, in all material respects, based on those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criteria. Furthermore, in our opinion, the Company maintained, in all material respects, effective internal control over financial reporting as of December 31, 2004,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ind w:right="360"/>
        <w:spacing w:after="0" w:line="306" w:lineRule="auto"/>
        <w:rPr>
          <w:sz w:val="20"/>
          <w:szCs w:val="20"/>
          <w:color w:val="auto"/>
        </w:rPr>
      </w:pPr>
      <w:r>
        <w:rPr>
          <w:rFonts w:ascii="Arial" w:cs="Arial" w:eastAsia="Arial" w:hAnsi="Arial"/>
          <w:sz w:val="16"/>
          <w:szCs w:val="16"/>
          <w:color w:val="auto"/>
        </w:rPr>
        <w:t>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61"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2005</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7" w:name="page68"/>
    <w:bookmarkEnd w:id="67"/>
    <w:p>
      <w:pPr>
        <w:jc w:val="center"/>
        <w:ind w:right="-11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45287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jc w:val="right"/>
              <w:ind w:right="453"/>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4"/>
                <w:szCs w:val="24"/>
                <w:color w:val="auto"/>
              </w:rPr>
            </w:pPr>
          </w:p>
        </w:tc>
        <w:tc>
          <w:tcPr>
            <w:tcW w:w="1120" w:type="dxa"/>
            <w:vAlign w:val="bottom"/>
          </w:tcPr>
          <w:p>
            <w:pPr>
              <w:jc w:val="right"/>
              <w:ind w:right="57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4"/>
                <w:szCs w:val="2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22,525.9</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20,827.6</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Expenses: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12,545.8</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11,879.8</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4,142.1</w:t>
            </w:r>
          </w:p>
        </w:tc>
        <w:tc>
          <w:tcPr>
            <w:tcW w:w="44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3,732.3</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741.9</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Impairment charge (Note 3)</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17,997.1</w:t>
            </w:r>
          </w:p>
        </w:tc>
        <w:tc>
          <w:tcPr>
            <w:tcW w:w="44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expenses</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35,494.9</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16,354.0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14,945.9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56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7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(12,969.0)</w:t>
            </w:r>
          </w:p>
        </w:tc>
        <w:tc>
          <w:tcPr>
            <w:tcW w:w="440" w:type="dxa"/>
            <w:vAlign w:val="bottom"/>
          </w:tcPr>
          <w:p>
            <w:pPr>
              <w:spacing w:after="0"/>
              <w:rPr>
                <w:sz w:val="24"/>
                <w:szCs w:val="24"/>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4,473.6</w:t>
            </w:r>
          </w:p>
        </w:tc>
        <w:tc>
          <w:tcPr>
            <w:tcW w:w="32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4,240.9</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(742.9)</w:t>
            </w:r>
          </w:p>
        </w:tc>
        <w:tc>
          <w:tcPr>
            <w:tcW w:w="3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Interest income</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w:t>
            </w:r>
          </w:p>
        </w:tc>
        <w:tc>
          <w:tcPr>
            <w:tcW w:w="44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600" w:type="dxa"/>
            <w:vAlign w:val="bottom"/>
            <w:gridSpan w:val="2"/>
          </w:tcPr>
          <w:p>
            <w:pPr>
              <w:spacing w:after="0"/>
              <w:rPr>
                <w:sz w:val="20"/>
                <w:szCs w:val="20"/>
                <w:color w:val="auto"/>
              </w:rPr>
            </w:pPr>
            <w:r>
              <w:rPr>
                <w:rFonts w:ascii="Arial" w:cs="Arial" w:eastAsia="Arial" w:hAnsi="Arial"/>
                <w:sz w:val="18"/>
                <w:szCs w:val="18"/>
                <w:color w:val="auto"/>
                <w:w w:val="95"/>
              </w:rPr>
              <w:t>Earnings (loss) from continuing operations before income taxes, equity in</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earnings (loss) of affiliated companies and minority interest</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(13,655.0)</w:t>
            </w:r>
          </w:p>
        </w:tc>
        <w:tc>
          <w:tcPr>
            <w:tcW w:w="44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3,739.4</w:t>
            </w:r>
          </w:p>
        </w:tc>
        <w:tc>
          <w:tcPr>
            <w:tcW w:w="3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3,420.9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(1,378.6)</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(1,497.0)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Equity in earnings (loss) of affiliated companies, net of tax</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c>
          <w:tcPr>
            <w:tcW w:w="44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 of tax</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00" w:type="dxa"/>
            <w:vAlign w:val="bottom"/>
            <w:gridSpan w:val="2"/>
          </w:tcPr>
          <w:p>
            <w:pPr>
              <w:spacing w:after="0"/>
              <w:rPr>
                <w:sz w:val="20"/>
                <w:szCs w:val="20"/>
                <w:color w:val="auto"/>
              </w:rPr>
            </w:pPr>
            <w:r>
              <w:rPr>
                <w:rFonts w:ascii="Arial" w:cs="Arial" w:eastAsia="Arial" w:hAnsi="Arial"/>
                <w:sz w:val="18"/>
                <w:szCs w:val="18"/>
                <w:color w:val="auto"/>
              </w:rPr>
              <w:t>Net earnings (loss) from continuing operations</w:t>
            </w:r>
          </w:p>
        </w:tc>
        <w:tc>
          <w:tcPr>
            <w:tcW w:w="7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(15,059.5)</w:t>
            </w:r>
          </w:p>
        </w:tc>
        <w:tc>
          <w:tcPr>
            <w:tcW w:w="440" w:type="dxa"/>
            <w:vAlign w:val="bottom"/>
          </w:tcPr>
          <w:p>
            <w:pPr>
              <w:spacing w:after="0"/>
              <w:rPr>
                <w:sz w:val="24"/>
                <w:szCs w:val="24"/>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2,237.8</w:t>
            </w:r>
          </w:p>
        </w:tc>
        <w:tc>
          <w:tcPr>
            <w:tcW w:w="32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2,042.0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(Note 2):</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Earnings (loss) from discontinued operations</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(1,182.7)</w:t>
            </w:r>
          </w:p>
        </w:tc>
        <w:tc>
          <w:tcPr>
            <w:tcW w:w="44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(718.8)</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net of minority interest</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Net earnings (loss) from discontinued operations</w:t>
            </w:r>
          </w:p>
        </w:tc>
        <w:tc>
          <w:tcPr>
            <w:tcW w:w="7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(1,090.3)</w:t>
            </w:r>
          </w:p>
        </w:tc>
        <w:tc>
          <w:tcPr>
            <w:tcW w:w="440" w:type="dxa"/>
            <w:vAlign w:val="bottom"/>
          </w:tcPr>
          <w:p>
            <w:pPr>
              <w:spacing w:after="0"/>
              <w:rPr>
                <w:sz w:val="24"/>
                <w:szCs w:val="24"/>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(802.4)</w:t>
            </w:r>
          </w:p>
        </w:tc>
        <w:tc>
          <w:tcPr>
            <w:tcW w:w="32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before cumulative effect of accounting change</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(16,149.8)</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1,435.4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Cumulative effect of accounting change, net of minority interest</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and tax (Note 1)</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(1,312.4)</w:t>
            </w:r>
          </w:p>
        </w:tc>
        <w:tc>
          <w:tcPr>
            <w:tcW w:w="4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(18.5)</w:t>
            </w:r>
          </w:p>
        </w:tc>
        <w:tc>
          <w:tcPr>
            <w:tcW w:w="3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(1,480.9)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(17,462.2)</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1,416.9</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5600" w:type="dxa"/>
            <w:vAlign w:val="bottom"/>
            <w:gridSpan w:val="2"/>
          </w:tcPr>
          <w:p>
            <w:pPr>
              <w:spacing w:after="0"/>
              <w:rPr>
                <w:sz w:val="20"/>
                <w:szCs w:val="20"/>
                <w:color w:val="auto"/>
              </w:rPr>
            </w:pPr>
            <w:r>
              <w:rPr>
                <w:rFonts w:ascii="Arial" w:cs="Arial" w:eastAsia="Arial" w:hAnsi="Arial"/>
                <w:sz w:val="18"/>
                <w:szCs w:val="18"/>
                <w:color w:val="auto"/>
              </w:rPr>
              <w:t>Basic earnings (loss) per common share:</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(loss) from continuing operations</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1.28</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Net earnings (loss) from discontinued operations</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4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(loss) before cumulative effect of accounting change</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Cumulative effect of accounting change</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4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(loss)</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(loss) from continuing operations</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Net earnings (loss) from discontinued operations</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4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(loss) before cumulative effect of accounting change</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Cumulative effect of accounting change</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4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(loss)</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1,714.4</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1,744.0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1,714.4</w:t>
            </w:r>
          </w:p>
        </w:tc>
        <w:tc>
          <w:tcPr>
            <w:tcW w:w="44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1,760.7</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1,774.8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-7732395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-7732395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-6755130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-6755130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-6463030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-6463030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-5485765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-5485765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-4645025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-4645025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-4353560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-4353560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-3787775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-3787775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-3496310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-3496310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-2929890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-2929890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-2638425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-2638425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025"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At December 31,</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jc w:val="right"/>
              <w:ind w:right="572"/>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24"/>
                <w:szCs w:val="24"/>
                <w:color w:val="auto"/>
              </w:rPr>
            </w:pPr>
          </w:p>
        </w:tc>
        <w:tc>
          <w:tcPr>
            <w:tcW w:w="780" w:type="dxa"/>
            <w:vAlign w:val="bottom"/>
          </w:tcPr>
          <w:p>
            <w:pPr>
              <w:jc w:val="right"/>
              <w:ind w:right="392"/>
              <w:spacing w:after="0"/>
              <w:rPr>
                <w:sz w:val="20"/>
                <w:szCs w:val="20"/>
                <w:color w:val="auto"/>
              </w:rPr>
            </w:pPr>
            <w:r>
              <w:rPr>
                <w:rFonts w:ascii="Arial" w:cs="Arial" w:eastAsia="Arial" w:hAnsi="Arial"/>
                <w:sz w:val="14"/>
                <w:szCs w:val="14"/>
                <w:b w:val="1"/>
                <w:bCs w:val="1"/>
                <w:color w:val="auto"/>
                <w:w w:val="96"/>
              </w:rPr>
              <w:t>2003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70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12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928.2</w:t>
            </w:r>
          </w:p>
        </w:tc>
        <w:tc>
          <w:tcPr>
            <w:tcW w:w="4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Receivables, less allowances of $276.7 (2004) and $289.3 (2003)</w:t>
            </w:r>
          </w:p>
        </w:tc>
        <w:tc>
          <w:tcPr>
            <w:tcW w:w="122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4,229.3</w:t>
            </w:r>
          </w:p>
        </w:tc>
        <w:tc>
          <w:tcPr>
            <w:tcW w:w="4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4,163.3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Inventory (Note 6)</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996.7</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Deferred tax assets, net (Note 11)</w:t>
            </w:r>
          </w:p>
        </w:tc>
        <w:tc>
          <w:tcPr>
            <w:tcW w:w="122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215.0</w:t>
            </w:r>
          </w:p>
        </w:tc>
        <w:tc>
          <w:tcPr>
            <w:tcW w:w="4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263.5</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122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810.1</w:t>
            </w:r>
          </w:p>
        </w:tc>
        <w:tc>
          <w:tcPr>
            <w:tcW w:w="4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667.9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assets of discontinued operations</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50.7</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680" w:type="dxa"/>
            <w:vAlign w:val="bottom"/>
          </w:tcPr>
          <w:p>
            <w:pPr>
              <w:ind w:left="420"/>
              <w:spacing w:after="0"/>
              <w:rPr>
                <w:sz w:val="20"/>
                <w:szCs w:val="20"/>
                <w:color w:val="auto"/>
              </w:rPr>
            </w:pPr>
            <w:r>
              <w:rPr>
                <w:rFonts w:ascii="Arial" w:cs="Arial" w:eastAsia="Arial" w:hAnsi="Arial"/>
                <w:sz w:val="14"/>
                <w:szCs w:val="14"/>
                <w:color w:val="auto"/>
              </w:rPr>
              <w:t>Total current assets</w:t>
            </w:r>
          </w:p>
        </w:tc>
        <w:tc>
          <w:tcPr>
            <w:tcW w:w="122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7,493.5</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7,768.4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Land</w:t>
            </w:r>
          </w:p>
        </w:tc>
        <w:tc>
          <w:tcPr>
            <w:tcW w:w="122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754.7</w:t>
            </w:r>
          </w:p>
        </w:tc>
        <w:tc>
          <w:tcPr>
            <w:tcW w:w="4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737.1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Buildings</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1,002.7</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Capital leases</w:t>
            </w:r>
          </w:p>
        </w:tc>
        <w:tc>
          <w:tcPr>
            <w:tcW w:w="122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696.7</w:t>
            </w:r>
          </w:p>
        </w:tc>
        <w:tc>
          <w:tcPr>
            <w:tcW w:w="4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Advertising structures</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1,492.5</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80" w:type="dxa"/>
            <w:vAlign w:val="bottom"/>
          </w:tcPr>
          <w:p>
            <w:pPr>
              <w:ind w:left="200"/>
              <w:spacing w:after="0"/>
              <w:rPr>
                <w:sz w:val="20"/>
                <w:szCs w:val="20"/>
                <w:color w:val="auto"/>
              </w:rPr>
            </w:pPr>
            <w:r>
              <w:rPr>
                <w:rFonts w:ascii="Arial" w:cs="Arial" w:eastAsia="Arial" w:hAnsi="Arial"/>
                <w:sz w:val="14"/>
                <w:szCs w:val="14"/>
                <w:color w:val="auto"/>
              </w:rPr>
              <w:t>Equipment and other</w:t>
            </w:r>
          </w:p>
        </w:tc>
        <w:tc>
          <w:tcPr>
            <w:tcW w:w="1220" w:type="dxa"/>
            <w:vAlign w:val="bottom"/>
          </w:tcPr>
          <w:p>
            <w:pPr>
              <w:spacing w:after="0"/>
              <w:rPr>
                <w:sz w:val="14"/>
                <w:szCs w:val="14"/>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3,855.4</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3,820.6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7,802.0</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80" w:type="dxa"/>
            <w:vAlign w:val="bottom"/>
          </w:tcPr>
          <w:p>
            <w:pPr>
              <w:ind w:left="200"/>
              <w:spacing w:after="0"/>
              <w:rPr>
                <w:sz w:val="20"/>
                <w:szCs w:val="20"/>
                <w:color w:val="auto"/>
              </w:rPr>
            </w:pPr>
            <w:r>
              <w:rPr>
                <w:rFonts w:ascii="Arial" w:cs="Arial" w:eastAsia="Arial" w:hAnsi="Arial"/>
                <w:sz w:val="14"/>
                <w:szCs w:val="14"/>
                <w:color w:val="auto"/>
              </w:rPr>
              <w:t>Less accumulated depreciation and amortization</w:t>
            </w:r>
          </w:p>
        </w:tc>
        <w:tc>
          <w:tcPr>
            <w:tcW w:w="1220" w:type="dxa"/>
            <w:vAlign w:val="bottom"/>
          </w:tcPr>
          <w:p>
            <w:pPr>
              <w:spacing w:after="0"/>
              <w:rPr>
                <w:sz w:val="14"/>
                <w:szCs w:val="14"/>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3,144.9</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2,871.4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property and equipment</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4,657.1</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4,635.1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7700" w:type="dxa"/>
            <w:vAlign w:val="bottom"/>
            <w:gridSpan w:val="2"/>
          </w:tcPr>
          <w:p>
            <w:pPr>
              <w:spacing w:after="0"/>
              <w:rPr>
                <w:sz w:val="20"/>
                <w:szCs w:val="20"/>
                <w:color w:val="auto"/>
              </w:rPr>
            </w:pPr>
            <w:r>
              <w:rPr>
                <w:rFonts w:ascii="Arial" w:cs="Arial" w:eastAsia="Arial" w:hAnsi="Arial"/>
                <w:sz w:val="14"/>
                <w:szCs w:val="14"/>
                <w:color w:val="auto"/>
              </w:rPr>
              <w:t>Inventory (Note 6)</w:t>
            </w:r>
          </w:p>
        </w:tc>
        <w:tc>
          <w:tcPr>
            <w:tcW w:w="1220" w:type="dxa"/>
            <w:vAlign w:val="bottom"/>
          </w:tcPr>
          <w:p>
            <w:pPr>
              <w:spacing w:after="0"/>
              <w:rPr>
                <w:sz w:val="22"/>
                <w:szCs w:val="22"/>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4,466.0</w:t>
            </w:r>
          </w:p>
        </w:tc>
        <w:tc>
          <w:tcPr>
            <w:tcW w:w="4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4,236.2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(Note 3)</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38,520.2</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54,445.2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line="149" w:lineRule="exact"/>
              <w:rPr>
                <w:sz w:val="20"/>
                <w:szCs w:val="20"/>
                <w:color w:val="auto"/>
              </w:rPr>
            </w:pPr>
            <w:r>
              <w:rPr>
                <w:rFonts w:ascii="Arial" w:cs="Arial" w:eastAsia="Arial" w:hAnsi="Arial"/>
                <w:sz w:val="14"/>
                <w:szCs w:val="14"/>
                <w:color w:val="auto"/>
              </w:rPr>
              <w:t>Intangibles (Note 3)</w:t>
            </w:r>
          </w:p>
        </w:tc>
        <w:tc>
          <w:tcPr>
            <w:tcW w:w="122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10,623.1</w:t>
            </w:r>
          </w:p>
        </w:tc>
        <w:tc>
          <w:tcPr>
            <w:tcW w:w="4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12,918.5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2,014.5</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Other assets of discontinued operations</w:t>
            </w:r>
          </w:p>
        </w:tc>
        <w:tc>
          <w:tcPr>
            <w:tcW w:w="1220" w:type="dxa"/>
            <w:vAlign w:val="bottom"/>
          </w:tcPr>
          <w:p>
            <w:pPr>
              <w:spacing w:after="0"/>
              <w:rPr>
                <w:sz w:val="14"/>
                <w:szCs w:val="14"/>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227.9</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4,222.8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2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68,002.3</w:t>
            </w:r>
          </w:p>
        </w:tc>
        <w:tc>
          <w:tcPr>
            <w:tcW w:w="4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90,225.5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7700" w:type="dxa"/>
            <w:vAlign w:val="bottom"/>
            <w:gridSpan w:val="2"/>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12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585.5</w:t>
            </w:r>
          </w:p>
        </w:tc>
        <w:tc>
          <w:tcPr>
            <w:tcW w:w="4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523.1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1,454.7</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1,507.6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Accrued compensation</w:t>
            </w:r>
          </w:p>
        </w:tc>
        <w:tc>
          <w:tcPr>
            <w:tcW w:w="122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663.5</w:t>
            </w:r>
          </w:p>
        </w:tc>
        <w:tc>
          <w:tcPr>
            <w:tcW w:w="4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544.6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Participants' share, residuals and royalties payable</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1,296.6</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1,162.2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Program rights</w:t>
            </w:r>
          </w:p>
        </w:tc>
        <w:tc>
          <w:tcPr>
            <w:tcW w:w="122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849.6</w:t>
            </w:r>
          </w:p>
        </w:tc>
        <w:tc>
          <w:tcPr>
            <w:tcW w:w="4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858.7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565.3</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Income taxes payable</w:t>
            </w:r>
          </w:p>
        </w:tc>
        <w:tc>
          <w:tcPr>
            <w:tcW w:w="122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172.9</w:t>
            </w:r>
          </w:p>
        </w:tc>
        <w:tc>
          <w:tcPr>
            <w:tcW w:w="4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portion of long-term debt (Note 8)</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65.8</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Other current liabilities</w:t>
            </w:r>
          </w:p>
        </w:tc>
        <w:tc>
          <w:tcPr>
            <w:tcW w:w="122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1,123.6</w:t>
            </w:r>
          </w:p>
        </w:tc>
        <w:tc>
          <w:tcPr>
            <w:tcW w:w="4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822.8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liabilities of discontinued operations</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102.0</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1,303.1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680" w:type="dxa"/>
            <w:vAlign w:val="bottom"/>
          </w:tcPr>
          <w:p>
            <w:pPr>
              <w:ind w:left="420"/>
              <w:spacing w:after="0"/>
              <w:rPr>
                <w:sz w:val="20"/>
                <w:szCs w:val="20"/>
                <w:color w:val="auto"/>
              </w:rPr>
            </w:pPr>
            <w:r>
              <w:rPr>
                <w:rFonts w:ascii="Arial" w:cs="Arial" w:eastAsia="Arial" w:hAnsi="Arial"/>
                <w:sz w:val="14"/>
                <w:szCs w:val="14"/>
                <w:color w:val="auto"/>
              </w:rPr>
              <w:t>Total current liabilities</w:t>
            </w:r>
          </w:p>
        </w:tc>
        <w:tc>
          <w:tcPr>
            <w:tcW w:w="122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6,879.5</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7,594.7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(Note 8)</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9,649.2</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9,608.1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line="149" w:lineRule="exact"/>
              <w:rPr>
                <w:sz w:val="20"/>
                <w:szCs w:val="20"/>
                <w:color w:val="auto"/>
              </w:rPr>
            </w:pPr>
            <w:r>
              <w:rPr>
                <w:rFonts w:ascii="Arial" w:cs="Arial" w:eastAsia="Arial" w:hAnsi="Arial"/>
                <w:sz w:val="14"/>
                <w:szCs w:val="14"/>
                <w:color w:val="auto"/>
              </w:rPr>
              <w:t>Pension and postretirement benefit obligations (Note 12)</w:t>
            </w:r>
          </w:p>
        </w:tc>
        <w:tc>
          <w:tcPr>
            <w:tcW w:w="122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2,243.5</w:t>
            </w:r>
          </w:p>
        </w:tc>
        <w:tc>
          <w:tcPr>
            <w:tcW w:w="4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2,132.5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liabilities, net (Note 11)</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1,356.7</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22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5,230.5</w:t>
            </w:r>
          </w:p>
        </w:tc>
        <w:tc>
          <w:tcPr>
            <w:tcW w:w="4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5,706.6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 of discontinued operations</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607.7</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700" w:type="dxa"/>
            <w:vAlign w:val="bottom"/>
            <w:gridSpan w:val="2"/>
          </w:tcPr>
          <w:p>
            <w:pPr>
              <w:spacing w:after="0"/>
              <w:rPr>
                <w:sz w:val="20"/>
                <w:szCs w:val="20"/>
                <w:color w:val="auto"/>
              </w:rPr>
            </w:pPr>
            <w:r>
              <w:rPr>
                <w:rFonts w:ascii="Arial" w:cs="Arial" w:eastAsia="Arial" w:hAnsi="Arial"/>
                <w:sz w:val="14"/>
                <w:szCs w:val="14"/>
                <w:color w:val="auto"/>
              </w:rPr>
              <w:t>Commitments and contingencies (Note 13)</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10.9</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line="149" w:lineRule="exact"/>
              <w:rPr>
                <w:sz w:val="20"/>
                <w:szCs w:val="20"/>
                <w:color w:val="auto"/>
              </w:rPr>
            </w:pPr>
            <w:r>
              <w:rPr>
                <w:rFonts w:ascii="Arial" w:cs="Arial" w:eastAsia="Arial" w:hAnsi="Arial"/>
                <w:sz w:val="14"/>
                <w:szCs w:val="14"/>
                <w:color w:val="auto"/>
              </w:rPr>
              <w:t>Minority interest of discontinued operations</w:t>
            </w:r>
          </w:p>
        </w:tc>
        <w:tc>
          <w:tcPr>
            <w:tcW w:w="122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613.8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1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680" w:type="dxa"/>
            <w:vAlign w:val="bottom"/>
          </w:tcPr>
          <w:p>
            <w:pPr>
              <w:ind w:left="200"/>
              <w:spacing w:after="0" w:line="138" w:lineRule="exact"/>
              <w:rPr>
                <w:sz w:val="20"/>
                <w:szCs w:val="20"/>
                <w:color w:val="auto"/>
              </w:rPr>
            </w:pPr>
            <w:r>
              <w:rPr>
                <w:rFonts w:ascii="Arial" w:cs="Arial" w:eastAsia="Arial" w:hAnsi="Arial"/>
                <w:sz w:val="14"/>
                <w:szCs w:val="14"/>
                <w:color w:val="auto"/>
              </w:rPr>
              <w:t>Class A Common Stock, par value $.01 per share; 750.0 shares authorized; 133.4 (2004)</w:t>
            </w: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80" w:type="dxa"/>
            <w:vAlign w:val="bottom"/>
          </w:tcPr>
          <w:p>
            <w:pPr>
              <w:ind w:left="200"/>
              <w:spacing w:after="0" w:line="159" w:lineRule="exact"/>
              <w:rPr>
                <w:sz w:val="20"/>
                <w:szCs w:val="20"/>
                <w:color w:val="auto"/>
              </w:rPr>
            </w:pPr>
            <w:r>
              <w:rPr>
                <w:rFonts w:ascii="Arial" w:cs="Arial" w:eastAsia="Arial" w:hAnsi="Arial"/>
                <w:sz w:val="14"/>
                <w:szCs w:val="14"/>
                <w:color w:val="auto"/>
              </w:rPr>
              <w:t>and 133.7 (2003) shares issued</w:t>
            </w:r>
          </w:p>
        </w:tc>
        <w:tc>
          <w:tcPr>
            <w:tcW w:w="1220" w:type="dxa"/>
            <w:vAlign w:val="bottom"/>
          </w:tcPr>
          <w:p>
            <w:pPr>
              <w:spacing w:after="0"/>
              <w:rPr>
                <w:sz w:val="13"/>
                <w:szCs w:val="13"/>
                <w:color w:val="auto"/>
              </w:rPr>
            </w:pPr>
          </w:p>
        </w:tc>
        <w:tc>
          <w:tcPr>
            <w:tcW w:w="1120" w:type="dxa"/>
            <w:vAlign w:val="bottom"/>
          </w:tcPr>
          <w:p>
            <w:pPr>
              <w:jc w:val="right"/>
              <w:ind w:right="72"/>
              <w:spacing w:after="0" w:line="159" w:lineRule="exact"/>
              <w:rPr>
                <w:sz w:val="20"/>
                <w:szCs w:val="20"/>
                <w:color w:val="auto"/>
              </w:rPr>
            </w:pPr>
            <w:r>
              <w:rPr>
                <w:rFonts w:ascii="Arial" w:cs="Arial" w:eastAsia="Arial" w:hAnsi="Arial"/>
                <w:sz w:val="14"/>
                <w:szCs w:val="14"/>
                <w:color w:val="auto"/>
              </w:rPr>
              <w:t>1.3</w:t>
            </w:r>
          </w:p>
        </w:tc>
        <w:tc>
          <w:tcPr>
            <w:tcW w:w="4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6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Class B Common Stock, par value $.01 per share; 10,000.0 shares authorized; 1,737.8 (2004)</w:t>
            </w:r>
          </w:p>
        </w:tc>
        <w:tc>
          <w:tcPr>
            <w:tcW w:w="1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and 1,730.8 (2003) shares issued</w:t>
            </w:r>
          </w:p>
        </w:tc>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17.4</w:t>
            </w: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122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66,027.7</w:t>
            </w:r>
          </w:p>
        </w:tc>
        <w:tc>
          <w:tcPr>
            <w:tcW w:w="4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65,840.3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Retained earnings (deficit)</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(14,747.3)</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Accumulated other comprehensive loss (Note 1)</w:t>
            </w:r>
          </w:p>
        </w:tc>
        <w:tc>
          <w:tcPr>
            <w:tcW w:w="1220" w:type="dxa"/>
            <w:vAlign w:val="bottom"/>
          </w:tcPr>
          <w:p>
            <w:pPr>
              <w:spacing w:after="0"/>
              <w:rPr>
                <w:sz w:val="12"/>
                <w:szCs w:val="12"/>
                <w:color w:val="auto"/>
              </w:rPr>
            </w:pP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(356.0)</w:t>
            </w:r>
          </w:p>
        </w:tc>
        <w:tc>
          <w:tcPr>
            <w:tcW w:w="4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Accumulated other comprehensive loss of discontinued operations</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6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50,943.1</w:t>
            </w:r>
          </w:p>
        </w:tc>
        <w:tc>
          <w:tcPr>
            <w:tcW w:w="4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68,649.6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Less treasury stock, at cost; 1.9 (2004) and 1.4 (2003) Class A shares; and 224.0 (2004) and 128.5 (2003) Class B shares</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8,918.8</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5,444.6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680" w:type="dxa"/>
            <w:vAlign w:val="bottom"/>
          </w:tcPr>
          <w:p>
            <w:pPr>
              <w:ind w:left="420"/>
              <w:spacing w:after="0"/>
              <w:rPr>
                <w:sz w:val="20"/>
                <w:szCs w:val="20"/>
                <w:color w:val="auto"/>
              </w:rPr>
            </w:pPr>
            <w:r>
              <w:rPr>
                <w:rFonts w:ascii="Arial" w:cs="Arial" w:eastAsia="Arial" w:hAnsi="Arial"/>
                <w:sz w:val="14"/>
                <w:szCs w:val="14"/>
                <w:color w:val="auto"/>
              </w:rPr>
              <w:t>Total stockholders' equity</w:t>
            </w:r>
          </w:p>
        </w:tc>
        <w:tc>
          <w:tcPr>
            <w:tcW w:w="122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42,024.3</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63,205.0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2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68,002.3</w:t>
            </w:r>
          </w:p>
        </w:tc>
        <w:tc>
          <w:tcPr>
            <w:tcW w:w="4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90,225.5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-7964170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-7964170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-6866255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-6866255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-6617970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-6617970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-5897245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-5897245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-5554345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-5554345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-5305425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-5305425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-4679315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-4679315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-4431030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-4431030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-3049905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-3049905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-2801620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-2801620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-854710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-511810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-262890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661" w:gutter="0" w:footer="0" w:header="0"/>
        </w:sectPr>
      </w:pPr>
    </w:p>
    <w:bookmarkStart w:id="69" w:name="page70"/>
    <w:bookmarkEnd w:id="69"/>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jc w:val="right"/>
              <w:ind w:right="613"/>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4"/>
                <w:szCs w:val="24"/>
                <w:color w:val="auto"/>
              </w:rPr>
            </w:pPr>
          </w:p>
        </w:tc>
        <w:tc>
          <w:tcPr>
            <w:tcW w:w="1120" w:type="dxa"/>
            <w:vAlign w:val="bottom"/>
          </w:tcPr>
          <w:p>
            <w:pPr>
              <w:jc w:val="right"/>
              <w:ind w:right="553"/>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4"/>
                <w:szCs w:val="24"/>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760" w:type="dxa"/>
            <w:vAlign w:val="bottom"/>
            <w:gridSpan w:val="2"/>
          </w:tcPr>
          <w:p>
            <w:pPr>
              <w:spacing w:after="0"/>
              <w:rPr>
                <w:sz w:val="20"/>
                <w:szCs w:val="20"/>
                <w:color w:val="auto"/>
              </w:rPr>
            </w:pPr>
            <w:r>
              <w:rPr>
                <w:rFonts w:ascii="Arial" w:cs="Arial" w:eastAsia="Arial" w:hAnsi="Arial"/>
                <w:sz w:val="18"/>
                <w:szCs w:val="18"/>
                <w:color w:val="auto"/>
              </w:rPr>
              <w:t>Net earnings (loss)</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(17,462.2)</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1,416.9</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725.7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(loss) from discontinued operations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Less: Cumulative effect of accounting change, net of minority interest and tax</w:t>
            </w: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(1,312.4)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w:t>
            </w:r>
          </w:p>
        </w:tc>
        <w:tc>
          <w:tcPr>
            <w:tcW w:w="3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(1,480.9)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7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from continuing operations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(15,059.5)</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2,237.8</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1"/>
              </w:rPr>
              <w:t>Adjustments to reconcile net earnings (loss) from continuing operations to net cash flow from</w:t>
            </w: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809.9</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741.9</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Impairment charge</w:t>
            </w:r>
          </w:p>
        </w:tc>
        <w:tc>
          <w:tcPr>
            <w:tcW w:w="50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17,997.1</w:t>
            </w:r>
          </w:p>
        </w:tc>
        <w:tc>
          <w:tcPr>
            <w:tcW w:w="36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and other items, net</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Equity in (earnings) loss of affiliated companies, net of tax</w:t>
            </w:r>
          </w:p>
        </w:tc>
        <w:tc>
          <w:tcPr>
            <w:tcW w:w="50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20.8</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from affiliated companies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28.9</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37.7</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Minority interest, net of tax</w:t>
            </w:r>
          </w:p>
        </w:tc>
        <w:tc>
          <w:tcPr>
            <w:tcW w:w="50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9.8</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Change in operating assets and liabilities:</w:t>
            </w: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receivables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Increase in inventory and related program and participation liabilities, net</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other assets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148.1</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Decrease in accounts payable and accrued expenses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(49.6)</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(410.7)</w:t>
            </w:r>
          </w:p>
        </w:tc>
        <w:tc>
          <w:tcPr>
            <w:tcW w:w="3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income taxes payable and net deferred tax liabilities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218.9</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726.1</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(Decrease) increase in deferred income</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(74.9)</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(104.6)</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60" w:type="dxa"/>
            <w:vAlign w:val="bottom"/>
            <w:gridSpan w:val="2"/>
          </w:tcPr>
          <w:p>
            <w:pPr>
              <w:spacing w:after="0"/>
              <w:rPr>
                <w:sz w:val="20"/>
                <w:szCs w:val="20"/>
                <w:color w:val="auto"/>
              </w:rPr>
            </w:pPr>
            <w:r>
              <w:rPr>
                <w:rFonts w:ascii="Arial" w:cs="Arial" w:eastAsia="Arial" w:hAnsi="Arial"/>
                <w:sz w:val="18"/>
                <w:szCs w:val="18"/>
                <w:color w:val="auto"/>
              </w:rPr>
              <w:t>Net cash flow provided by operating activities from continuing operations</w:t>
            </w:r>
          </w:p>
        </w:tc>
        <w:tc>
          <w:tcPr>
            <w:tcW w:w="500" w:type="dxa"/>
            <w:vAlign w:val="bottom"/>
          </w:tcPr>
          <w:p>
            <w:pPr>
              <w:spacing w:after="0"/>
              <w:rPr>
                <w:sz w:val="24"/>
                <w:szCs w:val="24"/>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3,404.0</w:t>
            </w:r>
          </w:p>
        </w:tc>
        <w:tc>
          <w:tcPr>
            <w:tcW w:w="360" w:type="dxa"/>
            <w:vAlign w:val="bottom"/>
          </w:tcPr>
          <w:p>
            <w:pPr>
              <w:spacing w:after="0"/>
              <w:rPr>
                <w:sz w:val="24"/>
                <w:szCs w:val="24"/>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2,901.9</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2,728.7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cash flow provided by operating activities attributable to Blockbuster (Note 2)</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236.6</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595.5</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Net cash flow provided by operating activities</w:t>
            </w:r>
          </w:p>
        </w:tc>
        <w:tc>
          <w:tcPr>
            <w:tcW w:w="500" w:type="dxa"/>
            <w:vAlign w:val="bottom"/>
          </w:tcPr>
          <w:p>
            <w:pPr>
              <w:spacing w:after="0"/>
              <w:rPr>
                <w:sz w:val="24"/>
                <w:szCs w:val="24"/>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3,640.6</w:t>
            </w:r>
          </w:p>
        </w:tc>
        <w:tc>
          <w:tcPr>
            <w:tcW w:w="360" w:type="dxa"/>
            <w:vAlign w:val="bottom"/>
          </w:tcPr>
          <w:p>
            <w:pPr>
              <w:spacing w:after="0"/>
              <w:rPr>
                <w:sz w:val="24"/>
                <w:szCs w:val="24"/>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3,497.4</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3,124.4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5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(427.7)</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(1,341.6)</w:t>
            </w:r>
          </w:p>
        </w:tc>
        <w:tc>
          <w:tcPr>
            <w:tcW w:w="3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(818.0)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Investments in and advances to affiliated companies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(77.7)</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c>
          <w:tcPr>
            <w:tcW w:w="3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 distribution received from Blockbuster</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738.1</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Proceeds from sale, net of transaction costs</w:t>
            </w:r>
          </w:p>
        </w:tc>
        <w:tc>
          <w:tcPr>
            <w:tcW w:w="50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65.5</w:t>
            </w:r>
          </w:p>
        </w:tc>
        <w:tc>
          <w:tcPr>
            <w:tcW w:w="36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46.2</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60" w:type="dxa"/>
            <w:vAlign w:val="bottom"/>
            <w:gridSpan w:val="2"/>
          </w:tcPr>
          <w:p>
            <w:pPr>
              <w:spacing w:after="0"/>
              <w:rPr>
                <w:sz w:val="20"/>
                <w:szCs w:val="20"/>
                <w:color w:val="auto"/>
              </w:rPr>
            </w:pPr>
            <w:r>
              <w:rPr>
                <w:rFonts w:ascii="Arial" w:cs="Arial" w:eastAsia="Arial" w:hAnsi="Arial"/>
                <w:sz w:val="18"/>
                <w:szCs w:val="18"/>
                <w:color w:val="auto"/>
              </w:rPr>
              <w:t>Net cash flow used for investing activities from continuing operations</w:t>
            </w:r>
          </w:p>
        </w:tc>
        <w:tc>
          <w:tcPr>
            <w:tcW w:w="5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(112.7)</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(1,683.3)</w:t>
            </w:r>
          </w:p>
        </w:tc>
        <w:tc>
          <w:tcPr>
            <w:tcW w:w="3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(1,193.4)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investing activities attributable to Blockbuster (Note 2)</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Net cash flow used for investing activities</w:t>
            </w:r>
          </w:p>
        </w:tc>
        <w:tc>
          <w:tcPr>
            <w:tcW w:w="5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(533.7)</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(1,862.4)</w:t>
            </w:r>
          </w:p>
        </w:tc>
        <w:tc>
          <w:tcPr>
            <w:tcW w:w="3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(1,442.2)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Proceeds from issuance of notes and debentures</w:t>
            </w:r>
          </w:p>
        </w:tc>
        <w:tc>
          <w:tcPr>
            <w:tcW w:w="500" w:type="dxa"/>
            <w:vAlign w:val="bottom"/>
          </w:tcPr>
          <w:p>
            <w:pPr>
              <w:spacing w:after="0"/>
              <w:rPr>
                <w:sz w:val="24"/>
                <w:szCs w:val="24"/>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736.5</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1,298.0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119.6</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245.2</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Repayments to banks, including commercial paper, net</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(162.1)</w:t>
            </w:r>
          </w:p>
        </w:tc>
        <w:tc>
          <w:tcPr>
            <w:tcW w:w="3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notes and debentures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Payment of capital lease obligations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(66.3)</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(78.7)</w:t>
            </w:r>
          </w:p>
        </w:tc>
        <w:tc>
          <w:tcPr>
            <w:tcW w:w="3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Company common stock</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(2,503.3)</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(415.2)</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(104.6)</w:t>
            </w:r>
          </w:p>
        </w:tc>
        <w:tc>
          <w:tcPr>
            <w:tcW w:w="3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60" w:type="dxa"/>
            <w:vAlign w:val="bottom"/>
            <w:gridSpan w:val="2"/>
          </w:tcPr>
          <w:p>
            <w:pPr>
              <w:spacing w:after="0"/>
              <w:rPr>
                <w:sz w:val="20"/>
                <w:szCs w:val="20"/>
                <w:color w:val="auto"/>
              </w:rPr>
            </w:pPr>
            <w:r>
              <w:rPr>
                <w:rFonts w:ascii="Arial" w:cs="Arial" w:eastAsia="Arial" w:hAnsi="Arial"/>
                <w:sz w:val="18"/>
                <w:szCs w:val="18"/>
                <w:color w:val="auto"/>
              </w:rPr>
              <w:t>Net cash flow used for financing activities from continuing operations</w:t>
            </w:r>
          </w:p>
        </w:tc>
        <w:tc>
          <w:tcPr>
            <w:tcW w:w="5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(2,980.4)</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(1,080.2)</w:t>
            </w:r>
          </w:p>
        </w:tc>
        <w:tc>
          <w:tcPr>
            <w:tcW w:w="3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(1,583.6)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financing activities attributable to Blockbuster (Note 2)</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Net cash flow used for financing activities</w:t>
            </w:r>
          </w:p>
        </w:tc>
        <w:tc>
          <w:tcPr>
            <w:tcW w:w="5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(3,029.4)</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(1,415.7)</w:t>
            </w:r>
          </w:p>
        </w:tc>
        <w:tc>
          <w:tcPr>
            <w:tcW w:w="3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(1,778.2)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77.5</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219.3</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Cash and cash equivalents at beginning of year (includes $233.4 (2004),</w:t>
            </w:r>
          </w:p>
        </w:tc>
        <w:tc>
          <w:tcPr>
            <w:tcW w:w="50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850.7</w:t>
            </w:r>
          </w:p>
        </w:tc>
        <w:tc>
          <w:tcPr>
            <w:tcW w:w="36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631.4</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-9260840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-9260840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-8420735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-8420735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-5796280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-5796280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-5504815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-5504815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-5213350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-5213350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-4921885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-4921885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-3652520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-3652520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-3361055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-3361055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-3068955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-3068955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-2777490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-2777490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-1233805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-1233805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-942340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-942340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-650875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-650875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-359410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-359410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4" w:orient="portrait"/>
          <w:cols w:equalWidth="0" w:num="1">
            <w:col w:w="11420"/>
          </w:cols>
          <w:pgMar w:left="240" w:top="125" w:right="239" w:bottom="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$152.5 (2003) and $200.2 (2002) of Blockbuster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73595"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20"/>
                <w:szCs w:val="20"/>
                <w:color w:val="auto"/>
              </w:rPr>
            </w:pPr>
            <w:r>
              <w:rPr>
                <w:rFonts w:ascii="Arial" w:cs="Arial" w:eastAsia="Arial" w:hAnsi="Arial"/>
                <w:sz w:val="18"/>
                <w:szCs w:val="18"/>
                <w:b w:val="1"/>
                <w:bCs w:val="1"/>
                <w:color w:val="auto"/>
                <w:w w:val="90"/>
              </w:rPr>
              <w:t>Cash and cash equivalents at end of year (includes $233.4 (2003) and $152.5 (2002) of</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8"/>
        </w:trPr>
        <w:tc>
          <w:tcPr>
            <w:tcW w:w="6660" w:type="dxa"/>
            <w:vAlign w:val="bottom"/>
          </w:tcPr>
          <w:p>
            <w:pPr>
              <w:spacing w:after="0"/>
              <w:rPr>
                <w:sz w:val="20"/>
                <w:szCs w:val="20"/>
                <w:color w:val="auto"/>
              </w:rPr>
            </w:pPr>
            <w:r>
              <w:rPr>
                <w:rFonts w:ascii="Arial" w:cs="Arial" w:eastAsia="Arial" w:hAnsi="Arial"/>
                <w:sz w:val="18"/>
                <w:szCs w:val="18"/>
                <w:b w:val="1"/>
                <w:bCs w:val="1"/>
                <w:color w:val="auto"/>
              </w:rPr>
              <w:t>Blockbuster cash)</w:t>
            </w:r>
          </w:p>
        </w:tc>
        <w:tc>
          <w:tcPr>
            <w:tcW w:w="8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928.2</w:t>
            </w:r>
          </w:p>
        </w:tc>
        <w:tc>
          <w:tcPr>
            <w:tcW w:w="6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850.7</w:t>
            </w:r>
          </w:p>
        </w:tc>
        <w:tc>
          <w:tcPr>
            <w:tcW w:w="6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743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173595"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6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w w:val="91"/>
              </w:rPr>
              <w:t>Year Ended December 31,</w:t>
            </w: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4"/>
                <w:szCs w:val="14"/>
                <w:b w:val="1"/>
                <w:bCs w:val="1"/>
                <w:color w:val="auto"/>
                <w:w w:val="83"/>
              </w:rPr>
              <w:t>2002</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80" w:type="dxa"/>
            <w:vAlign w:val="bottom"/>
          </w:tcPr>
          <w:p>
            <w:pPr>
              <w:spacing w:after="0"/>
              <w:rPr>
                <w:sz w:val="23"/>
                <w:szCs w:val="23"/>
                <w:color w:val="auto"/>
              </w:rPr>
            </w:pPr>
          </w:p>
        </w:tc>
        <w:tc>
          <w:tcPr>
            <w:tcW w:w="76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23"/>
                <w:szCs w:val="23"/>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w w:val="86"/>
              </w:rPr>
              <w:t>Amount</w:t>
            </w: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23"/>
                <w:szCs w:val="23"/>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w w:val="90"/>
              </w:rPr>
              <w:t>Amount</w:t>
            </w: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23"/>
                <w:szCs w:val="23"/>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Class A Common Stock:</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133.7</w:t>
            </w:r>
          </w:p>
        </w:tc>
        <w:tc>
          <w:tcPr>
            <w:tcW w:w="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137.3</w:t>
            </w:r>
          </w:p>
        </w:tc>
        <w:tc>
          <w:tcPr>
            <w:tcW w:w="3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138.8</w:t>
            </w:r>
          </w:p>
        </w:tc>
        <w:tc>
          <w:tcPr>
            <w:tcW w:w="32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Conversion of A shares into B shares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80" w:type="dxa"/>
            <w:vAlign w:val="bottom"/>
          </w:tcPr>
          <w:p>
            <w:pPr>
              <w:ind w:left="200"/>
              <w:spacing w:after="0"/>
              <w:rPr>
                <w:sz w:val="20"/>
                <w:szCs w:val="20"/>
                <w:color w:val="auto"/>
              </w:rPr>
            </w:pPr>
            <w:r>
              <w:rPr>
                <w:rFonts w:ascii="Arial" w:cs="Arial" w:eastAsia="Arial" w:hAnsi="Arial"/>
                <w:sz w:val="14"/>
                <w:szCs w:val="14"/>
                <w:color w:val="auto"/>
              </w:rPr>
              <w:t>Balance, end of year</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133.4</w:t>
            </w:r>
          </w:p>
        </w:tc>
        <w:tc>
          <w:tcPr>
            <w:tcW w:w="36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4"/>
                <w:szCs w:val="14"/>
                <w:color w:val="auto"/>
              </w:rPr>
              <w:t>1.3</w:t>
            </w:r>
          </w:p>
        </w:tc>
        <w:tc>
          <w:tcPr>
            <w:tcW w:w="720" w:type="dxa"/>
            <w:vAlign w:val="bottom"/>
          </w:tcPr>
          <w:p>
            <w:pPr>
              <w:jc w:val="right"/>
              <w:spacing w:after="0"/>
              <w:rPr>
                <w:sz w:val="20"/>
                <w:szCs w:val="20"/>
                <w:color w:val="auto"/>
              </w:rPr>
            </w:pPr>
            <w:r>
              <w:rPr>
                <w:rFonts w:ascii="Arial" w:cs="Arial" w:eastAsia="Arial" w:hAnsi="Arial"/>
                <w:sz w:val="14"/>
                <w:szCs w:val="14"/>
                <w:color w:val="auto"/>
              </w:rPr>
              <w:t>133.7</w:t>
            </w:r>
          </w:p>
        </w:tc>
        <w:tc>
          <w:tcPr>
            <w:tcW w:w="30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4"/>
                <w:szCs w:val="14"/>
                <w:color w:val="auto"/>
              </w:rPr>
              <w:t>1.3</w:t>
            </w:r>
          </w:p>
        </w:tc>
        <w:tc>
          <w:tcPr>
            <w:tcW w:w="720" w:type="dxa"/>
            <w:vAlign w:val="bottom"/>
          </w:tcPr>
          <w:p>
            <w:pPr>
              <w:jc w:val="right"/>
              <w:spacing w:after="0"/>
              <w:rPr>
                <w:sz w:val="20"/>
                <w:szCs w:val="20"/>
                <w:color w:val="auto"/>
              </w:rPr>
            </w:pPr>
            <w:r>
              <w:rPr>
                <w:rFonts w:ascii="Arial" w:cs="Arial" w:eastAsia="Arial" w:hAnsi="Arial"/>
                <w:sz w:val="14"/>
                <w:szCs w:val="14"/>
                <w:color w:val="auto"/>
              </w:rPr>
              <w:t>137.3</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Class B Common Stock:</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1,730.8</w:t>
            </w:r>
          </w:p>
        </w:tc>
        <w:tc>
          <w:tcPr>
            <w:tcW w:w="36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17.3</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1,716.0</w:t>
            </w:r>
          </w:p>
        </w:tc>
        <w:tc>
          <w:tcPr>
            <w:tcW w:w="300" w:type="dxa"/>
            <w:vAlign w:val="bottom"/>
          </w:tcPr>
          <w:p>
            <w:pPr>
              <w:spacing w:after="0"/>
              <w:rPr>
                <w:sz w:val="12"/>
                <w:szCs w:val="12"/>
                <w:color w:val="auto"/>
              </w:rPr>
            </w:pP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1,697.0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stock options</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6.7</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80" w:type="dxa"/>
            <w:vAlign w:val="bottom"/>
          </w:tcPr>
          <w:p>
            <w:pPr>
              <w:ind w:left="200"/>
              <w:spacing w:after="0"/>
              <w:rPr>
                <w:sz w:val="20"/>
                <w:szCs w:val="20"/>
                <w:color w:val="auto"/>
              </w:rPr>
            </w:pPr>
            <w:r>
              <w:rPr>
                <w:rFonts w:ascii="Arial" w:cs="Arial" w:eastAsia="Arial" w:hAnsi="Arial"/>
                <w:sz w:val="14"/>
                <w:szCs w:val="14"/>
                <w:color w:val="auto"/>
              </w:rPr>
              <w:t>Conversion of A shares into B shares</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.3</w:t>
            </w:r>
          </w:p>
        </w:tc>
        <w:tc>
          <w:tcPr>
            <w:tcW w:w="360" w:type="dxa"/>
            <w:vAlign w:val="bottom"/>
          </w:tcPr>
          <w:p>
            <w:pPr>
              <w:spacing w:after="0"/>
              <w:rPr>
                <w:sz w:val="14"/>
                <w:szCs w:val="14"/>
                <w:color w:val="auto"/>
              </w:rPr>
            </w:pPr>
          </w:p>
        </w:tc>
        <w:tc>
          <w:tcPr>
            <w:tcW w:w="9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3.6</w:t>
            </w:r>
          </w:p>
        </w:tc>
        <w:tc>
          <w:tcPr>
            <w:tcW w:w="300" w:type="dxa"/>
            <w:vAlign w:val="bottom"/>
          </w:tcPr>
          <w:p>
            <w:pPr>
              <w:spacing w:after="0"/>
              <w:rPr>
                <w:sz w:val="14"/>
                <w:szCs w:val="14"/>
                <w:color w:val="auto"/>
              </w:rPr>
            </w:pPr>
          </w:p>
        </w:tc>
        <w:tc>
          <w:tcPr>
            <w:tcW w:w="940" w:type="dxa"/>
            <w:vAlign w:val="bottom"/>
          </w:tcPr>
          <w:p>
            <w:pPr>
              <w:jc w:val="right"/>
              <w:ind w:right="92"/>
              <w:spacing w:after="0"/>
              <w:rPr>
                <w:sz w:val="20"/>
                <w:szCs w:val="20"/>
                <w:color w:val="auto"/>
              </w:rPr>
            </w:pPr>
            <w:r>
              <w:rPr>
                <w:rFonts w:ascii="Arial" w:cs="Arial" w:eastAsia="Arial" w:hAnsi="Arial"/>
                <w:sz w:val="14"/>
                <w:szCs w:val="14"/>
                <w:color w:val="auto"/>
              </w:rPr>
              <w:t>.1</w:t>
            </w: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3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year</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1,737.8</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1,730.8</w:t>
            </w: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1,716.0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Additional Paid-In Capital:</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65,840.3</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65,597.8</w:t>
            </w: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64,980.6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ind w:left="200"/>
              <w:spacing w:after="0" w:line="149" w:lineRule="exact"/>
              <w:rPr>
                <w:sz w:val="20"/>
                <w:szCs w:val="20"/>
                <w:color w:val="auto"/>
              </w:rPr>
            </w:pPr>
            <w:r>
              <w:rPr>
                <w:rFonts w:ascii="Arial" w:cs="Arial" w:eastAsia="Arial" w:hAnsi="Arial"/>
                <w:sz w:val="14"/>
                <w:szCs w:val="14"/>
                <w:color w:val="auto"/>
              </w:rPr>
              <w:t>Exercise of stock options, including tax benefit</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170.5</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322.6</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526.2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2"/>
              </w:rPr>
              <w:t>Reversal of deferred taxes attributable to accelerated stock options from prior acquisitions</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(3.8)</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(66.0)</w:t>
            </w: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ind w:left="200"/>
              <w:spacing w:after="0" w:line="149" w:lineRule="exact"/>
              <w:rPr>
                <w:sz w:val="20"/>
                <w:szCs w:val="20"/>
                <w:color w:val="auto"/>
              </w:rPr>
            </w:pPr>
            <w:r>
              <w:rPr>
                <w:rFonts w:ascii="Arial" w:cs="Arial" w:eastAsia="Arial" w:hAnsi="Arial"/>
                <w:sz w:val="14"/>
                <w:szCs w:val="14"/>
                <w:color w:val="auto"/>
              </w:rPr>
              <w:t>Adjustments for stock options and share issuances from prior acquisitions</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20.7</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Reduction of equity interest in subsidiary and affiliated companies</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(14.1)</w:t>
            </w: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80" w:type="dxa"/>
            <w:vAlign w:val="bottom"/>
          </w:tcPr>
          <w:p>
            <w:pPr>
              <w:ind w:left="200"/>
              <w:spacing w:after="0"/>
              <w:rPr>
                <w:sz w:val="20"/>
                <w:szCs w:val="20"/>
                <w:color w:val="auto"/>
              </w:rPr>
            </w:pPr>
            <w:r>
              <w:rPr>
                <w:rFonts w:ascii="Arial" w:cs="Arial" w:eastAsia="Arial" w:hAnsi="Arial"/>
                <w:sz w:val="14"/>
                <w:szCs w:val="14"/>
                <w:color w:val="auto"/>
              </w:rPr>
              <w:t>MTVi acquisition</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year</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66,027.7</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65,840.3</w:t>
            </w: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65,597.8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Retained Earnings (deficit):</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3,141.9</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1,934.0</w:t>
            </w: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1,208.3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ind w:left="200"/>
              <w:spacing w:after="0" w:line="149" w:lineRule="exact"/>
              <w:rPr>
                <w:sz w:val="20"/>
                <w:szCs w:val="20"/>
                <w:color w:val="auto"/>
              </w:rPr>
            </w:pPr>
            <w:r>
              <w:rPr>
                <w:rFonts w:ascii="Arial" w:cs="Arial" w:eastAsia="Arial" w:hAnsi="Arial"/>
                <w:sz w:val="14"/>
                <w:szCs w:val="14"/>
                <w:color w:val="auto"/>
              </w:rPr>
              <w:t>Net earnings (loss)</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(17,462.2)</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1,416.9</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725.7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(427.0)</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(209.0)</w:t>
            </w: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80" w:type="dxa"/>
            <w:vAlign w:val="bottom"/>
          </w:tcPr>
          <w:p>
            <w:pPr>
              <w:ind w:left="200"/>
              <w:spacing w:after="0"/>
              <w:rPr>
                <w:sz w:val="20"/>
                <w:szCs w:val="20"/>
                <w:color w:val="auto"/>
              </w:rPr>
            </w:pPr>
            <w:r>
              <w:rPr>
                <w:rFonts w:ascii="Arial" w:cs="Arial" w:eastAsia="Arial" w:hAnsi="Arial"/>
                <w:sz w:val="14"/>
                <w:szCs w:val="14"/>
                <w:color w:val="auto"/>
              </w:rPr>
              <w:t>Balance, end of year</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(14,747.3)</w:t>
            </w: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4"/>
                <w:szCs w:val="14"/>
                <w:color w:val="auto"/>
              </w:rPr>
              <w:t>3,141.9</w:t>
            </w: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1,934.0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Accumulated Other Comprehensive Loss:</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(317.6)</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(496.9)</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income (loss)</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(38.4)</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179.3</w:t>
            </w: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(425.6)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80" w:type="dxa"/>
            <w:vAlign w:val="bottom"/>
          </w:tcPr>
          <w:p>
            <w:pPr>
              <w:ind w:left="200"/>
              <w:spacing w:after="0"/>
              <w:rPr>
                <w:sz w:val="20"/>
                <w:szCs w:val="20"/>
                <w:color w:val="auto"/>
              </w:rPr>
            </w:pPr>
            <w:r>
              <w:rPr>
                <w:rFonts w:ascii="Arial" w:cs="Arial" w:eastAsia="Arial" w:hAnsi="Arial"/>
                <w:sz w:val="14"/>
                <w:szCs w:val="14"/>
                <w:color w:val="auto"/>
              </w:rPr>
              <w:t>Balance, end of year</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(356.0)</w:t>
            </w: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(317.6)</w:t>
            </w: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(496.9)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Accumulated Other Comprehensive Loss of Discontinued Operations:</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(33.6)</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(83.6)</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income (loss) from discontinued operations</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33.6</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50.0</w:t>
            </w: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80" w:type="dxa"/>
            <w:vAlign w:val="bottom"/>
          </w:tcPr>
          <w:p>
            <w:pPr>
              <w:ind w:left="200"/>
              <w:spacing w:after="0"/>
              <w:rPr>
                <w:sz w:val="20"/>
                <w:szCs w:val="20"/>
                <w:color w:val="auto"/>
              </w:rPr>
            </w:pPr>
            <w:r>
              <w:rPr>
                <w:rFonts w:ascii="Arial" w:cs="Arial" w:eastAsia="Arial" w:hAnsi="Arial"/>
                <w:sz w:val="14"/>
                <w:szCs w:val="14"/>
                <w:color w:val="auto"/>
              </w:rPr>
              <w:t>Balance, end of year</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(33.6)</w:t>
            </w: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(83.6)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Treasury Stock, at cost:</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129.9</w:t>
            </w:r>
          </w:p>
        </w:tc>
        <w:tc>
          <w:tcPr>
            <w:tcW w:w="36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(5,444.6)</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106.7</w:t>
            </w:r>
          </w:p>
        </w:tc>
        <w:tc>
          <w:tcPr>
            <w:tcW w:w="30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(4,482.0)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79.3</w:t>
            </w:r>
          </w:p>
        </w:tc>
        <w:tc>
          <w:tcPr>
            <w:tcW w:w="32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Class B Common Stock purchased</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68.4</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(2,529.7)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w:t>
            </w: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(981.4)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ind w:left="200"/>
              <w:spacing w:after="0" w:line="149" w:lineRule="exact"/>
              <w:rPr>
                <w:sz w:val="20"/>
                <w:szCs w:val="20"/>
                <w:color w:val="auto"/>
              </w:rPr>
            </w:pPr>
            <w:r>
              <w:rPr>
                <w:rFonts w:ascii="Arial" w:cs="Arial" w:eastAsia="Arial" w:hAnsi="Arial"/>
                <w:sz w:val="14"/>
                <w:szCs w:val="14"/>
                <w:color w:val="auto"/>
              </w:rPr>
              <w:t>Stock received for Blockbuster split-off</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28.0</w:t>
            </w:r>
          </w:p>
        </w:tc>
        <w:tc>
          <w:tcPr>
            <w:tcW w:w="36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(963.0)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Issuance of stock for deferred compensation</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18.5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18.8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80" w:type="dxa"/>
            <w:vAlign w:val="bottom"/>
          </w:tcPr>
          <w:p>
            <w:pPr>
              <w:ind w:left="200"/>
              <w:spacing w:after="0"/>
              <w:rPr>
                <w:sz w:val="20"/>
                <w:szCs w:val="20"/>
                <w:color w:val="auto"/>
              </w:rPr>
            </w:pPr>
            <w:r>
              <w:rPr>
                <w:rFonts w:ascii="Arial" w:cs="Arial" w:eastAsia="Arial" w:hAnsi="Arial"/>
                <w:sz w:val="14"/>
                <w:szCs w:val="14"/>
                <w:color w:val="auto"/>
              </w:rPr>
              <w:t>Balance, end of year</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225.9</w:t>
            </w:r>
          </w:p>
        </w:tc>
        <w:tc>
          <w:tcPr>
            <w:tcW w:w="360" w:type="dxa"/>
            <w:vAlign w:val="bottom"/>
          </w:tcPr>
          <w:p>
            <w:pPr>
              <w:spacing w:after="0"/>
              <w:rPr>
                <w:sz w:val="23"/>
                <w:szCs w:val="23"/>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(8,918.8)</w:t>
            </w:r>
          </w:p>
        </w:tc>
        <w:tc>
          <w:tcPr>
            <w:tcW w:w="720" w:type="dxa"/>
            <w:vAlign w:val="bottom"/>
          </w:tcPr>
          <w:p>
            <w:pPr>
              <w:jc w:val="right"/>
              <w:spacing w:after="0"/>
              <w:rPr>
                <w:sz w:val="20"/>
                <w:szCs w:val="20"/>
                <w:color w:val="auto"/>
              </w:rPr>
            </w:pPr>
            <w:r>
              <w:rPr>
                <w:rFonts w:ascii="Arial" w:cs="Arial" w:eastAsia="Arial" w:hAnsi="Arial"/>
                <w:sz w:val="14"/>
                <w:szCs w:val="14"/>
                <w:color w:val="auto"/>
              </w:rPr>
              <w:t>129.9</w:t>
            </w:r>
          </w:p>
        </w:tc>
        <w:tc>
          <w:tcPr>
            <w:tcW w:w="300" w:type="dxa"/>
            <w:vAlign w:val="bottom"/>
          </w:tcPr>
          <w:p>
            <w:pPr>
              <w:spacing w:after="0"/>
              <w:rPr>
                <w:sz w:val="23"/>
                <w:szCs w:val="23"/>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(5,444.6)</w:t>
            </w:r>
          </w:p>
        </w:tc>
        <w:tc>
          <w:tcPr>
            <w:tcW w:w="720" w:type="dxa"/>
            <w:vAlign w:val="bottom"/>
          </w:tcPr>
          <w:p>
            <w:pPr>
              <w:jc w:val="right"/>
              <w:spacing w:after="0"/>
              <w:rPr>
                <w:sz w:val="20"/>
                <w:szCs w:val="20"/>
                <w:color w:val="auto"/>
              </w:rPr>
            </w:pPr>
            <w:r>
              <w:rPr>
                <w:rFonts w:ascii="Arial" w:cs="Arial" w:eastAsia="Arial" w:hAnsi="Arial"/>
                <w:sz w:val="14"/>
                <w:szCs w:val="14"/>
                <w:color w:val="auto"/>
              </w:rPr>
              <w:t>106.7</w:t>
            </w:r>
          </w:p>
        </w:tc>
        <w:tc>
          <w:tcPr>
            <w:tcW w:w="32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(4,482.0)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Stockholders' Equity</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42,024.3</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63,205.0</w:t>
            </w: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62,487.8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6"/>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Comprehensive Income (Loss):</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earnings (loss)</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(17,462.2)</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1,416.9</w:t>
            </w: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Other Comprehensive Income (Loss) from continuing operations, net of tax:</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Minimum pension liability adjustment</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(116.6)</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48.5</w:t>
            </w: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ind w:left="200"/>
              <w:spacing w:after="0" w:line="149" w:lineRule="exact"/>
              <w:rPr>
                <w:sz w:val="20"/>
                <w:szCs w:val="20"/>
                <w:color w:val="auto"/>
              </w:rPr>
            </w:pPr>
            <w:r>
              <w:rPr>
                <w:rFonts w:ascii="Arial" w:cs="Arial" w:eastAsia="Arial" w:hAnsi="Arial"/>
                <w:sz w:val="14"/>
                <w:szCs w:val="14"/>
                <w:color w:val="auto"/>
              </w:rPr>
              <w:t>Cumulative translation adjustments</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73.6</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122.3</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fair value of cash flow hedges</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2.4</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1.1</w:t>
            </w: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ind w:left="200"/>
              <w:spacing w:after="0" w:line="149" w:lineRule="exact"/>
              <w:rPr>
                <w:sz w:val="20"/>
                <w:szCs w:val="20"/>
                <w:color w:val="auto"/>
              </w:rPr>
            </w:pPr>
            <w:r>
              <w:rPr>
                <w:rFonts w:ascii="Arial" w:cs="Arial" w:eastAsia="Arial" w:hAnsi="Arial"/>
                <w:sz w:val="14"/>
                <w:szCs w:val="14"/>
                <w:color w:val="auto"/>
              </w:rPr>
              <w:t>Unrealized gain (loss) on securities</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20.6</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Reclassification adjustment for net realized (gains) losses</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(18.4)</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5.7</w:t>
            </w: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w w:val="99"/>
              </w:rPr>
              <w:t>Total Other Comprehensive Income (Loss) from continuing operations, net of tax</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(38.4)</w:t>
            </w: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92"/>
              <w:spacing w:after="0"/>
              <w:rPr>
                <w:sz w:val="20"/>
                <w:szCs w:val="20"/>
                <w:color w:val="auto"/>
              </w:rPr>
            </w:pPr>
            <w:r>
              <w:rPr>
                <w:rFonts w:ascii="Arial" w:cs="Arial" w:eastAsia="Arial" w:hAnsi="Arial"/>
                <w:sz w:val="14"/>
                <w:szCs w:val="14"/>
                <w:color w:val="auto"/>
              </w:rPr>
              <w:t>179.3</w:t>
            </w: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(425.6)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38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88"/>
              </w:rPr>
              <w:t>Other Comprehensive Income (Loss) from discontinued operations, net of tax and minority</w:t>
            </w: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w:t>
            </w: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33.6</w:t>
            </w: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50.0</w:t>
            </w: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Total Other Comprehensive Income (Loss), net of tax</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(4.8)</w:t>
            </w: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4"/>
                <w:szCs w:val="14"/>
                <w:color w:val="auto"/>
              </w:rPr>
              <w:t>229.3</w:t>
            </w: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(427.8)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Comprehensive Income (Loss)</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(17,467.0)</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1,646.2</w:t>
            </w: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-8470265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-8470265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-8221345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-8221345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-7972425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-7972425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-7535545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-7535545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-7286625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-7286625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-6755130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-6755130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-6506210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-6506210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-5691505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-5691505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-5442585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-5442585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-4911090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-4911090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-4662170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-4662170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-4225290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-4225290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-3976370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-3976370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-3538855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-3538855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-3290570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-3290570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-2664460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-2664460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-2415540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-2415540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-2166620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-2166620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-1669415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-1669415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-949325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-949325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-511810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-262890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II-37</w:t>
      </w:r>
    </w:p>
    <w:p>
      <w:pPr>
        <w:sectPr>
          <w:pgSz w:w="11900" w:h="16838" w:orient="portrait"/>
          <w:cols w:equalWidth="0" w:num="1">
            <w:col w:w="11420"/>
          </w:cols>
          <w:pgMar w:left="240" w:top="368" w:right="239" w:bottom="0"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i w:val="1"/>
          <w:iCs w:val="1"/>
          <w:color w:val="auto"/>
        </w:rPr>
        <w:t>Principles of Consolidation—</w:t>
      </w:r>
      <w:r>
        <w:rPr>
          <w:rFonts w:ascii="Arial" w:cs="Arial" w:eastAsia="Arial" w:hAnsi="Arial"/>
          <w:sz w:val="16"/>
          <w:szCs w:val="16"/>
          <w:color w:val="auto"/>
        </w:rPr>
        <w:t>The consolidated financial statements include the accounts of Viacom Inc. and investments of more than 50% in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entities ("Viacom" or the "Company"). Investments in affiliated companies over which the Company has a significant influence or ownership of more than 20% but less than or equal to 50% are accounted for under the equity method. Investments of 20% or less over which the Company has no significant influence are accounted for under the cost method. All significant intercompany transactions have been eliminated.</w:t>
      </w:r>
    </w:p>
    <w:p>
      <w:pPr>
        <w:spacing w:after="0" w:line="167"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 applies the guidelines set forth in Financial Accounting Standards Board ("FASB") Interpretation No. 46R, "Consolidation of Variable Interest Entities, an Interpretation of ARB No. 51" ("FIN 46R") in assessing its interests in variable interest entities to decide whether to consolidate that entity. The Company has completed its review of potential variable interest entities and determined that there are no consolidation requirements under FIN 46R.</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Reclassifications—</w:t>
      </w:r>
      <w:r>
        <w:rPr>
          <w:rFonts w:ascii="Arial" w:cs="Arial" w:eastAsia="Arial" w:hAnsi="Arial"/>
          <w:sz w:val="18"/>
          <w:szCs w:val="18"/>
          <w:color w:val="auto"/>
        </w:rPr>
        <w:t>Certain amounts reported for prior years have been reclassified to conform to the current year's presentation.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The preparation of the Company's financial statements in conformity with generally accepted accounting principles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management to make estimates, judgments and assumptions that affect the reported amounts of assets and liabilities, disclosure of contingent assets and liabilities at the date of the financial statements and the reported amount of expenses during the reporting period.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Cash and cash equivalents consist of cash on hand and short-term (maturities of three months or less at the date of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highly liquid investments.</w:t>
      </w:r>
    </w:p>
    <w:p>
      <w:pPr>
        <w:spacing w:after="0" w:line="186"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i w:val="1"/>
          <w:iCs w:val="1"/>
          <w:color w:val="auto"/>
        </w:rPr>
        <w:t>Inventories—</w:t>
      </w:r>
      <w:r>
        <w:rPr>
          <w:rFonts w:ascii="Arial" w:cs="Arial" w:eastAsia="Arial" w:hAnsi="Arial"/>
          <w:sz w:val="15"/>
          <w:szCs w:val="15"/>
          <w:color w:val="auto"/>
        </w:rPr>
        <w:t>Inventories related to theatrical and television product (which includes direct production costs, production overhead and acquisition costs) are</w:t>
      </w:r>
      <w:r>
        <w:rPr>
          <w:rFonts w:ascii="Arial" w:cs="Arial" w:eastAsia="Arial" w:hAnsi="Arial"/>
          <w:sz w:val="15"/>
          <w:szCs w:val="15"/>
          <w:i w:val="1"/>
          <w:iCs w:val="1"/>
          <w:color w:val="auto"/>
        </w:rPr>
        <w:t xml:space="preserve"> </w:t>
      </w:r>
      <w:r>
        <w:rPr>
          <w:rFonts w:ascii="Arial" w:cs="Arial" w:eastAsia="Arial" w:hAnsi="Arial"/>
          <w:sz w:val="15"/>
          <w:szCs w:val="15"/>
          <w:color w:val="auto"/>
        </w:rPr>
        <w:t>stated at the lower of amortized cost or net realizable value. Inventories are amortized, and estimated liabilities for residuals and participations are accrued, for an individual product based on the proportion that current estimated revenues bear to the estimated remaining total lifetime revenues. Estimates for initial domestic syndication and basic cable revenues are not included in the estimated lifetime revenues of network series until such sales are probable. These estimates are periodically reviewed and adjustments if any, will result in changes to inventory amortization rates and estimated accruals for residuals and participations.</w:t>
      </w:r>
    </w:p>
    <w:p>
      <w:pPr>
        <w:spacing w:after="0" w:line="15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Company estimates that approximately 95% of unamortized costs of completed and released films at December 31, 2004 will be amortized within the next three years. Approximately $808.4 million of unamortized costs for completed and released films, and completed but not released films are expected to be amortized during the next twelve months. As of December 31, 2004, unamortized acquired film libraries of approximately $379.2 million remain to be amortized on a straight-line basis over an average remaining life of nine years.</w:t>
      </w:r>
    </w:p>
    <w:p>
      <w:pPr>
        <w:spacing w:after="0" w:line="197" w:lineRule="exact"/>
        <w:rPr>
          <w:sz w:val="20"/>
          <w:szCs w:val="20"/>
          <w:color w:val="auto"/>
        </w:rPr>
      </w:pPr>
    </w:p>
    <w:p>
      <w:pPr>
        <w:ind w:right="220" w:firstLine="351"/>
        <w:spacing w:after="0" w:line="370" w:lineRule="auto"/>
        <w:rPr>
          <w:sz w:val="20"/>
          <w:szCs w:val="20"/>
          <w:color w:val="auto"/>
        </w:rPr>
      </w:pPr>
      <w:r>
        <w:rPr>
          <w:rFonts w:ascii="Arial" w:cs="Arial" w:eastAsia="Arial" w:hAnsi="Arial"/>
          <w:sz w:val="15"/>
          <w:szCs w:val="15"/>
          <w:i w:val="1"/>
          <w:iCs w:val="1"/>
          <w:color w:val="auto"/>
        </w:rPr>
        <w:t>Program Rights—</w:t>
      </w:r>
      <w:r>
        <w:rPr>
          <w:rFonts w:ascii="Arial" w:cs="Arial" w:eastAsia="Arial" w:hAnsi="Arial"/>
          <w:sz w:val="15"/>
          <w:szCs w:val="15"/>
          <w:color w:val="auto"/>
        </w:rPr>
        <w:t>The Company acquires rights to programming and produces programming to exhibit on its broadcast and cable networks, and broadcast</w:t>
      </w:r>
      <w:r>
        <w:rPr>
          <w:rFonts w:ascii="Arial" w:cs="Arial" w:eastAsia="Arial" w:hAnsi="Arial"/>
          <w:sz w:val="15"/>
          <w:szCs w:val="15"/>
          <w:i w:val="1"/>
          <w:iCs w:val="1"/>
          <w:color w:val="auto"/>
        </w:rPr>
        <w:t xml:space="preserve"> </w:t>
      </w:r>
      <w:r>
        <w:rPr>
          <w:rFonts w:ascii="Arial" w:cs="Arial" w:eastAsia="Arial" w:hAnsi="Arial"/>
          <w:sz w:val="15"/>
          <w:szCs w:val="15"/>
          <w:color w:val="auto"/>
        </w:rPr>
        <w:t>television and radio stations. The costs incurred in acquiring and producing programs are capitalized and amortized over the license period or projected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useful life of the programming. Program rights and the related liabilities are recorded at the gross amount of the liabilities when the license period has begun, the cost of the program is determinable, and the program is accepted and available for airing.</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i w:val="1"/>
          <w:iCs w:val="1"/>
          <w:color w:val="auto"/>
        </w:rPr>
        <w:t>Property and Equipment—</w:t>
      </w:r>
      <w:r>
        <w:rPr>
          <w:rFonts w:ascii="Arial" w:cs="Arial" w:eastAsia="Arial" w:hAnsi="Arial"/>
          <w:sz w:val="18"/>
          <w:szCs w:val="18"/>
          <w:color w:val="auto"/>
        </w:rPr>
        <w:t>Property and equipment is stated at cost. Depreciation is computed by the straight-line method over estimated useful lives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Buildings (including capital leases)</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to 40 years</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420" w:type="dxa"/>
            <w:vAlign w:val="bottom"/>
          </w:tcPr>
          <w:p>
            <w:pPr>
              <w:jc w:val="right"/>
              <w:spacing w:after="0"/>
              <w:rPr>
                <w:sz w:val="20"/>
                <w:szCs w:val="20"/>
                <w:color w:val="auto"/>
              </w:rPr>
            </w:pPr>
            <w:r>
              <w:rPr>
                <w:rFonts w:ascii="Arial" w:cs="Arial" w:eastAsia="Arial" w:hAnsi="Arial"/>
                <w:sz w:val="18"/>
                <w:szCs w:val="18"/>
                <w:color w:val="auto"/>
              </w:rPr>
              <w:t>4 to 15 years</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Advertising structures</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20 years</w:t>
            </w: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Equipment and other (including capital leases)</w:t>
            </w:r>
          </w:p>
        </w:tc>
        <w:tc>
          <w:tcPr>
            <w:tcW w:w="342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20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Depreciation expense, including capitalized lease amortization, was $665.2 million (2004), $601.9 million (2003) and $571.5 million (2002). Amortization expense related to capital leases was $58.2 million (2004), $43.3 million (2003) and $57.3 million (2002). Accumulated amortization of capital leases was $252.8 million at December 31, 2004 and $242.4 million at December 31, 2003.</w:t>
      </w:r>
    </w:p>
    <w:p>
      <w:pPr>
        <w:spacing w:after="0" w:line="194"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Impairment of Long-Lived Assets—</w:t>
      </w:r>
      <w:r>
        <w:rPr>
          <w:rFonts w:ascii="Arial" w:cs="Arial" w:eastAsia="Arial" w:hAnsi="Arial"/>
          <w:sz w:val="16"/>
          <w:szCs w:val="16"/>
          <w:color w:val="auto"/>
        </w:rPr>
        <w:t>The Company assesses long-lived assets and intangibles, other than goodwill and intangible assets with indefinite lives,</w:t>
      </w:r>
      <w:r>
        <w:rPr>
          <w:rFonts w:ascii="Arial" w:cs="Arial" w:eastAsia="Arial" w:hAnsi="Arial"/>
          <w:sz w:val="16"/>
          <w:szCs w:val="16"/>
          <w:i w:val="1"/>
          <w:iCs w:val="1"/>
          <w:color w:val="auto"/>
        </w:rPr>
        <w:t xml:space="preserve"> </w:t>
      </w:r>
      <w:r>
        <w:rPr>
          <w:rFonts w:ascii="Arial" w:cs="Arial" w:eastAsia="Arial" w:hAnsi="Arial"/>
          <w:sz w:val="16"/>
          <w:szCs w:val="16"/>
          <w:color w:val="auto"/>
        </w:rPr>
        <w:t>for impairment whenever there is an indication that the carrying amount of the asset may not be recoverable. Recoverability of these assets is determined by comparing the forecasted undiscounted cash flows generated by those assets to their net carrying value. The amount of impairment loss, if any, will generally be measured by the difference between the net book value of the assets and the estimated fair value of the related assets.</w:t>
      </w:r>
    </w:p>
    <w:p>
      <w:pPr>
        <w:spacing w:after="0" w:line="167"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Investments in affiliated companies are reviewed for impairment on a quarterly basis by comparing their fair value to their respective carrying amounts each quarter. The Company determines the fair value of its public company investments by reference to their publicly traded stock price. With respect to private company investments, the Company makes its estimate of fair value by considering recent investee equity transactions, discounted cash flow analyses, estimates based on comparable public company operating multiples and in certain situations, balance sheet liquidation values. If the fair value of the investment has dropped below the carrying amount, management considers several factors when determining whether an other-than-temporary decline in market value has occurred including the length of the time and the extent to which the market value has been below cost, the financial condition and near-term prospects of the issuer, the intent and ability of the Company to retain its investment in the issuer for a period of time sufficient to allow for any anticipated recovery in market value, and other factors influencing the fair market value, such as general market conditions.</w:t>
      </w:r>
    </w:p>
    <w:p>
      <w:pPr>
        <w:spacing w:after="0" w:line="172"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i w:val="1"/>
          <w:iCs w:val="1"/>
          <w:color w:val="auto"/>
        </w:rPr>
        <w:t>Goodwill and Intangible Assets—</w:t>
      </w:r>
      <w:r>
        <w:rPr>
          <w:rFonts w:ascii="Arial" w:cs="Arial" w:eastAsia="Arial" w:hAnsi="Arial"/>
          <w:sz w:val="15"/>
          <w:szCs w:val="15"/>
          <w:color w:val="auto"/>
        </w:rPr>
        <w:t>Effective January 1, 2002, the Company adopted Statement of Financial Accounting Standards ("SFAS") 142 "Goodwill</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Intangible Assets" ("SFAS 142"). The Company's intangible assets are considered to have finite or indefinite lives and are allocated to various reporting units, which are generally consistent with or one level below the Company's reportable segments. Intangible assets with finite lives, which primarily consist of leasehold, franchise and subscriber agreements, are generally amortized by the straight-line method over their estimated useful lives, which range from 5 to</w:t>
      </w:r>
    </w:p>
    <w:p>
      <w:pPr>
        <w:spacing w:after="0" w:line="3"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40 years and are reviewed for impairment at least annually. Intangible assets with indefinite lives, which consist primarily of FCC licenses, and goodwill are no longer amortized but are tested for impairment on an annual basis and between annual tests if events occur or circumstances change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jc w:val="center"/>
        <w:ind w:right="-5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that would more likely than not reduce the fair value below its carrying amount. If the carrying amount of goodwill or the intangible asset exceeds its fair value, an impairment loss is recognized as a non-cash charge. Such a charge could have a significant effect on reported net earnings.</w:t>
      </w:r>
    </w:p>
    <w:p>
      <w:pPr>
        <w:spacing w:after="0" w:line="13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Discontinued Operations—</w:t>
      </w:r>
      <w:r>
        <w:rPr>
          <w:rFonts w:ascii="Arial" w:cs="Arial" w:eastAsia="Arial" w:hAnsi="Arial"/>
          <w:sz w:val="18"/>
          <w:szCs w:val="18"/>
          <w:color w:val="auto"/>
        </w:rPr>
        <w:t>In 2004, the Company completed the exchange offer for the split-off of Blockbuster Inc. and as a result,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of the Company present Blockbuster Inc. as a discontinued operation in accordance with SFAS No. 144, "Accounting for the Impairment or Disposal of Long-Lived Assets" ("SFAS 144").</w:t>
      </w:r>
    </w:p>
    <w:p>
      <w:pPr>
        <w:spacing w:after="0" w:line="19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Businesses that have been previously disposed of by the Company prior to January 1, 2002, were accounted for as discontinued operations in accordance with Accounting Principles Board ("APB") Opinion No. 30. Assets and liabilities related to these businesses primarily include aircraft financing leases that are generally expected to liquidate in accordance with contractual terms.</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Advertising revenues are recognized in the period during which advertising spots are aired. Subscriber fees for Cable Networks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the period the service is provided. Publishing revenues are recognized when merchandise is shipped. Revenues from the sale of outdoor advertising space are recognized ratably over the contract terms.</w:t>
      </w:r>
    </w:p>
    <w:p>
      <w:pPr>
        <w:spacing w:after="0" w:line="194"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In accordance with Statement of Position 00-2 "Accounting by Producers or Distributors of Films" ("SOP-002"), Entertainment revenues from theatrical distribution of motion pictures are recognized as motion pictures are exhibited. Revenues from DVD and videocassette sales of motion pictures are recognized upon availability for sale to the public. Revenues from video revenue sharing agreements are recognized as earned. Revenues from the licensing of motion pictures on domestic and international premium subscription program services, broadcast and basic cable networks, and individual television stations are recognized upon availability of the motion picture for telecast except for pay-per-view which is recognized upon purchase by the consumer. On average, the length of the initial revenue cycle for motion pictures approximates four to seven years.</w:t>
      </w:r>
    </w:p>
    <w:p>
      <w:pPr>
        <w:spacing w:after="0" w:line="174" w:lineRule="exact"/>
        <w:rPr>
          <w:sz w:val="20"/>
          <w:szCs w:val="20"/>
          <w:color w:val="auto"/>
        </w:rPr>
      </w:pPr>
    </w:p>
    <w:p>
      <w:pPr>
        <w:jc w:val="both"/>
        <w:ind w:right="20" w:firstLine="348"/>
        <w:spacing w:after="0" w:line="298" w:lineRule="auto"/>
        <w:rPr>
          <w:sz w:val="20"/>
          <w:szCs w:val="20"/>
          <w:color w:val="auto"/>
        </w:rPr>
      </w:pPr>
      <w:r>
        <w:rPr>
          <w:rFonts w:ascii="Arial" w:cs="Arial" w:eastAsia="Arial" w:hAnsi="Arial"/>
          <w:sz w:val="16"/>
          <w:szCs w:val="16"/>
          <w:color w:val="auto"/>
        </w:rPr>
        <w:t>Television series initially produced for the networks and first-run syndication are generally licensed to domestic and international markets concurrently. The more successful series are later syndicated in domestic markets and sold in certain international markets. The length of the revenue cycle for television series will vary depending on the number of seasons a series remains in active production. Revenues arising from television license agreements are recognized in the period that the motion picture or television series is available for telecast and therefore may cause fluctuations in operating results.</w:t>
      </w:r>
    </w:p>
    <w:p>
      <w:pPr>
        <w:spacing w:after="0" w:line="167"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i w:val="1"/>
          <w:iCs w:val="1"/>
          <w:color w:val="auto"/>
        </w:rPr>
        <w:t>Sales of Multiple Products or Services—</w:t>
      </w:r>
      <w:r>
        <w:rPr>
          <w:rFonts w:ascii="Arial" w:cs="Arial" w:eastAsia="Arial" w:hAnsi="Arial"/>
          <w:sz w:val="18"/>
          <w:szCs w:val="18"/>
          <w:color w:val="auto"/>
        </w:rPr>
        <w:t>The Company follows Emerging Issues Task Force No. 00-21, "Revenue Arrangements with Multiple Deliverables"</w:t>
      </w:r>
      <w:r>
        <w:rPr>
          <w:rFonts w:ascii="Arial" w:cs="Arial" w:eastAsia="Arial" w:hAnsi="Arial"/>
          <w:sz w:val="18"/>
          <w:szCs w:val="18"/>
          <w:i w:val="1"/>
          <w:iCs w:val="1"/>
          <w:color w:val="auto"/>
        </w:rPr>
        <w:t xml:space="preserve"> </w:t>
      </w:r>
      <w:r>
        <w:rPr>
          <w:rFonts w:ascii="Arial" w:cs="Arial" w:eastAsia="Arial" w:hAnsi="Arial"/>
          <w:sz w:val="18"/>
          <w:szCs w:val="18"/>
          <w:color w:val="auto"/>
        </w:rPr>
        <w:t>for revenue recognition of revenues derived from a single contract that contains multiple products or services.</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Advertising—</w:t>
      </w:r>
      <w:r>
        <w:rPr>
          <w:rFonts w:ascii="Arial" w:cs="Arial" w:eastAsia="Arial" w:hAnsi="Arial"/>
          <w:sz w:val="18"/>
          <w:szCs w:val="18"/>
          <w:color w:val="auto"/>
        </w:rPr>
        <w:t>Advertising costs are expensed as incurred. The Company incurred total advertising expenses of $1.3 billion (2004), $1.2 billion (2003) and</w:t>
      </w:r>
      <w:r>
        <w:rPr>
          <w:rFonts w:ascii="Arial" w:cs="Arial" w:eastAsia="Arial" w:hAnsi="Arial"/>
          <w:sz w:val="18"/>
          <w:szCs w:val="18"/>
          <w:i w:val="1"/>
          <w:iCs w:val="1"/>
          <w:color w:val="auto"/>
        </w:rPr>
        <w:t xml:space="preserve"> </w:t>
      </w:r>
      <w:r>
        <w:rPr>
          <w:rFonts w:ascii="Arial" w:cs="Arial" w:eastAsia="Arial" w:hAnsi="Arial"/>
          <w:sz w:val="18"/>
          <w:szCs w:val="18"/>
          <w:color w:val="auto"/>
        </w:rPr>
        <w:t>$1.1 billion (2002).</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Sales Returns and Allowances—</w:t>
      </w:r>
      <w:r>
        <w:rPr>
          <w:rFonts w:ascii="Arial" w:cs="Arial" w:eastAsia="Arial" w:hAnsi="Arial"/>
          <w:sz w:val="18"/>
          <w:szCs w:val="18"/>
          <w:color w:val="auto"/>
        </w:rPr>
        <w:t>The Company records a provision for sales returns and allowances at the time of sale based upon historical trends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allow for a percentage of revenue recognized.</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Costs associated with the refinancing or issuance of debt, as well as with debt discount, are expensed as interest over the term of this related debt.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may enter into interest rate exchange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agreements; the amount to be paid or received under such agreements would be accrued as interest rates change and recognized over the life of the agreements as an adjustment to interest expense.</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Foreign Currency Translation and Transactions—</w:t>
      </w:r>
      <w:r>
        <w:rPr>
          <w:rFonts w:ascii="Arial" w:cs="Arial" w:eastAsia="Arial" w:hAnsi="Arial"/>
          <w:sz w:val="16"/>
          <w:szCs w:val="16"/>
          <w:color w:val="auto"/>
        </w:rPr>
        <w:t>The Company's foreign subsidiaries' assets and liabilities are translated at exchange rates in effect at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date, while results of operations are translated at average exchange rates for the respective periods. The resulting translation gains or losses, net of tax are included as a separate component of stockholders' equity in accumulated other comprehensive income. Foreign currency transaction gains and losses have been included in "Other items, net" in the Consolidated Statements of Operations.</w:t>
      </w:r>
    </w:p>
    <w:p>
      <w:pPr>
        <w:spacing w:after="0" w:line="167" w:lineRule="exact"/>
        <w:rPr>
          <w:sz w:val="20"/>
          <w:szCs w:val="20"/>
          <w:color w:val="auto"/>
        </w:rPr>
      </w:pPr>
    </w:p>
    <w:p>
      <w:pPr>
        <w:ind w:right="320" w:firstLine="351"/>
        <w:spacing w:after="0" w:line="302" w:lineRule="auto"/>
        <w:rPr>
          <w:sz w:val="20"/>
          <w:szCs w:val="20"/>
          <w:color w:val="auto"/>
        </w:rPr>
      </w:pPr>
      <w:r>
        <w:rPr>
          <w:rFonts w:ascii="Arial" w:cs="Arial" w:eastAsia="Arial" w:hAnsi="Arial"/>
          <w:sz w:val="15"/>
          <w:szCs w:val="15"/>
          <w:i w:val="1"/>
          <w:iCs w:val="1"/>
          <w:color w:val="auto"/>
        </w:rPr>
        <w:t>Subsidiary Stock Transactions—</w:t>
      </w:r>
      <w:r>
        <w:rPr>
          <w:rFonts w:ascii="Arial" w:cs="Arial" w:eastAsia="Arial" w:hAnsi="Arial"/>
          <w:sz w:val="15"/>
          <w:szCs w:val="15"/>
          <w:color w:val="auto"/>
        </w:rPr>
        <w:t>Gains or losses arising from issuances by a subsidiary of its own stock are recorded within stockholders' equity. Viacom</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Investments Inc., a wholly-owned subsidiary of CBS Broadcasting Inc., owned 414.4 million shares of Viacom Class B Common Stock. These shares were originally issued to CBS Broadcasting Inc. in February 2001 as a result of the acquisition by Viacom of the publicly-traded minority equity interest in Infinity Broadcasting Corporation. CBS Broadcasting Inc. contributed all 414.4 million shares to Viacom Investments Inc. in December 2003. In August 2004, the</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414.4 million Viacom Class B shares were exchanged for 4,144,000 shares of Viacom Series D Fully Participating Preferred Stock. These shares are eliminated in consolidation.</w:t>
      </w:r>
    </w:p>
    <w:p>
      <w:pPr>
        <w:spacing w:after="0" w:line="192" w:lineRule="exact"/>
        <w:rPr>
          <w:sz w:val="20"/>
          <w:szCs w:val="20"/>
          <w:color w:val="auto"/>
        </w:rPr>
      </w:pPr>
    </w:p>
    <w:p>
      <w:pPr>
        <w:ind w:right="960" w:firstLine="351"/>
        <w:spacing w:after="0" w:line="268" w:lineRule="auto"/>
        <w:rPr>
          <w:sz w:val="20"/>
          <w:szCs w:val="20"/>
          <w:color w:val="auto"/>
        </w:rPr>
      </w:pPr>
      <w:r>
        <w:rPr>
          <w:rFonts w:ascii="Arial" w:cs="Arial" w:eastAsia="Arial" w:hAnsi="Arial"/>
          <w:sz w:val="18"/>
          <w:szCs w:val="18"/>
          <w:i w:val="1"/>
          <w:iCs w:val="1"/>
          <w:color w:val="auto"/>
        </w:rPr>
        <w:t>Provision for Doubtful Accounts—</w:t>
      </w:r>
      <w:r>
        <w:rPr>
          <w:rFonts w:ascii="Arial" w:cs="Arial" w:eastAsia="Arial" w:hAnsi="Arial"/>
          <w:sz w:val="18"/>
          <w:szCs w:val="18"/>
          <w:color w:val="auto"/>
        </w:rPr>
        <w:t>The provision for doubtful accounts charged to expense was $116.1 million (2004), $76.5 million (2003) and</w:t>
      </w:r>
      <w:r>
        <w:rPr>
          <w:rFonts w:ascii="Arial" w:cs="Arial" w:eastAsia="Arial" w:hAnsi="Arial"/>
          <w:sz w:val="18"/>
          <w:szCs w:val="18"/>
          <w:i w:val="1"/>
          <w:iCs w:val="1"/>
          <w:color w:val="auto"/>
        </w:rPr>
        <w:t xml:space="preserve"> </w:t>
      </w:r>
      <w:r>
        <w:rPr>
          <w:rFonts w:ascii="Arial" w:cs="Arial" w:eastAsia="Arial" w:hAnsi="Arial"/>
          <w:sz w:val="18"/>
          <w:szCs w:val="18"/>
          <w:color w:val="auto"/>
        </w:rPr>
        <w:t>$108.7 million (2002).</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Net Earnings (Loss) per Common Share</w:t>
      </w:r>
      <w:r>
        <w:rPr>
          <w:rFonts w:ascii="Arial" w:cs="Arial" w:eastAsia="Arial" w:hAnsi="Arial"/>
          <w:sz w:val="16"/>
          <w:szCs w:val="16"/>
          <w:color w:val="auto"/>
        </w:rPr>
        <w:t>—Basic earnings (loss) per share ("EPS") is based upon net earnings (loss) divided by the weighted average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common shares outstanding during the period. Diluted EPS reflects the effect of the assumed exercise of stock options only in the periods in which such effect would have been dilutive. For the years ended December 31, 2004, 2003 and 2002, respectively, options to purchase 162.4 million, 61.4 million and 45.2 million shares of Class B Common Stock at weighted average prices of $39.27, $50.99 and $54.48 were outstanding but excluded from the calculation of diluted EPS because their inclusion would have been anti-dilutive.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a reconciliation of weighted average shares used in the calculation of basic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640" w:type="dxa"/>
            <w:vAlign w:val="bottom"/>
          </w:tcPr>
          <w:p>
            <w:pPr>
              <w:jc w:val="right"/>
              <w:ind w:right="737"/>
              <w:spacing w:after="0"/>
              <w:rPr>
                <w:sz w:val="20"/>
                <w:szCs w:val="20"/>
                <w:color w:val="auto"/>
              </w:rPr>
            </w:pPr>
            <w:r>
              <w:rPr>
                <w:rFonts w:ascii="Arial" w:cs="Arial" w:eastAsia="Arial" w:hAnsi="Arial"/>
                <w:sz w:val="14"/>
                <w:szCs w:val="14"/>
                <w:b w:val="1"/>
                <w:bCs w:val="1"/>
                <w:color w:val="auto"/>
              </w:rPr>
              <w:t>2004</w:t>
            </w:r>
          </w:p>
        </w:tc>
        <w:tc>
          <w:tcPr>
            <w:tcW w:w="1420" w:type="dxa"/>
            <w:vAlign w:val="bottom"/>
          </w:tcPr>
          <w:p>
            <w:pPr>
              <w:jc w:val="right"/>
              <w:ind w:right="677"/>
              <w:spacing w:after="0"/>
              <w:rPr>
                <w:sz w:val="20"/>
                <w:szCs w:val="20"/>
                <w:color w:val="auto"/>
              </w:rPr>
            </w:pPr>
            <w:r>
              <w:rPr>
                <w:rFonts w:ascii="Arial" w:cs="Arial" w:eastAsia="Arial" w:hAnsi="Arial"/>
                <w:sz w:val="14"/>
                <w:szCs w:val="14"/>
                <w:b w:val="1"/>
                <w:bCs w:val="1"/>
                <w:color w:val="auto"/>
              </w:rPr>
              <w:t>2003</w:t>
            </w:r>
          </w:p>
        </w:tc>
        <w:tc>
          <w:tcPr>
            <w:tcW w:w="920" w:type="dxa"/>
            <w:vAlign w:val="bottom"/>
          </w:tcPr>
          <w:p>
            <w:pPr>
              <w:jc w:val="right"/>
              <w:ind w:right="237"/>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tcBorders>
              <w:bottom w:val="single" w:sz="8" w:color="808080"/>
            </w:tcBorders>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for basic EPS</w:t>
            </w:r>
          </w:p>
        </w:tc>
        <w:tc>
          <w:tcPr>
            <w:tcW w:w="364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1,714.4</w:t>
            </w:r>
          </w:p>
        </w:tc>
        <w:tc>
          <w:tcPr>
            <w:tcW w:w="142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1,744.0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Incremental shares for stock options</w:t>
            </w:r>
          </w:p>
        </w:tc>
        <w:tc>
          <w:tcPr>
            <w:tcW w:w="3640" w:type="dxa"/>
            <w:vAlign w:val="bottom"/>
          </w:tcPr>
          <w:p>
            <w:pPr>
              <w:jc w:val="right"/>
              <w:ind w:right="297"/>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57"/>
              <w:spacing w:after="0"/>
              <w:rPr>
                <w:sz w:val="20"/>
                <w:szCs w:val="20"/>
                <w:color w:val="auto"/>
              </w:rPr>
            </w:pPr>
            <w:r>
              <w:rPr>
                <w:rFonts w:ascii="Arial" w:cs="Arial" w:eastAsia="Arial" w:hAnsi="Arial"/>
                <w:sz w:val="18"/>
                <w:szCs w:val="18"/>
                <w:color w:val="auto"/>
              </w:rPr>
              <w:t>16.7</w:t>
            </w:r>
          </w:p>
        </w:tc>
        <w:tc>
          <w:tcPr>
            <w:tcW w:w="920" w:type="dxa"/>
            <w:vAlign w:val="bottom"/>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20" w:type="dxa"/>
            <w:vAlign w:val="bottom"/>
            <w:tcBorders>
              <w:bottom w:val="single" w:sz="8" w:color="808080"/>
            </w:tcBorders>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for diluted EPS</w:t>
            </w:r>
          </w:p>
        </w:tc>
        <w:tc>
          <w:tcPr>
            <w:tcW w:w="364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1,714.4</w:t>
            </w:r>
          </w:p>
        </w:tc>
        <w:tc>
          <w:tcPr>
            <w:tcW w:w="142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1,760.7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i w:val="1"/>
          <w:iCs w:val="1"/>
          <w:color w:val="auto"/>
        </w:rPr>
        <w:t>Comprehensive Income (Loss)—</w:t>
      </w:r>
      <w:r>
        <w:rPr>
          <w:rFonts w:ascii="Arial" w:cs="Arial" w:eastAsia="Arial" w:hAnsi="Arial"/>
          <w:sz w:val="18"/>
          <w:szCs w:val="18"/>
          <w:color w:val="auto"/>
        </w:rPr>
        <w:t>As of December 31, 2004, the components of accumulated other comprehensive loss, are net of the following tax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$379.1 million for minimum pension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liability adjustment, $(140.3) million for cumulative translation adjustments, $(1.7) million for change in fair value of cash flow hedges and $(.9) million for unrealized gain 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07885"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center"/>
              <w:ind w:right="241"/>
              <w:spacing w:after="0"/>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Minimum</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Pension</w:t>
            </w:r>
          </w:p>
        </w:tc>
        <w:tc>
          <w:tcPr>
            <w:tcW w:w="220" w:type="dxa"/>
            <w:vAlign w:val="bottom"/>
          </w:tcPr>
          <w:p>
            <w:pPr>
              <w:spacing w:after="0"/>
              <w:rPr>
                <w:sz w:val="12"/>
                <w:szCs w:val="12"/>
                <w:color w:val="auto"/>
              </w:rPr>
            </w:pPr>
          </w:p>
        </w:tc>
        <w:tc>
          <w:tcPr>
            <w:tcW w:w="12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87"/>
              </w:rPr>
              <w:t>Cumulative</w:t>
            </w:r>
          </w:p>
        </w:tc>
        <w:tc>
          <w:tcPr>
            <w:tcW w:w="220" w:type="dxa"/>
            <w:vAlign w:val="bottom"/>
          </w:tcPr>
          <w:p>
            <w:pPr>
              <w:spacing w:after="0"/>
              <w:rPr>
                <w:sz w:val="12"/>
                <w:szCs w:val="12"/>
                <w:color w:val="auto"/>
              </w:rPr>
            </w:pPr>
          </w:p>
        </w:tc>
        <w:tc>
          <w:tcPr>
            <w:tcW w:w="134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88"/>
              </w:rPr>
              <w:t>Change in Fair</w:t>
            </w:r>
          </w:p>
        </w:tc>
        <w:tc>
          <w:tcPr>
            <w:tcW w:w="220" w:type="dxa"/>
            <w:vAlign w:val="bottom"/>
          </w:tcPr>
          <w:p>
            <w:pPr>
              <w:spacing w:after="0"/>
              <w:rPr>
                <w:sz w:val="12"/>
                <w:szCs w:val="12"/>
                <w:color w:val="auto"/>
              </w:rPr>
            </w:pPr>
          </w:p>
        </w:tc>
        <w:tc>
          <w:tcPr>
            <w:tcW w:w="124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2"/>
                <w:szCs w:val="12"/>
                <w:color w:val="auto"/>
              </w:rPr>
            </w:pPr>
          </w:p>
        </w:tc>
        <w:tc>
          <w:tcPr>
            <w:tcW w:w="166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84"/>
              </w:rPr>
              <w:t>Income (loss) from</w:t>
            </w:r>
          </w:p>
        </w:tc>
        <w:tc>
          <w:tcPr>
            <w:tcW w:w="18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Liability</w:t>
            </w:r>
          </w:p>
        </w:tc>
        <w:tc>
          <w:tcPr>
            <w:tcW w:w="220" w:type="dxa"/>
            <w:vAlign w:val="bottom"/>
          </w:tcPr>
          <w:p>
            <w:pPr>
              <w:spacing w:after="0"/>
              <w:rPr>
                <w:sz w:val="12"/>
                <w:szCs w:val="12"/>
                <w:color w:val="auto"/>
              </w:rPr>
            </w:pPr>
          </w:p>
        </w:tc>
        <w:tc>
          <w:tcPr>
            <w:tcW w:w="12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20" w:type="dxa"/>
            <w:vAlign w:val="bottom"/>
          </w:tcPr>
          <w:p>
            <w:pPr>
              <w:spacing w:after="0"/>
              <w:rPr>
                <w:sz w:val="12"/>
                <w:szCs w:val="12"/>
                <w:color w:val="auto"/>
              </w:rPr>
            </w:pPr>
          </w:p>
        </w:tc>
        <w:tc>
          <w:tcPr>
            <w:tcW w:w="134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86"/>
              </w:rPr>
              <w:t>Value of Cash</w:t>
            </w:r>
          </w:p>
        </w:tc>
        <w:tc>
          <w:tcPr>
            <w:tcW w:w="220" w:type="dxa"/>
            <w:vAlign w:val="bottom"/>
          </w:tcPr>
          <w:p>
            <w:pPr>
              <w:spacing w:after="0"/>
              <w:rPr>
                <w:sz w:val="12"/>
                <w:szCs w:val="12"/>
                <w:color w:val="auto"/>
              </w:rPr>
            </w:pPr>
          </w:p>
        </w:tc>
        <w:tc>
          <w:tcPr>
            <w:tcW w:w="124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88"/>
              </w:rPr>
              <w:t>Gain (Loss)</w:t>
            </w:r>
          </w:p>
        </w:tc>
        <w:tc>
          <w:tcPr>
            <w:tcW w:w="260" w:type="dxa"/>
            <w:vAlign w:val="bottom"/>
          </w:tcPr>
          <w:p>
            <w:pPr>
              <w:spacing w:after="0"/>
              <w:rPr>
                <w:sz w:val="12"/>
                <w:szCs w:val="12"/>
                <w:color w:val="auto"/>
              </w:rPr>
            </w:pPr>
          </w:p>
        </w:tc>
        <w:tc>
          <w:tcPr>
            <w:tcW w:w="166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83"/>
              </w:rPr>
              <w:t>Discontinued</w:t>
            </w:r>
          </w:p>
        </w:tc>
        <w:tc>
          <w:tcPr>
            <w:tcW w:w="18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jc w:val="center"/>
              <w:ind w:right="200"/>
              <w:spacing w:after="0"/>
              <w:rPr>
                <w:sz w:val="20"/>
                <w:szCs w:val="20"/>
                <w:color w:val="auto"/>
              </w:rPr>
            </w:pPr>
            <w:r>
              <w:rPr>
                <w:rFonts w:ascii="Arial" w:cs="Arial" w:eastAsia="Arial" w:hAnsi="Arial"/>
                <w:sz w:val="14"/>
                <w:szCs w:val="14"/>
                <w:b w:val="1"/>
                <w:bCs w:val="1"/>
                <w:color w:val="auto"/>
                <w:w w:val="90"/>
              </w:rPr>
              <w:t>Adjustment</w:t>
            </w:r>
          </w:p>
        </w:tc>
        <w:tc>
          <w:tcPr>
            <w:tcW w:w="220" w:type="dxa"/>
            <w:vAlign w:val="bottom"/>
          </w:tcPr>
          <w:p>
            <w:pPr>
              <w:spacing w:after="0"/>
              <w:rPr>
                <w:sz w:val="15"/>
                <w:szCs w:val="15"/>
                <w:color w:val="auto"/>
              </w:rPr>
            </w:pPr>
          </w:p>
        </w:tc>
        <w:tc>
          <w:tcPr>
            <w:tcW w:w="1260" w:type="dxa"/>
            <w:vAlign w:val="bottom"/>
          </w:tcPr>
          <w:p>
            <w:pPr>
              <w:jc w:val="center"/>
              <w:ind w:right="198"/>
              <w:spacing w:after="0"/>
              <w:rPr>
                <w:sz w:val="20"/>
                <w:szCs w:val="20"/>
                <w:color w:val="auto"/>
              </w:rPr>
            </w:pPr>
            <w:r>
              <w:rPr>
                <w:rFonts w:ascii="Arial" w:cs="Arial" w:eastAsia="Arial" w:hAnsi="Arial"/>
                <w:sz w:val="14"/>
                <w:szCs w:val="14"/>
                <w:b w:val="1"/>
                <w:bCs w:val="1"/>
                <w:color w:val="auto"/>
                <w:w w:val="87"/>
              </w:rPr>
              <w:t>Adjustments</w:t>
            </w:r>
          </w:p>
        </w:tc>
        <w:tc>
          <w:tcPr>
            <w:tcW w:w="220" w:type="dxa"/>
            <w:vAlign w:val="bottom"/>
          </w:tcPr>
          <w:p>
            <w:pPr>
              <w:spacing w:after="0"/>
              <w:rPr>
                <w:sz w:val="15"/>
                <w:szCs w:val="15"/>
                <w:color w:val="auto"/>
              </w:rPr>
            </w:pPr>
          </w:p>
        </w:tc>
        <w:tc>
          <w:tcPr>
            <w:tcW w:w="1340" w:type="dxa"/>
            <w:vAlign w:val="bottom"/>
          </w:tcPr>
          <w:p>
            <w:pPr>
              <w:jc w:val="center"/>
              <w:ind w:right="198"/>
              <w:spacing w:after="0"/>
              <w:rPr>
                <w:sz w:val="20"/>
                <w:szCs w:val="20"/>
                <w:color w:val="auto"/>
              </w:rPr>
            </w:pPr>
            <w:r>
              <w:rPr>
                <w:rFonts w:ascii="Arial" w:cs="Arial" w:eastAsia="Arial" w:hAnsi="Arial"/>
                <w:sz w:val="14"/>
                <w:szCs w:val="14"/>
                <w:b w:val="1"/>
                <w:bCs w:val="1"/>
                <w:color w:val="auto"/>
                <w:w w:val="85"/>
              </w:rPr>
              <w:t>Flow Hedges</w:t>
            </w:r>
          </w:p>
        </w:tc>
        <w:tc>
          <w:tcPr>
            <w:tcW w:w="220" w:type="dxa"/>
            <w:vAlign w:val="bottom"/>
          </w:tcPr>
          <w:p>
            <w:pPr>
              <w:spacing w:after="0"/>
              <w:rPr>
                <w:sz w:val="15"/>
                <w:szCs w:val="15"/>
                <w:color w:val="auto"/>
              </w:rPr>
            </w:pPr>
          </w:p>
        </w:tc>
        <w:tc>
          <w:tcPr>
            <w:tcW w:w="1240" w:type="dxa"/>
            <w:vAlign w:val="bottom"/>
          </w:tcPr>
          <w:p>
            <w:pPr>
              <w:jc w:val="center"/>
              <w:ind w:right="178"/>
              <w:spacing w:after="0"/>
              <w:rPr>
                <w:sz w:val="20"/>
                <w:szCs w:val="20"/>
                <w:color w:val="auto"/>
              </w:rPr>
            </w:pPr>
            <w:r>
              <w:rPr>
                <w:rFonts w:ascii="Arial" w:cs="Arial" w:eastAsia="Arial" w:hAnsi="Arial"/>
                <w:sz w:val="14"/>
                <w:szCs w:val="14"/>
                <w:b w:val="1"/>
                <w:bCs w:val="1"/>
                <w:color w:val="auto"/>
                <w:w w:val="84"/>
              </w:rPr>
              <w:t>on Securities</w:t>
            </w:r>
          </w:p>
        </w:tc>
        <w:tc>
          <w:tcPr>
            <w:tcW w:w="260" w:type="dxa"/>
            <w:vAlign w:val="bottom"/>
          </w:tcPr>
          <w:p>
            <w:pPr>
              <w:spacing w:after="0"/>
              <w:rPr>
                <w:sz w:val="15"/>
                <w:szCs w:val="15"/>
                <w:color w:val="auto"/>
              </w:rPr>
            </w:pPr>
          </w:p>
        </w:tc>
        <w:tc>
          <w:tcPr>
            <w:tcW w:w="1660" w:type="dxa"/>
            <w:vAlign w:val="bottom"/>
          </w:tcPr>
          <w:p>
            <w:pPr>
              <w:jc w:val="center"/>
              <w:ind w:right="241"/>
              <w:spacing w:after="0"/>
              <w:rPr>
                <w:sz w:val="20"/>
                <w:szCs w:val="20"/>
                <w:color w:val="auto"/>
              </w:rPr>
            </w:pPr>
            <w:r>
              <w:rPr>
                <w:rFonts w:ascii="Arial" w:cs="Arial" w:eastAsia="Arial" w:hAnsi="Arial"/>
                <w:sz w:val="14"/>
                <w:szCs w:val="14"/>
                <w:b w:val="1"/>
                <w:bCs w:val="1"/>
                <w:color w:val="auto"/>
                <w:w w:val="89"/>
              </w:rPr>
              <w:t>Operations</w:t>
            </w:r>
          </w:p>
        </w:tc>
        <w:tc>
          <w:tcPr>
            <w:tcW w:w="18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9"/>
              </w:rPr>
              <w:t>Loss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2001</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tcPr>
          <w:p>
            <w:pPr>
              <w:ind w:left="220"/>
              <w:spacing w:after="0"/>
              <w:rPr>
                <w:sz w:val="20"/>
                <w:szCs w:val="20"/>
                <w:color w:val="auto"/>
              </w:rPr>
            </w:pPr>
            <w:r>
              <w:rPr>
                <w:rFonts w:ascii="Arial" w:cs="Arial" w:eastAsia="Arial" w:hAnsi="Arial"/>
                <w:sz w:val="18"/>
                <w:szCs w:val="18"/>
                <w:color w:val="auto"/>
              </w:rPr>
              <w:t>2002 Activity</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(491.3)</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2002</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tcPr>
          <w:p>
            <w:pPr>
              <w:ind w:left="220"/>
              <w:spacing w:after="0"/>
              <w:rPr>
                <w:sz w:val="20"/>
                <w:szCs w:val="20"/>
                <w:color w:val="auto"/>
              </w:rPr>
            </w:pPr>
            <w:r>
              <w:rPr>
                <w:rFonts w:ascii="Arial" w:cs="Arial" w:eastAsia="Arial" w:hAnsi="Arial"/>
                <w:sz w:val="18"/>
                <w:szCs w:val="18"/>
                <w:color w:val="auto"/>
              </w:rPr>
              <w:t>2003 Activity</w:t>
            </w:r>
          </w:p>
        </w:tc>
        <w:tc>
          <w:tcPr>
            <w:tcW w:w="48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8"/>
                <w:szCs w:val="18"/>
                <w:color w:val="auto"/>
              </w:rPr>
              <w:t>48.5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122.3</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9"/>
                <w:szCs w:val="19"/>
                <w:color w:val="auto"/>
              </w:rPr>
            </w:pPr>
          </w:p>
        </w:tc>
        <w:tc>
          <w:tcPr>
            <w:tcW w:w="1660" w:type="dxa"/>
            <w:vAlign w:val="bottom"/>
          </w:tcPr>
          <w:p>
            <w:pPr>
              <w:jc w:val="right"/>
              <w:ind w:right="1"/>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2003</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tcPr>
          <w:p>
            <w:pPr>
              <w:ind w:left="220"/>
              <w:spacing w:after="0"/>
              <w:rPr>
                <w:sz w:val="20"/>
                <w:szCs w:val="20"/>
                <w:color w:val="auto"/>
              </w:rPr>
            </w:pPr>
            <w:r>
              <w:rPr>
                <w:rFonts w:ascii="Arial" w:cs="Arial" w:eastAsia="Arial" w:hAnsi="Arial"/>
                <w:sz w:val="18"/>
                <w:szCs w:val="18"/>
                <w:color w:val="auto"/>
              </w:rPr>
              <w:t>2004 Activity</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(116.6)</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73.6</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1660" w:type="dxa"/>
            <w:vAlign w:val="bottom"/>
          </w:tcPr>
          <w:p>
            <w:pPr>
              <w:jc w:val="right"/>
              <w:ind w:right="1"/>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2004</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-1591945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-1591945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-1163320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-734695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-306070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The Company follows the disclosure-only provisions of SFAS No. 123, "Accounting for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("SFAS 123"). The Company applies APB Opinion No. 25 "Accounting for Stock Issued to Employees" and, accordingly, does not recognize compensation expense for the stock option grants because the Company typically does not issue options at exercise prices below market value at date of grant.</w:t>
      </w:r>
    </w:p>
    <w:p>
      <w:pPr>
        <w:spacing w:after="0" w:line="16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 xml:space="preserve">The following table reflects the effect on net earnings (loss) from continuing operations and earnings (loss) per share from continuing operations if the Company had applied the fair value recognition provisions of SFAS 123 to stock-based employee compensation. These pro forma effects may not be representative of future stock compensation expense since the estimated fair value of stock options on the date of grant is amortized to expense over the vesting period and the vesting of certain options was accelerated on March 8, 2005 (See </w:t>
      </w:r>
      <w:r>
        <w:rPr>
          <w:rFonts w:ascii="Arial" w:cs="Arial" w:eastAsia="Arial" w:hAnsi="Arial"/>
          <w:sz w:val="16"/>
          <w:szCs w:val="16"/>
          <w:i w:val="1"/>
          <w:iCs w:val="1"/>
          <w:color w:val="auto"/>
        </w:rPr>
        <w:t>Recent Pronouncements</w:t>
      </w:r>
      <w:r>
        <w:rPr>
          <w:rFonts w:ascii="Arial" w:cs="Arial" w:eastAsia="Arial" w:hAnsi="Arial"/>
          <w:sz w:val="16"/>
          <w:szCs w:val="16"/>
          <w:color w:val="auto"/>
        </w:rPr>
        <w:t>). See Note 10 for detailed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177800</wp:posOffset>
            </wp:positionV>
            <wp:extent cx="7173595"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160" w:type="dxa"/>
            <w:vAlign w:val="bottom"/>
          </w:tcPr>
          <w:p>
            <w:pPr>
              <w:spacing w:after="0"/>
              <w:rPr>
                <w:sz w:val="15"/>
                <w:szCs w:val="15"/>
                <w:color w:val="auto"/>
              </w:rPr>
            </w:pPr>
          </w:p>
        </w:tc>
        <w:tc>
          <w:tcPr>
            <w:tcW w:w="1220" w:type="dxa"/>
            <w:vAlign w:val="bottom"/>
          </w:tcPr>
          <w:p>
            <w:pPr>
              <w:jc w:val="right"/>
              <w:ind w:right="615"/>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1040" w:type="dxa"/>
            <w:vAlign w:val="bottom"/>
          </w:tcPr>
          <w:p>
            <w:pPr>
              <w:jc w:val="right"/>
              <w:ind w:right="495"/>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from continuing operations</w:t>
            </w:r>
          </w:p>
        </w:tc>
        <w:tc>
          <w:tcPr>
            <w:tcW w:w="2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(15,059.5)</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2,237.8</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Option expense, net of tax</w:t>
            </w:r>
          </w:p>
        </w:tc>
        <w:tc>
          <w:tcPr>
            <w:tcW w:w="2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(347.3)</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(234.7)</w:t>
            </w:r>
          </w:p>
        </w:tc>
        <w:tc>
          <w:tcPr>
            <w:tcW w:w="3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4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7"/>
              </w:rPr>
              <w:t>Net earnings (loss) from continuing operations after option expense</w:t>
            </w:r>
          </w:p>
        </w:tc>
        <w:tc>
          <w:tcPr>
            <w:tcW w:w="2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(15,406.8)</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2,003.1</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4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260" w:type="dxa"/>
            <w:vAlign w:val="bottom"/>
            <w:gridSpan w:val="2"/>
          </w:tcPr>
          <w:p>
            <w:pPr>
              <w:spacing w:after="0"/>
              <w:rPr>
                <w:sz w:val="20"/>
                <w:szCs w:val="20"/>
                <w:color w:val="auto"/>
              </w:rPr>
            </w:pPr>
            <w:r>
              <w:rPr>
                <w:rFonts w:ascii="Arial" w:cs="Arial" w:eastAsia="Arial" w:hAnsi="Arial"/>
                <w:sz w:val="18"/>
                <w:szCs w:val="18"/>
                <w:color w:val="auto"/>
              </w:rPr>
              <w:t>Basic earnings (loss) per share:</w:t>
            </w: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(loss) from continuing operations</w:t>
            </w:r>
          </w:p>
        </w:tc>
        <w:tc>
          <w:tcPr>
            <w:tcW w:w="2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w w:val="93"/>
              </w:rPr>
              <w:t>Net earnings (loss) from continuing operations after option expense</w:t>
            </w:r>
          </w:p>
        </w:tc>
        <w:tc>
          <w:tcPr>
            <w:tcW w:w="21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(8.99)</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1.15</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Net earnings (loss) from continuing operations</w:t>
            </w:r>
          </w:p>
        </w:tc>
        <w:tc>
          <w:tcPr>
            <w:tcW w:w="21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(8.78)</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1.27</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Net earnings (loss) from continuing operations after option expense</w:t>
            </w:r>
          </w:p>
        </w:tc>
        <w:tc>
          <w:tcPr>
            <w:tcW w:w="2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1.14</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4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160" w:type="dxa"/>
            <w:vAlign w:val="bottom"/>
          </w:tcPr>
          <w:p>
            <w:pPr>
              <w:jc w:val="right"/>
              <w:ind w:right="1452"/>
              <w:spacing w:after="0"/>
              <w:rPr>
                <w:sz w:val="20"/>
                <w:szCs w:val="20"/>
                <w:color w:val="auto"/>
              </w:rPr>
            </w:pPr>
            <w:r>
              <w:rPr>
                <w:rFonts w:ascii="Arial" w:cs="Arial" w:eastAsia="Arial" w:hAnsi="Arial"/>
                <w:sz w:val="18"/>
                <w:szCs w:val="18"/>
                <w:color w:val="auto"/>
              </w:rPr>
              <w:t>II-42</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-2209800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-1781175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-1781175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-1489075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-1489075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-511810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the years ended December 31, 2004, 2003 and 2002, if the Company had applied the fair value recognition provision of SFAS 123, an additional expense of $15.2 million, $18.2 million and $17.5 million, respectively, would have been recognized in discontinued operations.</w:t>
      </w:r>
    </w:p>
    <w:p>
      <w:pPr>
        <w:spacing w:after="0" w:line="186"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i w:val="1"/>
          <w:iCs w:val="1"/>
          <w:color w:val="auto"/>
        </w:rPr>
        <w:t>Accounting Changes—</w:t>
      </w:r>
      <w:r>
        <w:rPr>
          <w:rFonts w:ascii="Arial" w:cs="Arial" w:eastAsia="Arial" w:hAnsi="Arial"/>
          <w:sz w:val="18"/>
          <w:szCs w:val="18"/>
          <w:color w:val="auto"/>
        </w:rPr>
        <w:t>Effective December 31, 2004, the Company elected early adoption of Emerging Issues Task Force Topic No. D-108 "Use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Residual Method to Value Acquired Assets Other Than Goodwill" ("D-108"). D-108 requires companies who have applied the residual value method in the valuation of intangible assets for purposes of impairment testing to use the direct value method. As a result of the adoption, the Company recorded a charge of $2.2 billion ($1.3 billion net of tax), or $.77 per share, to reduce the intangible balances attributable to its television stations' FCC licenses. This charge has been reflected as a cumulative effect of accounting change.</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For 2003, the cumulative effect of accounting change, net of minority interest and tax, of $18.5 million, or $.01 per share, resulted from the adoption of SFAS No. 143 "Accounting for Asset Retirement Obligations." For 2002, the cumulative effect of accounting change of $1.5 billion (net of minority interest of $336.1 million), or $.84 per basic and $.83 per diluted share, resulted from the initial adoption of SFAS 142. The asset retirement obligation was $45.2 million at December 31, 2004.</w:t>
      </w:r>
    </w:p>
    <w:p>
      <w:pPr>
        <w:spacing w:after="0" w:line="197"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SFAS No. 133, "Accounting for Derivative Instruments and Hedging Activities," as amended ("SFAS 133")</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all derivatives to be recorded on the balance sheet at fair value. SFAS 133 also established rules for hedging instruments which, depending on the nature of the hedge, require that changes in the fair value of the derivatives either be offset against the change in fair value of assets or liabilities through earnings, or be recognized in other comprehensive income until the hedged item is recognized in earnings.</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Recent Pronouncements—</w:t>
      </w:r>
      <w:r>
        <w:rPr>
          <w:rFonts w:ascii="Arial" w:cs="Arial" w:eastAsia="Arial" w:hAnsi="Arial"/>
          <w:sz w:val="16"/>
          <w:szCs w:val="16"/>
          <w:color w:val="auto"/>
        </w:rPr>
        <w:t>In December 2004, the FASB issued SFAS No. 123 (revised 2004) "Share-Based Payment" ("SFAS 123R"), effective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interim period or annual reporting period that begins after June 15, 2005. SFAS 123R revises SFAS No. 123 "Accounting for Stock-based Compensation" and supersedes APB Opinion No. 25 "Accounting for Stock Issues to Employees." SFAS 123R requires companies to measure the cost of employee services received in exchange for an award of equity instruments based on grant-date fair value of the award. That cost will be recognized over the vesting period during which an employee is required to provide service in exchange for the award.</w:t>
      </w:r>
    </w:p>
    <w:p>
      <w:pPr>
        <w:spacing w:after="0" w:line="17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March 8, 2005, the Compensation Committee of the Board of Directors of the Company approved the acceleration of the vesting of unvested stock options having an exercise price of $38.00 or greater granted under the Company's 2000 and 1997 Long-Term Management Incentive Plans. Stock option awards granted from 1999 through 2004 with respect to approximately 29 million shares of the Company's Class B Common Stock are subject to this acceleration which is effective as of March 8, 2005. Since these options had exercise prices in excess of the current market value and were not fully achieving their original objectives of incentive compensation and employee retention, the Company expects the acceleration to have a positive effect on employee morale, retention and perception of option value. The acceleration also eliminates future compensation expense the Company would otherwise recognize in its Consolidated Statements of Operations once SFAS 123R becomes effective on July 1, 2005.</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2004, the Company completed the exchange offer for the split-off of Blockbuster Inc. ("Blockbuster") (NYSE: BBI and BBI.B). Under the terms of the offer, Viacom accepted 27,961,165 shares of Viacom common stock in exchange for the 144 million common shares of Blockbuster that Viacom owned. Each share of Viacom Class A or Class B Common Stock accepted for exchange by Viacom was exchanged for 5.15 shares of Blockbuster common stock, consisting of 2.575 shares of Blockbuster class A common stock and 2.575 shares of Blockbuster class B common stock.</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Company's net earnings (loss) attributable to Blockbuster, which is presented as a discontinued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173595"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980" w:type="dxa"/>
            <w:vAlign w:val="bottom"/>
          </w:tcPr>
          <w:p>
            <w:pPr>
              <w:spacing w:after="0"/>
              <w:rPr>
                <w:sz w:val="15"/>
                <w:szCs w:val="15"/>
                <w:color w:val="auto"/>
              </w:rPr>
            </w:pPr>
          </w:p>
        </w:tc>
        <w:tc>
          <w:tcPr>
            <w:tcW w:w="1120" w:type="dxa"/>
            <w:vAlign w:val="bottom"/>
          </w:tcPr>
          <w:p>
            <w:pPr>
              <w:jc w:val="right"/>
              <w:ind w:right="555"/>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1040" w:type="dxa"/>
            <w:vAlign w:val="bottom"/>
          </w:tcPr>
          <w:p>
            <w:pPr>
              <w:jc w:val="right"/>
              <w:ind w:right="495"/>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discontinued operations</w:t>
            </w:r>
          </w:p>
        </w:tc>
        <w:tc>
          <w:tcPr>
            <w:tcW w:w="1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4,528.9</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5,911.7</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40" w:type="dxa"/>
            <w:vAlign w:val="bottom"/>
            <w:gridSpan w:val="2"/>
          </w:tcPr>
          <w:p>
            <w:pPr>
              <w:spacing w:after="0"/>
              <w:rPr>
                <w:sz w:val="20"/>
                <w:szCs w:val="20"/>
                <w:color w:val="auto"/>
              </w:rPr>
            </w:pPr>
            <w:r>
              <w:rPr>
                <w:rFonts w:ascii="Arial" w:cs="Arial" w:eastAsia="Arial" w:hAnsi="Arial"/>
                <w:sz w:val="18"/>
                <w:szCs w:val="18"/>
                <w:color w:val="auto"/>
              </w:rPr>
              <w:t>Earnings (loss) from discontinued operations</w:t>
            </w:r>
          </w:p>
        </w:tc>
        <w:tc>
          <w:tcPr>
            <w:tcW w:w="19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(1,404.2)</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(878.8)</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311.0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discontinued operations</w:t>
            </w:r>
          </w:p>
        </w:tc>
        <w:tc>
          <w:tcPr>
            <w:tcW w:w="19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Minority interest</w:t>
            </w:r>
          </w:p>
        </w:tc>
        <w:tc>
          <w:tcPr>
            <w:tcW w:w="1980" w:type="dxa"/>
            <w:vAlign w:val="bottom"/>
          </w:tcPr>
          <w:p>
            <w:pPr>
              <w:spacing w:after="0"/>
              <w:rPr>
                <w:sz w:val="19"/>
                <w:szCs w:val="19"/>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259.7</w:t>
            </w:r>
          </w:p>
        </w:tc>
        <w:tc>
          <w:tcPr>
            <w:tcW w:w="340" w:type="dxa"/>
            <w:vAlign w:val="bottom"/>
          </w:tcPr>
          <w:p>
            <w:pPr>
              <w:spacing w:after="0"/>
              <w:rPr>
                <w:sz w:val="19"/>
                <w:szCs w:val="19"/>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160.0</w:t>
            </w:r>
          </w:p>
        </w:tc>
        <w:tc>
          <w:tcPr>
            <w:tcW w:w="3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Income tax (provision) benefit, net of minority interest</w:t>
            </w:r>
          </w:p>
        </w:tc>
        <w:tc>
          <w:tcPr>
            <w:tcW w:w="1980" w:type="dxa"/>
            <w:vAlign w:val="bottom"/>
          </w:tcPr>
          <w:p>
            <w:pPr>
              <w:spacing w:after="0"/>
              <w:rPr>
                <w:sz w:val="19"/>
                <w:szCs w:val="19"/>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92.4</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(83.6)</w:t>
            </w:r>
          </w:p>
        </w:tc>
        <w:tc>
          <w:tcPr>
            <w:tcW w:w="3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from discontinued operations</w:t>
            </w:r>
          </w:p>
        </w:tc>
        <w:tc>
          <w:tcPr>
            <w:tcW w:w="1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-1591945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-1591945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-1300480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-734695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March 2005, Blockbuster announced its intention to restate its previously issued financial statements to reflect appropriate lease accounting practices. Viacom has reflected the cumulative impact of the adjustment in 2004. This cumulative impact increased both the loss from discontinued operations and minority interest, offset by a corresponding decrease in the loss on disposal of discontinued operations, resulting in no impact to Viacom's consolidated 2004 net loss from discontinued operations. The Company's discontinued operation presentation of Blockbuster in prior years has not been revised to reflect this adjustment due to the immateriality of this amount on the current year or any individual prior period consolidated statement of operations or financial position.</w:t>
      </w:r>
    </w:p>
    <w:p>
      <w:pPr>
        <w:spacing w:after="0" w:line="170"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2004, the loss from discontinued operations of $1.4 billion primarily reflects a non-cash impairment charge of $1.5 billion for the impairment of goodwill and other long-lived assets in accordance with SFAS 142 and SFAS 144. Blockbuster performed an interim impairment test of its goodwill during the third quarter of 2004 because of factors surrounding Viacom's exchange offer for the split-off of Blockbuster.</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2003, the loss from discontinued operations of $878.8 million primarily reflects a non-cash impairment charge of $1.3 billion recorded in accordance with SFAS 142. In completing its analysis of the fair value of the video business, several events led Blockbuster to conclude that the business had incremental risks that were required to be included in the evaluation of goodwill. Additionally, Blockbuster's review of long-lived assets in conjunction with SFAS 144 resulted in an impairment charge of approximately $18.5 million to reduce the carrying value of certain fixed assets in four international markets. These charges were included in loss from discontinued operations for the year ended December 31, 2003.</w:t>
      </w:r>
    </w:p>
    <w:p>
      <w:pPr>
        <w:spacing w:after="0" w:line="170"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Upon initial adoption of SFAS 142 in 2002, the Company recorded a charge as a cumulative effect of accounting change, net of minority interest and tax, as the goodwill related to Blockbuster was impaired.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 —(Continued)</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estimated fair values of Blockbuster reporting units were computed principally based upon the present value of future cash flows as of the date of adoption. The implied fair value of Blockbuster's goodwill was then compared to its book value resulting in an impairment charge of $1.8 billion in total or $1.5 billion, net of minority interest and tax.</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major classes of assets and liabilities of Blockbuster: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At December 31, 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(including cash and cash equivalents of $233.4)</w:t>
            </w:r>
          </w:p>
        </w:tc>
        <w:tc>
          <w:tcPr>
            <w:tcW w:w="2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Goodwill</w:t>
            </w:r>
          </w:p>
        </w:tc>
        <w:tc>
          <w:tcPr>
            <w:tcW w:w="27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2,611.6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7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6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4,859.2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6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(including current debt of $144.8)</w:t>
            </w:r>
          </w:p>
        </w:tc>
        <w:tc>
          <w:tcPr>
            <w:tcW w:w="2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Long-term debt</w:t>
            </w:r>
          </w:p>
        </w:tc>
        <w:tc>
          <w:tcPr>
            <w:tcW w:w="27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7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6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1,598.5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6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-1729740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-1729740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-1163320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-871855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Company's other discontinued operations primarily include aircraft financing leases that are generally expected to liquidate in accordance with contractual terms. The net liability of the other discontinued operations are $431.1 million at December 31, 2004 and $458.2 million at December 31, 2003 which includes long-term debt of $202.0 million at December 31, 2004 and $201.7 at December 31, 2003.</w:t>
      </w:r>
    </w:p>
    <w:p>
      <w:pPr>
        <w:spacing w:after="0" w:line="194"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net cash flow provided by operating activities attributable to Blockbuster of $236.6 million in 2004 reflects Blockbuster activities prior to the completion of the split-off. The net cash flow from investing activities attributable to Blockbuster of $(421.0) million primarily consists of Blockbuster cash and capital expenditures of $221.9 million and $183.6 million, respectively. The net cash flow from financing activities attributable to Blockbuster of $(49.0) million primarily reflects the special distribution of $5 per Blockbuster's common share offset by the proceeds from Blockbuster's new credit facilities.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OTHER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 ended December 31, 2004, the changes in the book value of goodwill by segment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476377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76377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357"/>
              <w:spacing w:after="0"/>
              <w:rPr>
                <w:sz w:val="20"/>
                <w:szCs w:val="20"/>
                <w:color w:val="auto"/>
              </w:rPr>
            </w:pPr>
            <w:r>
              <w:rPr>
                <w:rFonts w:ascii="Arial" w:cs="Arial" w:eastAsia="Arial" w:hAnsi="Arial"/>
                <w:sz w:val="14"/>
                <w:szCs w:val="14"/>
                <w:b w:val="1"/>
                <w:bCs w:val="1"/>
                <w:color w:val="auto"/>
              </w:rPr>
              <w:t>Balance at</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23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117"/>
              <w:spacing w:after="0"/>
              <w:rPr>
                <w:sz w:val="20"/>
                <w:szCs w:val="20"/>
                <w:color w:val="auto"/>
              </w:rPr>
            </w:pPr>
            <w:r>
              <w:rPr>
                <w:rFonts w:ascii="Arial" w:cs="Arial" w:eastAsia="Arial" w:hAnsi="Arial"/>
                <w:sz w:val="14"/>
                <w:szCs w:val="14"/>
                <w:b w:val="1"/>
                <w:bCs w:val="1"/>
                <w:color w:val="auto"/>
                <w:w w:val="85"/>
              </w:rPr>
              <w:t>December 31, 2003</w:t>
            </w:r>
          </w:p>
        </w:tc>
        <w:tc>
          <w:tcPr>
            <w:tcW w:w="9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7"/>
              </w:rPr>
              <w:t>Acquisitions</w:t>
            </w:r>
          </w:p>
        </w:tc>
        <w:tc>
          <w:tcPr>
            <w:tcW w:w="10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Impairment</w:t>
            </w:r>
          </w:p>
        </w:tc>
        <w:tc>
          <w:tcPr>
            <w:tcW w:w="11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94"/>
              </w:rPr>
              <w:t>Adjustments(a)</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31, 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Cable Networks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8,473.6</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Television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13,178.0</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1,309.5</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Radio</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19,272.6</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(10,914.0)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Outdoor</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11,577.5</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(7,055.3)</w:t>
            </w:r>
          </w:p>
        </w:tc>
        <w:tc>
          <w:tcPr>
            <w:tcW w:w="32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67.9</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Entertainment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1,943.5</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00" w:type="dxa"/>
            <w:vAlign w:val="bottom"/>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54,445.2</w:t>
            </w:r>
          </w:p>
        </w:tc>
        <w:tc>
          <w:tcPr>
            <w:tcW w:w="34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0"/>
              </w:rPr>
              <w:t>(17,969.3)</w:t>
            </w:r>
          </w:p>
        </w:tc>
        <w:tc>
          <w:tcPr>
            <w:tcW w:w="32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1,627.2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38,520.2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-1146175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-1146175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-306070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-14605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right="540" w:hanging="532"/>
        <w:spacing w:after="0" w:line="239" w:lineRule="auto"/>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Primarily includes purchase price allocations for acquisitions; an adjustment to record goodwill and deferred tax liabilities for certain identifiable intangible assets; foreign currency translation adjustments; and the reversal of tax liabilities established in purchase price accounting that are no longer expected to be incurred.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OTHER INTANGIBLE ASSETS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2004 and December 31, 2003, the Company had approximately $10.6 billion and $12.9 billion of intangible assets,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relating to intangible assets was $144.7 million (2004), $140.0 million (2003) and $140.3 million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subject to amortization and the related accumulated amortization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214630</wp:posOffset>
            </wp:positionV>
            <wp:extent cx="593852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93852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right"/>
              <w:ind w:right="378"/>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2004</w:t>
            </w:r>
          </w:p>
        </w:tc>
        <w:tc>
          <w:tcPr>
            <w:tcW w:w="2120" w:type="dxa"/>
            <w:vAlign w:val="bottom"/>
          </w:tcPr>
          <w:p>
            <w:pPr>
              <w:spacing w:after="0"/>
              <w:rPr>
                <w:sz w:val="15"/>
                <w:szCs w:val="15"/>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5"/>
                <w:szCs w:val="15"/>
                <w:color w:val="auto"/>
              </w:rPr>
            </w:pPr>
          </w:p>
        </w:tc>
        <w:tc>
          <w:tcPr>
            <w:tcW w:w="1360" w:type="dxa"/>
            <w:vAlign w:val="bottom"/>
          </w:tcPr>
          <w:p>
            <w:pPr>
              <w:jc w:val="right"/>
              <w:ind w:right="378"/>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5"/>
                <w:szCs w:val="15"/>
                <w:color w:val="auto"/>
              </w:rPr>
            </w:pPr>
          </w:p>
        </w:tc>
        <w:tc>
          <w:tcPr>
            <w:tcW w:w="840" w:type="dxa"/>
            <w:vAlign w:val="bottom"/>
          </w:tcPr>
          <w:p>
            <w:pPr>
              <w:jc w:val="right"/>
              <w:ind w:right="37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Leasehold agreements</w:t>
            </w:r>
          </w:p>
        </w:tc>
        <w:tc>
          <w:tcPr>
            <w:tcW w:w="2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Franchise agreements</w:t>
            </w:r>
          </w:p>
        </w:tc>
        <w:tc>
          <w:tcPr>
            <w:tcW w:w="2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480.5</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Subscriber agreements</w:t>
            </w:r>
          </w:p>
        </w:tc>
        <w:tc>
          <w:tcPr>
            <w:tcW w:w="2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2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246.6</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1,908.6</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378"/>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2003</w:t>
            </w:r>
          </w:p>
        </w:tc>
        <w:tc>
          <w:tcPr>
            <w:tcW w:w="2120" w:type="dxa"/>
            <w:vAlign w:val="bottom"/>
          </w:tcPr>
          <w:p>
            <w:pPr>
              <w:spacing w:after="0"/>
              <w:rPr>
                <w:sz w:val="15"/>
                <w:szCs w:val="15"/>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5"/>
                <w:szCs w:val="15"/>
                <w:color w:val="auto"/>
              </w:rPr>
            </w:pPr>
          </w:p>
        </w:tc>
        <w:tc>
          <w:tcPr>
            <w:tcW w:w="1360" w:type="dxa"/>
            <w:vAlign w:val="bottom"/>
          </w:tcPr>
          <w:p>
            <w:pPr>
              <w:jc w:val="right"/>
              <w:ind w:right="378"/>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5"/>
                <w:szCs w:val="15"/>
                <w:color w:val="auto"/>
              </w:rPr>
            </w:pPr>
          </w:p>
        </w:tc>
        <w:tc>
          <w:tcPr>
            <w:tcW w:w="840" w:type="dxa"/>
            <w:vAlign w:val="bottom"/>
          </w:tcPr>
          <w:p>
            <w:pPr>
              <w:jc w:val="right"/>
              <w:ind w:right="37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Leasehold agreements</w:t>
            </w:r>
          </w:p>
        </w:tc>
        <w:tc>
          <w:tcPr>
            <w:tcW w:w="2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Franchise agreements</w:t>
            </w:r>
          </w:p>
        </w:tc>
        <w:tc>
          <w:tcPr>
            <w:tcW w:w="2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494.8</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(130.2)</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Subscriber agreements</w:t>
            </w:r>
          </w:p>
        </w:tc>
        <w:tc>
          <w:tcPr>
            <w:tcW w:w="2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2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188.4</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1,817.6</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-2501265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-2501265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-1798320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-1798320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-1506220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-1506220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-1351915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-1351915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-1009015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-1009015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-306070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-306070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-14605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-14605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Company expects its aggregate annual amortization expense for existing intangible assets subject to amortization for each of the next five succeeding years to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189865</wp:posOffset>
            </wp:positionV>
            <wp:extent cx="6161405"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16140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80" w:type="dxa"/>
            <w:vAlign w:val="bottom"/>
          </w:tcPr>
          <w:p>
            <w:pPr>
              <w:jc w:val="right"/>
              <w:ind w:right="322"/>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800" w:type="dxa"/>
            <w:vAlign w:val="bottom"/>
          </w:tcPr>
          <w:p>
            <w:pPr>
              <w:jc w:val="right"/>
              <w:ind w:right="342"/>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800" w:type="dxa"/>
            <w:vAlign w:val="bottom"/>
          </w:tcPr>
          <w:p>
            <w:pPr>
              <w:jc w:val="right"/>
              <w:ind w:right="342"/>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660" w:type="dxa"/>
            <w:vAlign w:val="bottom"/>
          </w:tcPr>
          <w:p>
            <w:pPr>
              <w:jc w:val="right"/>
              <w:ind w:right="242"/>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5"/>
                <w:szCs w:val="15"/>
                <w:color w:val="auto"/>
              </w:rPr>
            </w:pPr>
          </w:p>
        </w:tc>
        <w:tc>
          <w:tcPr>
            <w:tcW w:w="560" w:type="dxa"/>
            <w:vAlign w:val="bottom"/>
          </w:tcPr>
          <w:p>
            <w:pPr>
              <w:jc w:val="right"/>
              <w:ind w:right="142"/>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145.8</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141.3</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120.4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-306070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-306070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-14605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-14605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SFAS 142 requires the Company to perform an annual fair value-based impairment test of goodwill. The first step of the test examines whether or not the book value of each of the Company's reporting units exceeds its fair value. If the book value for a reporting unit exceeds its fair value, the second step of the test compares the implied fair value of that reporting unit's goodwill with the book value of that goodwill. The Company's reporting units are generally consistent with the operating segments underlying the reportable segments identified in Note 14. As a result of the impairment test, the Company recorded an impairment charge of $18.0 billion in the fourth quarter recorded in the Company's Consolidated Statement of Operations for the year ended December 31, 2004. The $18.0 billion reflects charges to reduce the carrying value of goodwill at the Radio segment of $10.9 billion and the Outdoor segment of $7.1 billion as well as a reduction of the carrying value of intangibles of $27.8 million related to the FCC licenses at the Radio segment.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OTHER INTANGIBLE ASSETS —(Continued)</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Company performs its impairment test concurrently with its annual budgeting process which begins in the fourth quarter of each year. Several factors have led to a reduction in forecasted cash flows and long-term growth rates for both the Radio and Outdoor segments. Radio and Outdoor fell short of budgeted revenue and operating income growth targets in 2004. Competition from other advertising media, including internet advertising and cable and broadcast television has reduced Radio and Outdoor growth rates. Also, the emergence of new competitors and technologies has necessitated a shift in management's strategy for the Radio and Outdoor businesses, including changes in composition of the sales force and operating management as well as increased levels of investment in marketing and promotion.</w:t>
      </w:r>
    </w:p>
    <w:p>
      <w:pPr>
        <w:spacing w:after="0" w:line="198"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estimated fair values of the Radio and Outdoor reporting units were computed principally based upon the present value of future cash flows (Discounted Cash Flow Method) and prices of comparable businesses (Market Comparable Method). The discounted Cash Flow Method and Market Comparable Method were weighted equally and resulted in substantially equal fair values.</w:t>
      </w:r>
    </w:p>
    <w:p>
      <w:pPr>
        <w:spacing w:after="0" w:line="194"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As of December 31, 2004, FCC licenses were valued at approximately $9.4 billion, reflecting a $2.2 billion reduction of the intangible balances attributable to its television stations' FCC licenses due to the adoption of D-108 which requires the application of the direct value method to determine the fair value of assets other than goodwill. At December 31, 2003, FCC licenses were valued at approximately $11.7 billion. FCC licenses were recorded as intangible assets with indefinite lives and were not subject to amortization.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SEVERANCE AND OTHER CHARGES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the second quarter of 2004, the Company recorded severance charges of $56.2 million, $33.8 million net of tax, or $.02 per diluted share, due to management changes. The severance charges were recorded in selling, general and administrative expenses in the respective segments: Television $10.4 million, Entertainment $10.4 million and Corporate $35.4 million</w:t>
      </w:r>
    </w:p>
    <w:p>
      <w:pPr>
        <w:spacing w:after="0" w:line="194"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 xml:space="preserve">During the third quarter of 2004, Cable Networks recorded a decrease of $9.7 million to restructuring reserves due to a change in estimate for a 2001 charge at MTV Networks ("MTVN"). In the second quarter of 2003, restructuring charges of $26.4 million were recorded at Cable Networks. These charges principally reflected $17.7 million of severance liabilities resulting from the acquisition of the remaining 50% of </w:t>
      </w:r>
      <w:r>
        <w:rPr>
          <w:rFonts w:ascii="Arial" w:cs="Arial" w:eastAsia="Arial" w:hAnsi="Arial"/>
          <w:sz w:val="16"/>
          <w:szCs w:val="16"/>
          <w:i w:val="1"/>
          <w:iCs w:val="1"/>
          <w:color w:val="auto"/>
        </w:rPr>
        <w:t>Comedy Central</w:t>
      </w:r>
      <w:r>
        <w:rPr>
          <w:rFonts w:ascii="Arial" w:cs="Arial" w:eastAsia="Arial" w:hAnsi="Arial"/>
          <w:sz w:val="16"/>
          <w:szCs w:val="16"/>
          <w:color w:val="auto"/>
        </w:rPr>
        <w:t xml:space="preserve"> that the Company did not own and organizational changes at Showtime Networks Inc. Also included in this total was $8.4 million for additional lease termination costs for MTVN due to a change in the initial estimate for its 2001 charge. The restructuring charges were reflected in the Consolidated Statement of Operations as part of selling, general and administrative expenses for $23.4 million and operating expenses for $3.0 million for the year ended December 31, 2003. In 2004, MTVN revised its initial estimate of severance liabilities for the acquisition of </w:t>
      </w:r>
      <w:r>
        <w:rPr>
          <w:rFonts w:ascii="Arial" w:cs="Arial" w:eastAsia="Arial" w:hAnsi="Arial"/>
          <w:sz w:val="16"/>
          <w:szCs w:val="16"/>
          <w:i w:val="1"/>
          <w:iCs w:val="1"/>
          <w:color w:val="auto"/>
        </w:rPr>
        <w:t>Comedy Central</w:t>
      </w:r>
      <w:r>
        <w:rPr>
          <w:rFonts w:ascii="Arial" w:cs="Arial" w:eastAsia="Arial" w:hAnsi="Arial"/>
          <w:sz w:val="16"/>
          <w:szCs w:val="16"/>
          <w:color w:val="auto"/>
        </w:rPr>
        <w:t xml:space="preserve"> by $1.6 million. Severance payments will continue through 2005 since certain employees will be paid out over the terms of their employment contracts.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SEVERANCE AND OTHER CHARGES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2004 activity for the Cable Networks restructuring charges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214630</wp:posOffset>
            </wp:positionV>
            <wp:extent cx="3871595"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71595" cy="215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2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2003</w:t>
            </w:r>
          </w:p>
        </w:tc>
        <w:tc>
          <w:tcPr>
            <w:tcW w:w="2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Severance payments</w:t>
            </w:r>
          </w:p>
        </w:tc>
        <w:tc>
          <w:tcPr>
            <w:tcW w:w="20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Lease payments</w:t>
            </w:r>
          </w:p>
        </w:tc>
        <w:tc>
          <w:tcPr>
            <w:tcW w:w="2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Revision to initial estimate</w:t>
            </w:r>
          </w:p>
        </w:tc>
        <w:tc>
          <w:tcPr>
            <w:tcW w:w="20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6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2004</w:t>
            </w:r>
          </w:p>
        </w:tc>
        <w:tc>
          <w:tcPr>
            <w:tcW w:w="2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-306070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-306070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-14605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-14605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August 2004, the Company acquired 75.8% of VIVA Media AG for $306.9 million. Pursuant to a tender offer, the Company subsequently purchased additional shares of VIVA Media AG, raising the Company's total ownership to 97.8% for a total purchase price of $393.6 million. VIVA Media AG's results have been included as part of Cable Networks since the date of acquisition. The allocation of the purchase price is pending a final evaluation of the fair value of VIVA Media AG's assets acquired and liabilities assumed.</w:t>
      </w:r>
    </w:p>
    <w:p>
      <w:pPr>
        <w:spacing w:after="0" w:line="197"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On December 30, 2004 the Company acquired a 10% interest in Spanish Broadcasting System, Inc., in exchange for a San Francisco radio station. In addition to the 10% interest, the Company received warrants that would allow the Company to increase its equity stake by an additional 5%.</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On May 22, 2003, the Company acquired the remaining 50% interest in </w:t>
      </w:r>
      <w:r>
        <w:rPr>
          <w:rFonts w:ascii="Arial" w:cs="Arial" w:eastAsia="Arial" w:hAnsi="Arial"/>
          <w:sz w:val="16"/>
          <w:szCs w:val="16"/>
          <w:i w:val="1"/>
          <w:iCs w:val="1"/>
          <w:color w:val="auto"/>
        </w:rPr>
        <w:t>Comedy Central</w:t>
      </w:r>
      <w:r>
        <w:rPr>
          <w:rFonts w:ascii="Arial" w:cs="Arial" w:eastAsia="Arial" w:hAnsi="Arial"/>
          <w:sz w:val="16"/>
          <w:szCs w:val="16"/>
          <w:color w:val="auto"/>
        </w:rPr>
        <w:t xml:space="preserve"> that it did not own for $1.2 billion in cash. </w:t>
      </w:r>
      <w:r>
        <w:rPr>
          <w:rFonts w:ascii="Arial" w:cs="Arial" w:eastAsia="Arial" w:hAnsi="Arial"/>
          <w:sz w:val="16"/>
          <w:szCs w:val="16"/>
          <w:i w:val="1"/>
          <w:iCs w:val="1"/>
          <w:color w:val="auto"/>
        </w:rPr>
        <w:t>Comedy Central</w:t>
      </w:r>
      <w:r>
        <w:rPr>
          <w:rFonts w:ascii="Arial" w:cs="Arial" w:eastAsia="Arial" w:hAnsi="Arial"/>
          <w:sz w:val="16"/>
          <w:szCs w:val="16"/>
          <w:color w:val="auto"/>
        </w:rPr>
        <w:t xml:space="preserve">'s results have been consolidated as part of Cable Networks, effective from the date of acquisition. The excess purchase price over the fair value of the tangible and identifiable intangible net assets acquired of approximately $1.0 billion was allocated to goodwill and other intangibles. The final allocation of the purchase price was based on comprehensive evaluations of the fair value of </w:t>
      </w:r>
      <w:r>
        <w:rPr>
          <w:rFonts w:ascii="Arial" w:cs="Arial" w:eastAsia="Arial" w:hAnsi="Arial"/>
          <w:sz w:val="16"/>
          <w:szCs w:val="16"/>
          <w:i w:val="1"/>
          <w:iCs w:val="1"/>
          <w:color w:val="auto"/>
        </w:rPr>
        <w:t>Comedy Central</w:t>
      </w:r>
      <w:r>
        <w:rPr>
          <w:rFonts w:ascii="Arial" w:cs="Arial" w:eastAsia="Arial" w:hAnsi="Arial"/>
          <w:sz w:val="16"/>
          <w:szCs w:val="16"/>
          <w:color w:val="auto"/>
        </w:rPr>
        <w:t>'s assets acquired and liabilities assumed.</w:t>
      </w:r>
    </w:p>
    <w:p>
      <w:pPr>
        <w:spacing w:after="0" w:line="16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On May 15, 2002, the Company acquired the assets of KCAL-TV Los Angeles for approximately $650 million. During 2002, the Company also acquired the remaining 50% interest in </w:t>
      </w:r>
      <w:r>
        <w:rPr>
          <w:rFonts w:ascii="Arial" w:cs="Arial" w:eastAsia="Arial" w:hAnsi="Arial"/>
          <w:sz w:val="16"/>
          <w:szCs w:val="16"/>
          <w:i w:val="1"/>
          <w:iCs w:val="1"/>
          <w:color w:val="auto"/>
        </w:rPr>
        <w:t>Noggin</w:t>
      </w:r>
      <w:r>
        <w:rPr>
          <w:rFonts w:ascii="Arial" w:cs="Arial" w:eastAsia="Arial" w:hAnsi="Arial"/>
          <w:sz w:val="16"/>
          <w:szCs w:val="16"/>
          <w:color w:val="auto"/>
        </w:rPr>
        <w:t>, the 24-hour digital network for kids that it did not already own for approximately $100 million.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60" w:type="dxa"/>
            <w:vAlign w:val="bottom"/>
          </w:tcPr>
          <w:p>
            <w:pPr>
              <w:spacing w:after="0"/>
              <w:rPr>
                <w:sz w:val="20"/>
                <w:szCs w:val="20"/>
                <w:color w:val="auto"/>
              </w:rPr>
            </w:pPr>
            <w:r>
              <w:rPr>
                <w:rFonts w:ascii="Arial" w:cs="Arial" w:eastAsia="Arial" w:hAnsi="Arial"/>
                <w:sz w:val="14"/>
                <w:szCs w:val="14"/>
                <w:b w:val="1"/>
                <w:bCs w:val="1"/>
                <w:color w:val="auto"/>
              </w:rPr>
              <w:t>At December 31,</w:t>
            </w:r>
          </w:p>
        </w:tc>
        <w:tc>
          <w:tcPr>
            <w:tcW w:w="4960" w:type="dxa"/>
            <w:vAlign w:val="bottom"/>
          </w:tcPr>
          <w:p>
            <w:pPr>
              <w:jc w:val="right"/>
              <w:ind w:right="552"/>
              <w:spacing w:after="0"/>
              <w:rPr>
                <w:sz w:val="20"/>
                <w:szCs w:val="20"/>
                <w:color w:val="auto"/>
              </w:rPr>
            </w:pPr>
            <w:r>
              <w:rPr>
                <w:rFonts w:ascii="Arial" w:cs="Arial" w:eastAsia="Arial" w:hAnsi="Arial"/>
                <w:sz w:val="14"/>
                <w:szCs w:val="14"/>
                <w:b w:val="1"/>
                <w:bCs w:val="1"/>
                <w:color w:val="auto"/>
              </w:rPr>
              <w:t>2004</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Theatrical:</w:t>
            </w:r>
          </w:p>
        </w:tc>
        <w:tc>
          <w:tcPr>
            <w:tcW w:w="3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Released (including acquired film libraries)</w:t>
            </w:r>
          </w:p>
        </w:tc>
        <w:tc>
          <w:tcPr>
            <w:tcW w:w="31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682.9</w:t>
            </w:r>
          </w:p>
        </w:tc>
        <w:tc>
          <w:tcPr>
            <w:tcW w:w="5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629.4</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Completed, not released</w:t>
            </w:r>
          </w:p>
        </w:tc>
        <w:tc>
          <w:tcPr>
            <w:tcW w:w="3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66.0</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In process and other</w:t>
            </w:r>
          </w:p>
        </w:tc>
        <w:tc>
          <w:tcPr>
            <w:tcW w:w="310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361.1</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399.9</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Television:</w:t>
            </w:r>
          </w:p>
        </w:tc>
        <w:tc>
          <w:tcPr>
            <w:tcW w:w="3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Released (including acquired film libraries)</w:t>
            </w:r>
          </w:p>
        </w:tc>
        <w:tc>
          <w:tcPr>
            <w:tcW w:w="310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681.8</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845.0</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 process and other</w:t>
            </w:r>
          </w:p>
        </w:tc>
        <w:tc>
          <w:tcPr>
            <w:tcW w:w="3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98.4</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Program rights</w:t>
            </w:r>
          </w:p>
        </w:tc>
        <w:tc>
          <w:tcPr>
            <w:tcW w:w="310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3,377.1</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3,051.8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Merchandise inventory</w:t>
            </w:r>
          </w:p>
        </w:tc>
        <w:tc>
          <w:tcPr>
            <w:tcW w:w="3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76.2</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Publishing, primarily finished goods</w:t>
            </w:r>
          </w:p>
        </w:tc>
        <w:tc>
          <w:tcPr>
            <w:tcW w:w="310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65.6</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53.6</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118"/>
        </w:trPr>
        <w:tc>
          <w:tcPr>
            <w:tcW w:w="5960" w:type="dxa"/>
            <w:vAlign w:val="bottom"/>
            <w:tcBorders>
              <w:bottom w:val="single" w:sz="8" w:color="808080"/>
            </w:tcBorders>
          </w:tcPr>
          <w:p>
            <w:pPr>
              <w:spacing w:after="0"/>
              <w:rPr>
                <w:sz w:val="10"/>
                <w:szCs w:val="10"/>
                <w:color w:val="auto"/>
              </w:rPr>
            </w:pPr>
          </w:p>
        </w:tc>
        <w:tc>
          <w:tcPr>
            <w:tcW w:w="3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Total Inventory</w:t>
            </w:r>
          </w:p>
        </w:tc>
        <w:tc>
          <w:tcPr>
            <w:tcW w:w="310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5,462.7</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5,239.9</w:t>
            </w:r>
          </w:p>
        </w:tc>
      </w:tr>
      <w:tr>
        <w:trPr>
          <w:trHeight w:val="218"/>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current portion</w:t>
            </w:r>
          </w:p>
        </w:tc>
        <w:tc>
          <w:tcPr>
            <w:tcW w:w="3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996.7</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1,003.7</w:t>
            </w:r>
          </w:p>
        </w:tc>
      </w:tr>
      <w:tr>
        <w:trPr>
          <w:trHeight w:val="118"/>
        </w:trPr>
        <w:tc>
          <w:tcPr>
            <w:tcW w:w="5960" w:type="dxa"/>
            <w:vAlign w:val="bottom"/>
            <w:tcBorders>
              <w:bottom w:val="single" w:sz="8" w:color="808080"/>
            </w:tcBorders>
          </w:tcPr>
          <w:p>
            <w:pPr>
              <w:spacing w:after="0"/>
              <w:rPr>
                <w:sz w:val="10"/>
                <w:szCs w:val="10"/>
                <w:color w:val="auto"/>
              </w:rPr>
            </w:pPr>
          </w:p>
        </w:tc>
        <w:tc>
          <w:tcPr>
            <w:tcW w:w="3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Total Non-Current Inventory</w:t>
            </w:r>
          </w:p>
        </w:tc>
        <w:tc>
          <w:tcPr>
            <w:tcW w:w="31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4,466.0</w:t>
            </w:r>
          </w:p>
        </w:tc>
        <w:tc>
          <w:tcPr>
            <w:tcW w:w="5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4,236.2</w:t>
            </w:r>
          </w:p>
        </w:tc>
      </w:tr>
      <w:tr>
        <w:trPr>
          <w:trHeight w:val="120"/>
        </w:trPr>
        <w:tc>
          <w:tcPr>
            <w:tcW w:w="5960" w:type="dxa"/>
            <w:vAlign w:val="bottom"/>
            <w:tcBorders>
              <w:bottom w:val="single" w:sz="8" w:color="808080"/>
            </w:tcBorders>
          </w:tcPr>
          <w:p>
            <w:pPr>
              <w:spacing w:after="0"/>
              <w:rPr>
                <w:sz w:val="10"/>
                <w:szCs w:val="10"/>
                <w:color w:val="auto"/>
              </w:rPr>
            </w:pPr>
          </w:p>
        </w:tc>
        <w:tc>
          <w:tcPr>
            <w:tcW w:w="3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IN AFFILIATED COMPANIES</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Company accounts for its investments in affiliated companies over which the Company has significant influence or ownership of more than 20% but less than or equal to 50%, under the equity method. Such investments principally include but are not limited to the Company's interest in United International Pictures (50% owned), Nickelodeon U.K. (50% owned), MTV Brazil (30% owned), MTV Russia (49% owned), MTV Japan (36% owned), WF Cinema Holding L.P. (50% owned), Grauman's Theatres LLC (50% owned), Quetzal (34% owned) and MarketWatch.com, Inc. (22% owned). Additionally, the Company owns approximately 17% in Westwood One, Inc. ("Westwood One"), which is treated as an equity investment. Certain employees of Infinity serve as officers of Westwood One resulting in significant influence over its operations.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equity investments, a difference typically exists between the initial investment and the proportionate share in the underlying net assets of the investee.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unamortized difference was $83.8 million and $92.8 million at December 31, 2004 and 2003, respectively.</w:t>
      </w:r>
    </w:p>
    <w:p>
      <w:pPr>
        <w:spacing w:after="0" w:line="219" w:lineRule="exact"/>
        <w:rPr>
          <w:sz w:val="20"/>
          <w:szCs w:val="20"/>
          <w:color w:val="auto"/>
        </w:rPr>
      </w:pPr>
    </w:p>
    <w:p>
      <w:pPr>
        <w:jc w:val="both"/>
        <w:ind w:right="120" w:firstLine="341"/>
        <w:spacing w:after="0" w:line="284" w:lineRule="auto"/>
        <w:rPr>
          <w:sz w:val="20"/>
          <w:szCs w:val="20"/>
          <w:color w:val="auto"/>
        </w:rPr>
      </w:pPr>
      <w:r>
        <w:rPr>
          <w:rFonts w:ascii="Arial" w:cs="Arial" w:eastAsia="Arial" w:hAnsi="Arial"/>
          <w:sz w:val="16"/>
          <w:szCs w:val="16"/>
          <w:color w:val="auto"/>
        </w:rPr>
        <w:t>At December 31, 2004 and 2003, the Company's equity investments included two publicly traded companies: MarketWatch.com, Inc., and Westwood One. At December 31, 2003, the Company's equity investments also included a 40% interest in SportsLine.com, Inc. ("SportsLine.com"). During the fourth quarter of 2004, the Company acquired the remaining interest in SportsLine.com that it did not own for $67.7 million including Sportsline.com's outstanding debt.</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SportsLine.com's results have been consolidated as part of the Television segment effective from the date of acquisition. Based upon quoted market prices at December 31, 2004 and December 31, 2003, respectively, the aggregate market value of these investments was approximately $532.3 million and $617.4 million which exceeded the total carrying value on the Consolidated Balance Sheet.</w:t>
      </w:r>
    </w:p>
    <w:p>
      <w:pPr>
        <w:spacing w:after="0" w:line="198" w:lineRule="exact"/>
        <w:rPr>
          <w:sz w:val="20"/>
          <w:szCs w:val="20"/>
          <w:color w:val="auto"/>
        </w:rPr>
      </w:pPr>
    </w:p>
    <w:p>
      <w:pPr>
        <w:ind w:right="120" w:firstLine="341"/>
        <w:spacing w:after="0" w:line="370" w:lineRule="auto"/>
        <w:rPr>
          <w:sz w:val="20"/>
          <w:szCs w:val="20"/>
          <w:color w:val="auto"/>
        </w:rPr>
      </w:pPr>
      <w:r>
        <w:rPr>
          <w:rFonts w:ascii="Arial" w:cs="Arial" w:eastAsia="Arial" w:hAnsi="Arial"/>
          <w:sz w:val="15"/>
          <w:szCs w:val="15"/>
          <w:color w:val="auto"/>
        </w:rPr>
        <w:t>At the date of acquisition, for cost and equity investments in Internet-based companies, the Company typically records the investment at an amount equal to the cash consideration paid plus the fair value of the advertising and promotion time to be provided. The associated obligation to provide future advertising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IN AFFILIATED COMPANIES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promotion time is non-cash and is recorded as deferred revenue at an amount equal to the fair value of the advertising and promotion time to be provided. The related 2004 and 2003 deferred revenue balance of $9.9 million and $13.7 million, respectively, is presented as "Deferred income" and "Other liabilities" in the Consolidated Balance Sheets. Deferred revenue is relieved and barter revenue is recognized as the related advertising and promotion time is delivered. Barter revenue of $22.5 million and $33.1 million has been recognized for 2004 and 2003, respectively.</w:t>
      </w:r>
    </w:p>
    <w:p>
      <w:pPr>
        <w:spacing w:after="0" w:line="167"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At December 31, 2004 and 2003, respectively, the Company had $93.2 million and $10.8 million of cost investments that are included as a component of "Other assets" in the Consolidated Balance Sheets. The 2004 mark-to-market adjustments in fair value for the publicly traded cost investments were $1.3 million, net of tax and were recorded as a decrease in accumulated other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31"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color w:val="auto"/>
        </w:rPr>
        <w:t>National Amusements, Inc. ("NAI") is a closely held corporation that beneficially owned Class A Common Stock of the Company representing approximately 71% of the voting power of all classes of the Company's Common Stock, and approximately 12% of the Company's Class A Common Stock and Class B Common Stock on a combined basis at December 31, 2004. Owners of the Company's Class A Common Stock are entitled to one vote per share. The Company's Class B Common Stock does not have voting rights. NAI is not subject to the reporting requirements of the Securities Exchange Act of 1934, as amended. Sumner M. Redstone, the controlling shareholder of NAI, is the Chairman of the Board of Directors and Chief Executive Officer of the Company. On October 28, 2004, the Company entered into an agreement (the "NAIRI Agreement") with NAI and NAIRI, Inc. ("NAIRI"), a wholly-owned subsidiary of NAI, pursuant to which the Company agreed to buy, and NAI and NAIRI agreed to sell, a number of shares of Viacom Class B Common Stock each month such that the ownership percentage of Viacom Class A Common Stock and Class B Common Stock (considered as a single class) held by NAI and/or NAIRI would not increase as a result of purchases of shares of Viacom Common Stock under the Company's $8.0 billion stock purchase program announced in October 2004. Pursuant to this agreement, Viacom recorded the purchase of 6.3 million shares of Viacom Class B Common Stock from NAIRI for $226.6 million in 2004.</w:t>
      </w:r>
    </w:p>
    <w:p>
      <w:pPr>
        <w:spacing w:after="0" w:line="17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NAI licenses films in the ordinary course of business for its motion picture theaters from all major studios including Paramount Pictures. During the years ended December 31, 2004, 2003 and 2002, NAI made payments to Paramount Pictures in the aggregate amounts of approximately $11.2 million, $9.6 million and $12.3 million, respectively.</w:t>
      </w:r>
    </w:p>
    <w:p>
      <w:pPr>
        <w:spacing w:after="0" w:line="194" w:lineRule="exact"/>
        <w:rPr>
          <w:sz w:val="20"/>
          <w:szCs w:val="20"/>
          <w:color w:val="auto"/>
        </w:rPr>
      </w:pPr>
    </w:p>
    <w:p>
      <w:pPr>
        <w:jc w:val="both"/>
        <w:ind w:right="420" w:firstLine="351"/>
        <w:spacing w:after="0" w:line="306" w:lineRule="auto"/>
        <w:rPr>
          <w:sz w:val="20"/>
          <w:szCs w:val="20"/>
          <w:color w:val="auto"/>
        </w:rPr>
      </w:pPr>
      <w:r>
        <w:rPr>
          <w:rFonts w:ascii="Arial" w:cs="Arial" w:eastAsia="Arial" w:hAnsi="Arial"/>
          <w:sz w:val="16"/>
          <w:szCs w:val="16"/>
          <w:color w:val="auto"/>
        </w:rPr>
        <w:t>NAI and Mr. Redstone owned in the aggregate approximately 75% of the common stock of Midway Games Inc. ("Midway") as of December 31, 2004. Midway places advertisements on various of the Company's cable networks from time to time. During the years ended December 31, 2004, 2003 and 2002, transactions with Midway totaled approximately $5.5 million, $1.4 million and $2.0 million, respectively.</w:t>
      </w:r>
    </w:p>
    <w:p>
      <w:pPr>
        <w:spacing w:after="0" w:line="16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Most of Infinity's radio stations are affiliated with Westwood One, and Westwood One distributes nationally certain of the Company's radio programming. In connection with these arrangements, the Company receives affiliation fees as well as programming cost reimbursements and in certain instances, shares in revenue from the sale by Westwood One of Infinity's programming. In addition, certain employees of Infinity serve as officers of Westwood One for which the Company receives a management fee. CBS Television and Cable Networks also enter into programming agreements with Westwood One.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IN AFFILIATED COMPANIES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Revenues from these arrangements were approximately $86.9 million, $85.5 million and $127.7 million in 2004, 2003 and 2002, respectively.</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Company, through the normal course of business, is involved in transactions with other affiliated companies that have not been material in any of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BANK FINANCING AND DEBT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Long-term debt consists of the following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0" w:type="dxa"/>
            <w:vAlign w:val="bottom"/>
          </w:tcPr>
          <w:p>
            <w:pPr>
              <w:spacing w:after="0"/>
              <w:rPr>
                <w:sz w:val="20"/>
                <w:szCs w:val="20"/>
                <w:color w:val="auto"/>
              </w:rPr>
            </w:pPr>
            <w:r>
              <w:rPr>
                <w:rFonts w:ascii="Arial" w:cs="Arial" w:eastAsia="Arial" w:hAnsi="Arial"/>
                <w:sz w:val="14"/>
                <w:szCs w:val="14"/>
                <w:b w:val="1"/>
                <w:bCs w:val="1"/>
                <w:color w:val="auto"/>
              </w:rPr>
              <w:t>At December 31,</w:t>
            </w:r>
          </w:p>
        </w:tc>
        <w:tc>
          <w:tcPr>
            <w:tcW w:w="4940" w:type="dxa"/>
            <w:vAlign w:val="bottom"/>
          </w:tcPr>
          <w:p>
            <w:pPr>
              <w:jc w:val="right"/>
              <w:ind w:right="592"/>
              <w:spacing w:after="0"/>
              <w:rPr>
                <w:sz w:val="20"/>
                <w:szCs w:val="20"/>
                <w:color w:val="auto"/>
              </w:rPr>
            </w:pPr>
            <w:r>
              <w:rPr>
                <w:rFonts w:ascii="Arial" w:cs="Arial" w:eastAsia="Arial" w:hAnsi="Arial"/>
                <w:sz w:val="14"/>
                <w:szCs w:val="14"/>
                <w:b w:val="1"/>
                <w:bCs w:val="1"/>
                <w:color w:val="auto"/>
              </w:rPr>
              <w:t>2004</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payable to banks</w:t>
            </w:r>
          </w:p>
        </w:tc>
        <w:tc>
          <w:tcPr>
            <w:tcW w:w="21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16"/>
        </w:trPr>
        <w:tc>
          <w:tcPr>
            <w:tcW w:w="6760" w:type="dxa"/>
            <w:vAlign w:val="bottom"/>
            <w:gridSpan w:val="3"/>
          </w:tcPr>
          <w:p>
            <w:pPr>
              <w:spacing w:after="0"/>
              <w:rPr>
                <w:sz w:val="20"/>
                <w:szCs w:val="20"/>
                <w:color w:val="auto"/>
              </w:rPr>
            </w:pPr>
            <w:r>
              <w:rPr>
                <w:rFonts w:ascii="Arial" w:cs="Arial" w:eastAsia="Arial" w:hAnsi="Arial"/>
                <w:sz w:val="18"/>
                <w:szCs w:val="18"/>
                <w:color w:val="auto"/>
              </w:rPr>
              <w:t>Commercial paper</w:t>
            </w:r>
          </w:p>
        </w:tc>
        <w:tc>
          <w:tcPr>
            <w:tcW w:w="21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7.15%</w:t>
            </w:r>
          </w:p>
        </w:tc>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2005</w:t>
            </w:r>
          </w:p>
        </w:tc>
        <w:tc>
          <w:tcPr>
            <w:tcW w:w="2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500.0</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7.75%</w:t>
            </w:r>
          </w:p>
        </w:tc>
        <w:tc>
          <w:tcPr>
            <w:tcW w:w="6280" w:type="dxa"/>
            <w:vAlign w:val="bottom"/>
            <w:gridSpan w:val="2"/>
          </w:tcPr>
          <w:p>
            <w:pPr>
              <w:ind w:left="20"/>
              <w:spacing w:after="0"/>
              <w:rPr>
                <w:sz w:val="20"/>
                <w:szCs w:val="20"/>
                <w:color w:val="auto"/>
              </w:rPr>
            </w:pPr>
            <w:r>
              <w:rPr>
                <w:rFonts w:ascii="Arial" w:cs="Arial" w:eastAsia="Arial" w:hAnsi="Arial"/>
                <w:sz w:val="18"/>
                <w:szCs w:val="18"/>
                <w:color w:val="auto"/>
              </w:rPr>
              <w:t>Senior Notes due 2005</w:t>
            </w:r>
          </w:p>
        </w:tc>
        <w:tc>
          <w:tcPr>
            <w:tcW w:w="21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952.5</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980.2</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6.40%</w:t>
            </w:r>
          </w:p>
        </w:tc>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2006</w:t>
            </w:r>
          </w:p>
        </w:tc>
        <w:tc>
          <w:tcPr>
            <w:tcW w:w="2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800.6</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802.2</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5.625%</w:t>
            </w:r>
          </w:p>
        </w:tc>
        <w:tc>
          <w:tcPr>
            <w:tcW w:w="6180" w:type="dxa"/>
            <w:vAlign w:val="bottom"/>
          </w:tcPr>
          <w:p>
            <w:pPr>
              <w:ind w:left="20"/>
              <w:spacing w:after="0"/>
              <w:rPr>
                <w:sz w:val="20"/>
                <w:szCs w:val="20"/>
                <w:color w:val="auto"/>
              </w:rPr>
            </w:pPr>
            <w:r>
              <w:rPr>
                <w:rFonts w:ascii="Arial" w:cs="Arial" w:eastAsia="Arial" w:hAnsi="Arial"/>
                <w:sz w:val="18"/>
                <w:szCs w:val="18"/>
                <w:color w:val="auto"/>
              </w:rPr>
              <w:t>Senior Notes due 2007</w:t>
            </w:r>
          </w:p>
        </w:tc>
        <w:tc>
          <w:tcPr>
            <w:tcW w:w="21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725.0</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750.9</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7.70%</w:t>
            </w:r>
          </w:p>
        </w:tc>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2010</w:t>
            </w:r>
          </w:p>
        </w:tc>
        <w:tc>
          <w:tcPr>
            <w:tcW w:w="2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1,666.9</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1,669.9</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6.625%</w:t>
            </w:r>
          </w:p>
        </w:tc>
        <w:tc>
          <w:tcPr>
            <w:tcW w:w="6180" w:type="dxa"/>
            <w:vAlign w:val="bottom"/>
          </w:tcPr>
          <w:p>
            <w:pPr>
              <w:ind w:left="20"/>
              <w:spacing w:after="0"/>
              <w:rPr>
                <w:sz w:val="20"/>
                <w:szCs w:val="20"/>
                <w:color w:val="auto"/>
              </w:rPr>
            </w:pPr>
            <w:r>
              <w:rPr>
                <w:rFonts w:ascii="Arial" w:cs="Arial" w:eastAsia="Arial" w:hAnsi="Arial"/>
                <w:sz w:val="18"/>
                <w:szCs w:val="18"/>
                <w:color w:val="auto"/>
              </w:rPr>
              <w:t>Senior Notes due 2011</w:t>
            </w:r>
          </w:p>
        </w:tc>
        <w:tc>
          <w:tcPr>
            <w:tcW w:w="21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995.5</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994.7</w:t>
            </w:r>
          </w:p>
        </w:tc>
      </w:tr>
      <w:tr>
        <w:trPr>
          <w:trHeight w:val="216"/>
        </w:trPr>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8.625%</w:t>
            </w: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Debentures due 2012</w:t>
            </w:r>
          </w:p>
        </w:tc>
        <w:tc>
          <w:tcPr>
            <w:tcW w:w="2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248.7</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5.625%</w:t>
            </w:r>
          </w:p>
        </w:tc>
        <w:tc>
          <w:tcPr>
            <w:tcW w:w="6180" w:type="dxa"/>
            <w:vAlign w:val="bottom"/>
          </w:tcPr>
          <w:p>
            <w:pPr>
              <w:ind w:left="20"/>
              <w:spacing w:after="0"/>
              <w:rPr>
                <w:sz w:val="20"/>
                <w:szCs w:val="20"/>
                <w:color w:val="auto"/>
              </w:rPr>
            </w:pPr>
            <w:r>
              <w:rPr>
                <w:rFonts w:ascii="Arial" w:cs="Arial" w:eastAsia="Arial" w:hAnsi="Arial"/>
                <w:sz w:val="18"/>
                <w:szCs w:val="18"/>
                <w:color w:val="auto"/>
              </w:rPr>
              <w:t>Senior Notes due 2012</w:t>
            </w:r>
          </w:p>
        </w:tc>
        <w:tc>
          <w:tcPr>
            <w:tcW w:w="21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599.3</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599.2</w:t>
            </w:r>
          </w:p>
        </w:tc>
      </w:tr>
      <w:tr>
        <w:trPr>
          <w:trHeight w:val="216"/>
        </w:trPr>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8.875%</w:t>
            </w: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2014</w:t>
            </w:r>
          </w:p>
        </w:tc>
        <w:tc>
          <w:tcPr>
            <w:tcW w:w="2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101.8</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7.625%</w:t>
            </w:r>
          </w:p>
        </w:tc>
        <w:tc>
          <w:tcPr>
            <w:tcW w:w="6180" w:type="dxa"/>
            <w:vAlign w:val="bottom"/>
          </w:tcPr>
          <w:p>
            <w:pPr>
              <w:ind w:left="20"/>
              <w:spacing w:after="0"/>
              <w:rPr>
                <w:sz w:val="20"/>
                <w:szCs w:val="20"/>
                <w:color w:val="auto"/>
              </w:rPr>
            </w:pPr>
            <w:r>
              <w:rPr>
                <w:rFonts w:ascii="Arial" w:cs="Arial" w:eastAsia="Arial" w:hAnsi="Arial"/>
                <w:sz w:val="18"/>
                <w:szCs w:val="18"/>
                <w:color w:val="auto"/>
              </w:rPr>
              <w:t>Senior Debentures due 2016</w:t>
            </w:r>
          </w:p>
        </w:tc>
        <w:tc>
          <w:tcPr>
            <w:tcW w:w="21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199.2</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199.1</w:t>
            </w:r>
          </w:p>
        </w:tc>
      </w:tr>
      <w:tr>
        <w:trPr>
          <w:trHeight w:val="216"/>
        </w:trPr>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4.625%</w:t>
            </w: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2018</w:t>
            </w:r>
          </w:p>
        </w:tc>
        <w:tc>
          <w:tcPr>
            <w:tcW w:w="2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288.6</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7.875%</w:t>
            </w:r>
          </w:p>
        </w:tc>
        <w:tc>
          <w:tcPr>
            <w:tcW w:w="6180" w:type="dxa"/>
            <w:vAlign w:val="bottom"/>
          </w:tcPr>
          <w:p>
            <w:pPr>
              <w:ind w:left="20"/>
              <w:spacing w:after="0"/>
              <w:rPr>
                <w:sz w:val="20"/>
                <w:szCs w:val="20"/>
                <w:color w:val="auto"/>
              </w:rPr>
            </w:pPr>
            <w:r>
              <w:rPr>
                <w:rFonts w:ascii="Arial" w:cs="Arial" w:eastAsia="Arial" w:hAnsi="Arial"/>
                <w:sz w:val="18"/>
                <w:szCs w:val="18"/>
                <w:color w:val="auto"/>
              </w:rPr>
              <w:t>Debentures due 2023</w:t>
            </w:r>
          </w:p>
        </w:tc>
        <w:tc>
          <w:tcPr>
            <w:tcW w:w="21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229.0</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229.0</w:t>
            </w:r>
          </w:p>
        </w:tc>
      </w:tr>
      <w:tr>
        <w:trPr>
          <w:trHeight w:val="216"/>
        </w:trPr>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7.125%</w:t>
            </w: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2023 (b)</w:t>
            </w:r>
          </w:p>
        </w:tc>
        <w:tc>
          <w:tcPr>
            <w:tcW w:w="2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52.2</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7.875%</w:t>
            </w:r>
          </w:p>
        </w:tc>
        <w:tc>
          <w:tcPr>
            <w:tcW w:w="6180" w:type="dxa"/>
            <w:vAlign w:val="bottom"/>
          </w:tcPr>
          <w:p>
            <w:pPr>
              <w:ind w:left="20"/>
              <w:spacing w:after="0"/>
              <w:rPr>
                <w:sz w:val="20"/>
                <w:szCs w:val="20"/>
                <w:color w:val="auto"/>
              </w:rPr>
            </w:pPr>
            <w:r>
              <w:rPr>
                <w:rFonts w:ascii="Arial" w:cs="Arial" w:eastAsia="Arial" w:hAnsi="Arial"/>
                <w:sz w:val="18"/>
                <w:szCs w:val="18"/>
                <w:color w:val="auto"/>
              </w:rPr>
              <w:t>Senior Debentures due 2030</w:t>
            </w:r>
          </w:p>
        </w:tc>
        <w:tc>
          <w:tcPr>
            <w:tcW w:w="21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1,280.5</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1,281.7</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5.50%</w:t>
            </w:r>
          </w:p>
        </w:tc>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Debentures due 2033</w:t>
            </w:r>
          </w:p>
        </w:tc>
        <w:tc>
          <w:tcPr>
            <w:tcW w:w="2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446.6</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7.25%</w:t>
            </w:r>
          </w:p>
        </w:tc>
        <w:tc>
          <w:tcPr>
            <w:tcW w:w="6280" w:type="dxa"/>
            <w:vAlign w:val="bottom"/>
            <w:gridSpan w:val="2"/>
          </w:tcPr>
          <w:p>
            <w:pPr>
              <w:ind w:left="20"/>
              <w:spacing w:after="0"/>
              <w:rPr>
                <w:sz w:val="20"/>
                <w:szCs w:val="20"/>
                <w:color w:val="auto"/>
              </w:rPr>
            </w:pPr>
            <w:r>
              <w:rPr>
                <w:rFonts w:ascii="Arial" w:cs="Arial" w:eastAsia="Arial" w:hAnsi="Arial"/>
                <w:sz w:val="18"/>
                <w:szCs w:val="18"/>
                <w:color w:val="auto"/>
              </w:rPr>
              <w:t>Senior Notes due 2051</w:t>
            </w:r>
          </w:p>
        </w:tc>
        <w:tc>
          <w:tcPr>
            <w:tcW w:w="21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335.0</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335.0</w:t>
            </w:r>
          </w:p>
        </w:tc>
      </w:tr>
      <w:tr>
        <w:trPr>
          <w:trHeight w:val="216"/>
        </w:trPr>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10.50%</w:t>
            </w: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Subordinated Notes due 2009</w:t>
            </w:r>
          </w:p>
        </w:tc>
        <w:tc>
          <w:tcPr>
            <w:tcW w:w="2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16"/>
        </w:trPr>
        <w:tc>
          <w:tcPr>
            <w:tcW w:w="6760" w:type="dxa"/>
            <w:vAlign w:val="bottom"/>
            <w:gridSpan w:val="3"/>
          </w:tcPr>
          <w:p>
            <w:pPr>
              <w:spacing w:after="0"/>
              <w:rPr>
                <w:sz w:val="20"/>
                <w:szCs w:val="20"/>
                <w:color w:val="auto"/>
              </w:rPr>
            </w:pPr>
            <w:r>
              <w:rPr>
                <w:rFonts w:ascii="Arial" w:cs="Arial" w:eastAsia="Arial" w:hAnsi="Arial"/>
                <w:sz w:val="18"/>
                <w:szCs w:val="18"/>
                <w:color w:val="auto"/>
              </w:rPr>
              <w:t>Other notes</w:t>
            </w:r>
          </w:p>
        </w:tc>
        <w:tc>
          <w:tcPr>
            <w:tcW w:w="21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17.9</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under capital leases</w:t>
            </w:r>
          </w:p>
        </w:tc>
        <w:tc>
          <w:tcPr>
            <w:tcW w:w="2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471.8</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r>
      <w:tr>
        <w:trPr>
          <w:trHeight w:val="118"/>
        </w:trPr>
        <w:tc>
          <w:tcPr>
            <w:tcW w:w="6760" w:type="dxa"/>
            <w:vAlign w:val="bottom"/>
            <w:tcBorders>
              <w:bottom w:val="single" w:sz="8" w:color="808080"/>
            </w:tcBorders>
            <w:gridSpan w:val="3"/>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r>
      <w:tr>
        <w:trPr>
          <w:trHeight w:val="319"/>
        </w:trPr>
        <w:tc>
          <w:tcPr>
            <w:tcW w:w="676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218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9,917.0</w:t>
            </w: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10,081.2</w:t>
            </w:r>
          </w:p>
        </w:tc>
      </w:tr>
      <w:tr>
        <w:trPr>
          <w:trHeight w:val="218"/>
        </w:trPr>
        <w:tc>
          <w:tcPr>
            <w:tcW w:w="67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Less Blockbuster debt (Note 2)</w:t>
            </w:r>
          </w:p>
        </w:tc>
        <w:tc>
          <w:tcPr>
            <w:tcW w:w="2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r>
      <w:tr>
        <w:trPr>
          <w:trHeight w:val="216"/>
        </w:trPr>
        <w:tc>
          <w:tcPr>
            <w:tcW w:w="6760" w:type="dxa"/>
            <w:vAlign w:val="bottom"/>
            <w:gridSpan w:val="3"/>
          </w:tcPr>
          <w:p>
            <w:pPr>
              <w:ind w:left="220"/>
              <w:spacing w:after="0"/>
              <w:rPr>
                <w:sz w:val="20"/>
                <w:szCs w:val="20"/>
                <w:color w:val="auto"/>
              </w:rPr>
            </w:pPr>
            <w:r>
              <w:rPr>
                <w:rFonts w:ascii="Arial" w:cs="Arial" w:eastAsia="Arial" w:hAnsi="Arial"/>
                <w:sz w:val="18"/>
                <w:szCs w:val="18"/>
                <w:color w:val="auto"/>
              </w:rPr>
              <w:t>Less other discontinued operations debt (Note 2)</w:t>
            </w:r>
          </w:p>
        </w:tc>
        <w:tc>
          <w:tcPr>
            <w:tcW w:w="21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16"/>
        </w:trPr>
        <w:tc>
          <w:tcPr>
            <w:tcW w:w="67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Less current portion</w:t>
            </w:r>
          </w:p>
        </w:tc>
        <w:tc>
          <w:tcPr>
            <w:tcW w:w="2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65.8</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118"/>
        </w:trPr>
        <w:tc>
          <w:tcPr>
            <w:tcW w:w="6760" w:type="dxa"/>
            <w:vAlign w:val="bottom"/>
            <w:tcBorders>
              <w:bottom w:val="single" w:sz="8" w:color="808080"/>
            </w:tcBorders>
            <w:gridSpan w:val="3"/>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r>
      <w:tr>
        <w:trPr>
          <w:trHeight w:val="319"/>
        </w:trPr>
        <w:tc>
          <w:tcPr>
            <w:tcW w:w="6760" w:type="dxa"/>
            <w:vAlign w:val="bottom"/>
            <w:gridSpan w:val="3"/>
          </w:tcPr>
          <w:p>
            <w:pPr>
              <w:spacing w:after="0"/>
              <w:rPr>
                <w:sz w:val="20"/>
                <w:szCs w:val="20"/>
                <w:color w:val="auto"/>
              </w:rPr>
            </w:pPr>
            <w:r>
              <w:rPr>
                <w:rFonts w:ascii="Arial" w:cs="Arial" w:eastAsia="Arial" w:hAnsi="Arial"/>
                <w:sz w:val="18"/>
                <w:szCs w:val="18"/>
                <w:color w:val="auto"/>
              </w:rPr>
              <w:t>Total long-term debt from continuing operations, net of current portion</w:t>
            </w:r>
          </w:p>
        </w:tc>
        <w:tc>
          <w:tcPr>
            <w:tcW w:w="21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9,649.2</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9,608.1</w:t>
            </w:r>
          </w:p>
        </w:tc>
      </w:tr>
      <w:tr>
        <w:trPr>
          <w:trHeight w:val="120"/>
        </w:trPr>
        <w:tc>
          <w:tcPr>
            <w:tcW w:w="4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18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Unless otherwise noted, the long-term debt instruments are issuances of Viacom Inc. and are guaranteed by Viacom International Inc. ("Viacom International").</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Issue of CBS Broadcasting Inc., a wholly owned subsidiary of Viacom Inc., which is not guaranteed.</w:t>
      </w:r>
    </w:p>
    <w:p>
      <w:pPr>
        <w:spacing w:after="0" w:line="206"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Company's total debt included, as of December 31, 2004 and December 31, 2003, respectively, (i) an aggregate unamortized premium of $35.3 million and $41.4 million and (ii) the net change in the carrying value of the debt relating to fair value swaps of $17.4 million and $48.2 million.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BANK FINANCING AND DEBT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years ended December 31, 2004 and 2003, the following debt issuances, maturities and redemptions occurred: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May 14, 2003, $300.0 million 4.625% senior notes due 2018</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May 14, 2003, $450.0 million 5.50% senior debentures due 2033</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Interest on the above debt instruments is paid semi-annually.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Maturities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September 1, 2003, 6.875% notes, $275.0 million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January 15, 2003, 6.75% senior notes, $333.8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Redemptions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July 15, 2004, all of the outstanding Go Outdoor Systems Holdings S.A 10.50% senior subordinated notes due 2009 at 105.25% of principal</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July 15, 2003, $150.0 million 7.50% senior debentures due 2023 at 103.6% of principal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years ended December 31, 2004 and 2003, the Company repurchased approximately $20.0 million and $1.0 million of its debt, respectively.</w:t>
      </w:r>
    </w:p>
    <w:p>
      <w:pPr>
        <w:spacing w:after="0" w:line="248"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During 2004, the Company acquired SportsLine.com, which had outstanding $16.9 million 5% convertible subordinated notes due 2006. These notes were redeemed in January 2005.</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Company's scheduled maturities of long-term debt at face value, excluding commercial paper and capital leases, outstanding at December 31, 2004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189865</wp:posOffset>
            </wp:positionV>
            <wp:extent cx="6813550" cy="215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39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center"/>
              <w:ind w:right="66"/>
              <w:spacing w:after="0"/>
              <w:rPr>
                <w:sz w:val="20"/>
                <w:szCs w:val="20"/>
                <w:color w:val="auto"/>
              </w:rPr>
            </w:pPr>
            <w:r>
              <w:rPr>
                <w:rFonts w:ascii="Arial" w:cs="Arial" w:eastAsia="Arial" w:hAnsi="Arial"/>
                <w:sz w:val="14"/>
                <w:szCs w:val="14"/>
                <w:b w:val="1"/>
                <w:bCs w:val="1"/>
                <w:color w:val="auto"/>
                <w:w w:val="86"/>
              </w:rPr>
              <w:t>2010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jc w:val="right"/>
              <w:ind w:right="642"/>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5"/>
                <w:szCs w:val="15"/>
                <w:color w:val="auto"/>
              </w:rPr>
            </w:pPr>
          </w:p>
        </w:tc>
        <w:tc>
          <w:tcPr>
            <w:tcW w:w="1000" w:type="dxa"/>
            <w:vAlign w:val="bottom"/>
          </w:tcPr>
          <w:p>
            <w:pPr>
              <w:jc w:val="right"/>
              <w:ind w:right="542"/>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5"/>
                <w:szCs w:val="15"/>
                <w:color w:val="auto"/>
              </w:rPr>
            </w:pPr>
          </w:p>
        </w:tc>
        <w:tc>
          <w:tcPr>
            <w:tcW w:w="1000" w:type="dxa"/>
            <w:vAlign w:val="bottom"/>
          </w:tcPr>
          <w:p>
            <w:pPr>
              <w:jc w:val="right"/>
              <w:ind w:right="562"/>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5"/>
                <w:szCs w:val="15"/>
                <w:color w:val="auto"/>
              </w:rPr>
            </w:pPr>
          </w:p>
        </w:tc>
        <w:tc>
          <w:tcPr>
            <w:tcW w:w="900" w:type="dxa"/>
            <w:vAlign w:val="bottom"/>
          </w:tcPr>
          <w:p>
            <w:pPr>
              <w:jc w:val="right"/>
              <w:ind w:right="482"/>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5"/>
                <w:szCs w:val="15"/>
                <w:color w:val="auto"/>
              </w:rPr>
            </w:pPr>
          </w:p>
        </w:tc>
        <w:tc>
          <w:tcPr>
            <w:tcW w:w="880" w:type="dxa"/>
            <w:vAlign w:val="bottom"/>
          </w:tcPr>
          <w:p>
            <w:pPr>
              <w:jc w:val="right"/>
              <w:ind w:right="462"/>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5"/>
                <w:szCs w:val="15"/>
                <w:color w:val="auto"/>
              </w:rPr>
            </w:pPr>
          </w:p>
        </w:tc>
        <w:tc>
          <w:tcPr>
            <w:tcW w:w="820" w:type="dxa"/>
            <w:vAlign w:val="bottom"/>
          </w:tcPr>
          <w:p>
            <w:pPr>
              <w:jc w:val="center"/>
              <w:ind w:right="86"/>
              <w:spacing w:after="0"/>
              <w:rPr>
                <w:sz w:val="20"/>
                <w:szCs w:val="20"/>
                <w:color w:val="auto"/>
              </w:rPr>
            </w:pPr>
            <w:r>
              <w:rPr>
                <w:rFonts w:ascii="Arial" w:cs="Arial" w:eastAsia="Arial" w:hAnsi="Arial"/>
                <w:sz w:val="14"/>
                <w:szCs w:val="14"/>
                <w:b w:val="1"/>
                <w:bCs w:val="1"/>
                <w:color w:val="auto"/>
                <w:w w:val="89"/>
              </w:rPr>
              <w:t>thereafter</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1,453.1</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818.7</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700.4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7026910</wp:posOffset>
            </wp:positionH>
            <wp:positionV relativeFrom="paragraph">
              <wp:posOffset>-306070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-306070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-14605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-14605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Viacom Credit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2004, the Company's credit facilities totaled $4.5 billion comprised of a $3.0 billion revolving facility due February 2009 and a</w:t>
      </w:r>
    </w:p>
    <w:p>
      <w:pPr>
        <w:spacing w:after="0" w:line="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$1.5 billion revolving facility due March 2006 (collectively, the "Credit Facilities"). The Company, at its option, may also borrow in certain foreign currencies up to specified limits under the $3.0 billion and $1.5 billion facilities. Borrowing rates under the facilities are determined at the Company's option at the time of each borrowing and are based generally on the prime rate in the United States or the London Interbank Offer Rate ("LIBOR") plus a margin based on the Company's senior unsecured debt rating. The Company pays a facility fee based on the total amount of the commitments. As of December 31, 2004, the Company had unused revolving credit facilities of $4.27 billion in the aggregate.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BANK FINANCING AND DEBT —(Continued)</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facilities contain covenants, which, among other things, require that the Company maintain a minimum interest coverage ratio. At December 31, 2004, the Company was in compliance with all covenants under the Credit Facilities.</w:t>
      </w:r>
    </w:p>
    <w:p>
      <w:pPr>
        <w:spacing w:after="0" w:line="186"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primary purpose of the credit facilities is to support commercial paper borrowings. At December 31, 2004, the Company had no commercial paper borrowings under its $4.5 billion commercial paper program.</w:t>
      </w:r>
    </w:p>
    <w:p>
      <w:pPr>
        <w:spacing w:after="0" w:line="186" w:lineRule="exact"/>
        <w:rPr>
          <w:sz w:val="20"/>
          <w:szCs w:val="20"/>
          <w:color w:val="auto"/>
        </w:rPr>
      </w:pPr>
    </w:p>
    <w:p>
      <w:pPr>
        <w:ind w:right="140" w:firstLine="341"/>
        <w:spacing w:after="0" w:line="332" w:lineRule="auto"/>
        <w:rPr>
          <w:sz w:val="20"/>
          <w:szCs w:val="20"/>
          <w:color w:val="auto"/>
        </w:rPr>
      </w:pPr>
      <w:r>
        <w:rPr>
          <w:rFonts w:ascii="Arial" w:cs="Arial" w:eastAsia="Arial" w:hAnsi="Arial"/>
          <w:sz w:val="16"/>
          <w:szCs w:val="16"/>
          <w:color w:val="auto"/>
        </w:rPr>
        <w:t>At December 31, 2004, the Company had classified as long-term debt approximately $1.38 billion of other debt scheduled to mature within the next twelve months, reflecting its intent and ability, through the existence of unused revolving credit facilities, to refinance this debt on a long-term basis.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Securitization Programs</w:t>
      </w:r>
    </w:p>
    <w:p>
      <w:pPr>
        <w:spacing w:after="0" w:line="225"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As of December 31, 2004 and December 31, 2003, the Company had an aggregate of $1.0 billion outstanding under revolving receivable securitization programs. The programs result in the sale of receivables on a non-recourse basis to unrelated third parties on a one-year renewable basis, thereby reducing accounts receivable and debt on the Company's Consolidated Balance Sheets. The Company enters into these arrangements because they provide an additional source of liquidity. Proceeds from the programs were used to reduce outstanding borrowings. The terms of the revolving securitization arrangements require that the receivable pools subject to the programs meet certain performance ratios. As of December 31, 2004, the Company was in compliance with the required ratios under the receivable securitization programs.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INSTRUMENTS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Company's carrying value of financial instruments approximates fair value, except for differences with respect to the notes and debentures and certain differences related to other financial instruments that are not significant. At December 31, 2004, the carrying value of the senior debt and senior subordinated debt was $9.4 billion and the fair value, which is estimated based on quoted market prices and includes accrued interest, was $10.9 billion.</w:t>
      </w:r>
    </w:p>
    <w:p>
      <w:pPr>
        <w:spacing w:after="0" w:line="16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 uses derivative financial instruments to modify its exposure to market risks from changes in foreign exchange rates and interest rates. The Company does not hold or enter into financial instruments for speculative trading purposes. The foreign exchange hedging instruments used are spot, forward and option contracts. The foreign exchange contracts have principally been used to hedge the British Pound, the Australian Dollar, the Japanese Yen, the Canadian Dollar, the Singapore Dollar and the Euro. The Company designates forward contracts used to hedge future production costs as cash flow hedges. Additionally, the Company enters into non-designated forward contracts to hedge non-dollar denominated cash flows and foreign currency balances. The changes in fair value of the non-designated contracts are included in current period earnings as part of "Other items, net."</w:t>
      </w:r>
    </w:p>
    <w:p>
      <w:pPr>
        <w:spacing w:after="0" w:line="174"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Company's interest expense is exposed to movements in short-term rates. Swap agreements may be used to modify this exposure. The Company has entered into fixed to variable rate swaps, which are designated as fair value hedges. As of December 31, 2004, if all parties were to agree, the swaps could have been terminated by a net payment by the counterparties of approximately $23.1 million.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9" w:name="page90"/>
    <w:bookmarkEnd w:id="89"/>
    <w:p>
      <w:pPr>
        <w:jc w:val="center"/>
        <w:ind w:right="-7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INSTRUMENTS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2004, the Company was a party to the following outstanding fair value hedges, which were fully effective.</w:t>
      </w:r>
    </w:p>
    <w:p>
      <w:pPr>
        <w:spacing w:after="0" w:line="225"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Interest rate swaps totaling $250 million in notional amount, which mature on June 1, 2005, receive interest at a weighted average rate of approximately 4.54% and pay interest based on three-month LIBOR in advance.</w:t>
      </w:r>
    </w:p>
    <w:p>
      <w:pPr>
        <w:spacing w:after="0" w:line="186" w:lineRule="exact"/>
        <w:rPr>
          <w:sz w:val="20"/>
          <w:szCs w:val="20"/>
          <w:color w:val="auto"/>
        </w:rPr>
      </w:pPr>
    </w:p>
    <w:p>
      <w:pPr>
        <w:jc w:val="both"/>
        <w:ind w:left="540" w:right="280"/>
        <w:spacing w:after="0" w:line="259" w:lineRule="auto"/>
        <w:rPr>
          <w:sz w:val="20"/>
          <w:szCs w:val="20"/>
          <w:color w:val="auto"/>
        </w:rPr>
      </w:pPr>
      <w:r>
        <w:rPr>
          <w:rFonts w:ascii="Arial" w:cs="Arial" w:eastAsia="Arial" w:hAnsi="Arial"/>
          <w:sz w:val="18"/>
          <w:szCs w:val="18"/>
          <w:color w:val="auto"/>
        </w:rPr>
        <w:t>Interest rate swaps totaling $350 million in notional amount, which mature on January 30, 2006, and (i) receive interest on $200 million at a weighted average rate of approximately 2.78% and pay interest based on three-month LIBOR in advance and (ii) receive interest on $150 million at a weighted average rate of approximately 3.57% and pay interest based on six-month LIBOR in arrears.</w:t>
      </w:r>
    </w:p>
    <w:p>
      <w:pPr>
        <w:spacing w:after="0" w:line="194" w:lineRule="exact"/>
        <w:rPr>
          <w:sz w:val="20"/>
          <w:szCs w:val="20"/>
          <w:color w:val="auto"/>
        </w:rPr>
      </w:pPr>
    </w:p>
    <w:p>
      <w:pPr>
        <w:jc w:val="both"/>
        <w:ind w:left="540" w:right="300"/>
        <w:spacing w:after="0" w:line="259" w:lineRule="auto"/>
        <w:rPr>
          <w:sz w:val="20"/>
          <w:szCs w:val="20"/>
          <w:color w:val="auto"/>
        </w:rPr>
      </w:pPr>
      <w:r>
        <w:rPr>
          <w:rFonts w:ascii="Arial" w:cs="Arial" w:eastAsia="Arial" w:hAnsi="Arial"/>
          <w:sz w:val="18"/>
          <w:szCs w:val="18"/>
          <w:color w:val="auto"/>
        </w:rPr>
        <w:t>Interest rate swaps totaling $700 million in notional amount, which mature on May 1, 2007, and (i) receive interest on $400 million at 5.11% and pay interest based on three-month LIBOR in advance and (ii) receive interest on $300 million at a weighted average rate of approximately 5.35% and pay interest based on three-month LIBOR in arrears.</w:t>
      </w:r>
    </w:p>
    <w:p>
      <w:pPr>
        <w:spacing w:after="0" w:line="194"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Interest rate swaps totaling $300 million in notional amount, which mature on May 15, 2018, receive interest at a weighted average rate of approximately 4.55% and pay interest based on three-month LIBOR in advance.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2004, the Company did not have any interest rate cash flow hedges outstanding.</w:t>
      </w:r>
    </w:p>
    <w:p>
      <w:pPr>
        <w:spacing w:after="0" w:line="225"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At December 31, 2004, the notional value of all foreign exchange contracts was $633.0 million, of which $82.9 million related to the hedging of future production costs and $157.2 million related to the hedging of a net investment in a foreign operation. The remaining $392.9 million represents hedges of underlying foreign currency balances, expected foreign currency net cash flows and investment hedges. At December 31, 2003, the notional value of all foreign exchange contracts was $296.9 million, of which $12.0 million related to the hedging of future production costs. The remaining $284.9 million represented hedges of underlying foreign currency balances, expected foreign currency net cash flows and investment hedges.</w:t>
      </w:r>
    </w:p>
    <w:p>
      <w:pPr>
        <w:spacing w:after="0" w:line="170"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w:t>
      </w:r>
    </w:p>
    <w:p>
      <w:pPr>
        <w:spacing w:after="0" w:line="19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Company's receivables do not represent significant concentrations of credit risk at December 31, 2004, due to the wide variety of customers, markets and geographic areas to which the Company's products and services are sold.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Stock Purchase Program—</w:t>
      </w:r>
      <w:r>
        <w:rPr>
          <w:rFonts w:ascii="Arial" w:cs="Arial" w:eastAsia="Arial" w:hAnsi="Arial"/>
          <w:sz w:val="18"/>
          <w:szCs w:val="18"/>
          <w:color w:val="auto"/>
        </w:rPr>
        <w:t>On October 28, 2004, the Company announced a new stock purchase program under which the Company is authorized to acquire</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up to $8.0 billion in Viacom Class A Common Stock and non-voting Class B Common Stock. The program succeeded and replaced the Company's $3.0 billion stock purchase program announced in 2002. NAIRI and NAI, each closely held corporations controlled by Sumner M. Redstone, Chairman of the Board of Directors and Chief Executive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Officer of the Company, have entered into an agreement with the Company to participate in the program on a pro-rata basis. The agreement, which has been approved by an independent committee of Viacom directors, will prevent the buyback from increasing NAIRI's economic interest in Viacom. NAI, through its wholly owned subsidiary, NAIRI, beneficially owns Viacom's Class A Common Stock representing approximately 71% of the voting power of all classes of the Company's Common Stock and approximately 12% of Viacom's Class A and Class B Common Stock on a combined basis at December 31, 2004 (See Note 7).</w:t>
      </w:r>
    </w:p>
    <w:p>
      <w:pPr>
        <w:spacing w:after="0" w:line="152"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Under its stock purchase programs, the Company purchased shares of its Class B Common Stock for each of the years as follows: 68.4 million shares for $2.5 billion (2004), 23.6 million shares for $981.4 million (2003) and 27.8 million shares for $1.2 billion (2002).</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During the first three quarters of 2004, Viacom declared a quarterly cash dividend of $.06 per share on Viacom Class A and Class B Common Stock. During the fourth quarter of 2004, the Company declared a quarterly cash dividend of $.07 per share on Viacom Class A and Class B Common Stock. During the third and fourth quarters of 2003, Viacom declared a quarterly cash dividend of $.06 per share.</w:t>
      </w:r>
    </w:p>
    <w:p>
      <w:pPr>
        <w:spacing w:after="0" w:line="194"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Holders of Viacom Class A Common Stock have the right to convert their shares to Class B Common Stock at any time. Conversions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Class A shares into B shares for the years ended December 31, 2004, 2003 and 2002 were .3 million, 3.6 million and 1.5 million shares, respectively.</w:t>
      </w:r>
    </w:p>
    <w:p>
      <w:pPr>
        <w:spacing w:after="0" w:line="139"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i w:val="1"/>
          <w:iCs w:val="1"/>
          <w:color w:val="auto"/>
        </w:rPr>
        <w:t>Long-Term Incentive Plans—</w:t>
      </w:r>
      <w:r>
        <w:rPr>
          <w:rFonts w:ascii="Arial" w:cs="Arial" w:eastAsia="Arial" w:hAnsi="Arial"/>
          <w:sz w:val="16"/>
          <w:szCs w:val="16"/>
          <w:color w:val="auto"/>
        </w:rPr>
        <w:t>The Company has Long-Term Incentive Plans (the "Plans") under which options were issued: the Viacom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Incentive Plans (the "Viacom Plans"), the Infinity Long-Term Incentive Plans (the "Infinity Plans") and the CBS Long-Term Incentive Plans (the "CBS Plans"). Options under the Infinity Plans and CBS Plans generally vest over a three-year period and expire ten years from the date of grant. These converted options still maintain their original terms and conditions. Warrants to purchase 135,420 shares of Viacom Class B Common Stock were outstanding at December 31, 2004. The warrants, which were assumed in the Viacom/CBS merger, have no expiration date and an exercise price of zero.</w:t>
      </w:r>
    </w:p>
    <w:p>
      <w:pPr>
        <w:spacing w:after="0" w:line="17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Viacom Plans—</w:t>
      </w:r>
      <w:r>
        <w:rPr>
          <w:rFonts w:ascii="Arial" w:cs="Arial" w:eastAsia="Arial" w:hAnsi="Arial"/>
          <w:sz w:val="16"/>
          <w:szCs w:val="16"/>
          <w:color w:val="auto"/>
        </w:rPr>
        <w:t>The purpose of the Viacom Plans is to benefit and advance the interests of the Company by rewarding certain employees for their</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to the financial success of the Company and thereby motivating them to continue to make such contributions in the future. The Viacom Plans provide for awards of stock options, stock appreciation rights, restricted and unrestricted shares, restricted share units, phantom shares, dividend equivalents, performance awards and other equity-related awards and cash payments. The stock options generally vest over a three-to five-year period from the date of grant and expire ten years after the date of grant. The Company has reserved a total of 162,555,244 shares of Viacom Inc. Class B Common Stock for future exercise of stock options and warrants outstanding as of December 31, 2004.</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stock options available for future grant under the Viacom Plans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309245</wp:posOffset>
            </wp:positionV>
            <wp:extent cx="5072380"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1720" w:type="dxa"/>
            <w:vAlign w:val="bottom"/>
          </w:tcPr>
          <w:p>
            <w:pPr>
              <w:spacing w:after="0"/>
              <w:rPr>
                <w:sz w:val="24"/>
                <w:szCs w:val="24"/>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2002</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67,879,728</w:t>
            </w:r>
          </w:p>
        </w:tc>
        <w:tc>
          <w:tcPr>
            <w:tcW w:w="1720" w:type="dxa"/>
            <w:vAlign w:val="bottom"/>
          </w:tcPr>
          <w:p>
            <w:pPr>
              <w:spacing w:after="0"/>
              <w:rPr>
                <w:sz w:val="24"/>
                <w:szCs w:val="24"/>
                <w:color w:val="auto"/>
              </w:rPr>
            </w:pPr>
          </w:p>
        </w:tc>
      </w:tr>
      <w:tr>
        <w:trPr>
          <w:trHeight w:val="216"/>
        </w:trPr>
        <w:tc>
          <w:tcPr>
            <w:tcW w:w="17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At December 31, 2003</w:t>
            </w:r>
          </w:p>
        </w:tc>
        <w:tc>
          <w:tcPr>
            <w:tcW w:w="5260" w:type="dxa"/>
            <w:vAlign w:val="bottom"/>
          </w:tcPr>
          <w:p>
            <w:pPr>
              <w:jc w:val="right"/>
              <w:spacing w:after="0"/>
              <w:rPr>
                <w:sz w:val="20"/>
                <w:szCs w:val="20"/>
                <w:color w:val="auto"/>
              </w:rPr>
            </w:pPr>
            <w:r>
              <w:rPr>
                <w:rFonts w:ascii="Arial" w:cs="Arial" w:eastAsia="Arial" w:hAnsi="Arial"/>
                <w:sz w:val="18"/>
                <w:szCs w:val="18"/>
                <w:color w:val="auto"/>
              </w:rPr>
              <w:t>36,023,644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2004</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137,972,312</w:t>
            </w:r>
          </w:p>
        </w:tc>
        <w:tc>
          <w:tcPr>
            <w:tcW w:w="1720" w:type="dxa"/>
            <w:vAlign w:val="bottom"/>
          </w:tcPr>
          <w:p>
            <w:pPr>
              <w:spacing w:after="0"/>
              <w:rPr>
                <w:sz w:val="18"/>
                <w:szCs w:val="18"/>
                <w:color w:val="auto"/>
              </w:rPr>
            </w:pPr>
          </w:p>
        </w:tc>
      </w:tr>
      <w:tr>
        <w:trPr>
          <w:trHeight w:val="118"/>
        </w:trPr>
        <w:tc>
          <w:tcPr>
            <w:tcW w:w="1720" w:type="dxa"/>
            <w:vAlign w:val="bottom"/>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5260" w:type="dxa"/>
            <w:vAlign w:val="bottom"/>
            <w:tcBorders>
              <w:bottom w:val="single" w:sz="8" w:color="808080"/>
            </w:tcBorders>
          </w:tcPr>
          <w:p>
            <w:pPr>
              <w:spacing w:after="0"/>
              <w:rPr>
                <w:sz w:val="10"/>
                <w:szCs w:val="10"/>
                <w:color w:val="auto"/>
              </w:rPr>
            </w:pPr>
          </w:p>
        </w:tc>
        <w:tc>
          <w:tcPr>
            <w:tcW w:w="1720" w:type="dxa"/>
            <w:vAlign w:val="bottom"/>
          </w:tcPr>
          <w:p>
            <w:pPr>
              <w:spacing w:after="0"/>
              <w:rPr>
                <w:sz w:val="10"/>
                <w:szCs w:val="10"/>
                <w:color w:val="auto"/>
              </w:rPr>
            </w:pPr>
          </w:p>
        </w:tc>
      </w:tr>
      <w:tr>
        <w:trPr>
          <w:trHeight w:val="535"/>
        </w:trPr>
        <w:tc>
          <w:tcPr>
            <w:tcW w:w="1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980" w:type="dxa"/>
            <w:vAlign w:val="bottom"/>
            <w:gridSpan w:val="2"/>
          </w:tcPr>
          <w:p>
            <w:pPr>
              <w:ind w:left="1100"/>
              <w:spacing w:after="0"/>
              <w:rPr>
                <w:sz w:val="20"/>
                <w:szCs w:val="20"/>
                <w:color w:val="auto"/>
              </w:rPr>
            </w:pPr>
            <w:r>
              <w:rPr>
                <w:rFonts w:ascii="Arial" w:cs="Arial" w:eastAsia="Arial" w:hAnsi="Arial"/>
                <w:sz w:val="18"/>
                <w:szCs w:val="18"/>
                <w:color w:val="auto"/>
              </w:rPr>
              <w:t>II-55</w:t>
            </w:r>
          </w:p>
        </w:tc>
      </w:tr>
      <w:tr>
        <w:trPr>
          <w:trHeight w:val="228"/>
        </w:trPr>
        <w:tc>
          <w:tcPr>
            <w:tcW w:w="172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-511810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-511810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—(Continued)</w:t>
      </w:r>
    </w:p>
    <w:p>
      <w:pPr>
        <w:spacing w:after="0" w:line="23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weighted-average fair value of each option as of the grant date was $17.95, $18.49 and $20.04 in 2004, 2003 and 2002, respectively. The fair value of each option grant is estimated on the date of grant using the Black-Scholes option-pricing model with the following 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160020</wp:posOffset>
            </wp:positionV>
            <wp:extent cx="5338445" cy="215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338445" cy="215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500" w:type="dxa"/>
            <w:vAlign w:val="bottom"/>
          </w:tcPr>
          <w:p>
            <w:pPr>
              <w:jc w:val="right"/>
              <w:ind w:right="83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700" w:type="dxa"/>
            <w:vAlign w:val="bottom"/>
          </w:tcPr>
          <w:p>
            <w:pPr>
              <w:jc w:val="right"/>
              <w:ind w:right="337"/>
              <w:spacing w:after="0"/>
              <w:rPr>
                <w:sz w:val="20"/>
                <w:szCs w:val="20"/>
                <w:color w:val="auto"/>
              </w:rPr>
            </w:pPr>
            <w:r>
              <w:rPr>
                <w:rFonts w:ascii="Arial" w:cs="Arial" w:eastAsia="Arial" w:hAnsi="Arial"/>
                <w:sz w:val="14"/>
                <w:szCs w:val="14"/>
                <w:b w:val="1"/>
                <w:bCs w:val="1"/>
                <w:color w:val="auto"/>
                <w:w w:val="83"/>
              </w:rPr>
              <w:t>2003</w:t>
            </w:r>
          </w:p>
        </w:tc>
        <w:tc>
          <w:tcPr>
            <w:tcW w:w="98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 (a)</w:t>
            </w:r>
          </w:p>
        </w:tc>
        <w:tc>
          <w:tcPr>
            <w:tcW w:w="15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500" w:type="dxa"/>
            <w:vAlign w:val="bottom"/>
          </w:tcPr>
          <w:p>
            <w:pPr>
              <w:jc w:val="right"/>
              <w:ind w:right="494"/>
              <w:spacing w:after="0"/>
              <w:rPr>
                <w:sz w:val="20"/>
                <w:szCs w:val="20"/>
                <w:color w:val="auto"/>
              </w:rPr>
            </w:pPr>
            <w:r>
              <w:rPr>
                <w:rFonts w:ascii="Arial" w:cs="Arial" w:eastAsia="Arial" w:hAnsi="Arial"/>
                <w:sz w:val="18"/>
                <w:szCs w:val="18"/>
                <w:color w:val="auto"/>
              </w:rPr>
              <w:t>38.88%</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37.03%</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4.09%</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1500" w:type="dxa"/>
            <w:vAlign w:val="bottom"/>
          </w:tcPr>
          <w:p>
            <w:pPr>
              <w:jc w:val="right"/>
              <w:ind w:right="634"/>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c>
          <w:tcPr>
            <w:tcW w:w="700" w:type="dxa"/>
            <w:vAlign w:val="bottom"/>
          </w:tcPr>
          <w:p>
            <w:pPr>
              <w:jc w:val="right"/>
              <w:ind w:right="117"/>
              <w:spacing w:after="0"/>
              <w:rPr>
                <w:sz w:val="20"/>
                <w:szCs w:val="20"/>
                <w:color w:val="auto"/>
              </w:rPr>
            </w:pPr>
            <w:r>
              <w:rPr>
                <w:rFonts w:ascii="Arial" w:cs="Arial" w:eastAsia="Arial" w:hAnsi="Arial"/>
                <w:sz w:val="18"/>
                <w:szCs w:val="18"/>
                <w:color w:val="auto"/>
              </w:rPr>
              <w:t>6.8</w:t>
            </w: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1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2"/>
        </w:trPr>
        <w:tc>
          <w:tcPr>
            <w:tcW w:w="900" w:type="dxa"/>
            <w:vAlign w:val="bottom"/>
          </w:tcPr>
          <w:p>
            <w:pPr>
              <w:ind w:left="540"/>
              <w:spacing w:after="0"/>
              <w:rPr>
                <w:sz w:val="20"/>
                <w:szCs w:val="20"/>
                <w:color w:val="auto"/>
              </w:rPr>
            </w:pPr>
            <w:r>
              <w:rPr>
                <w:rFonts w:ascii="Arial" w:cs="Arial" w:eastAsia="Arial" w:hAnsi="Arial"/>
                <w:sz w:val="14"/>
                <w:szCs w:val="14"/>
                <w:color w:val="auto"/>
              </w:rPr>
              <w:t>(a)</w:t>
            </w:r>
          </w:p>
        </w:tc>
        <w:tc>
          <w:tcPr>
            <w:tcW w:w="5700" w:type="dxa"/>
            <w:vAlign w:val="bottom"/>
            <w:gridSpan w:val="3"/>
          </w:tcPr>
          <w:p>
            <w:pPr>
              <w:ind w:left="180"/>
              <w:spacing w:after="0"/>
              <w:rPr>
                <w:sz w:val="20"/>
                <w:szCs w:val="20"/>
                <w:color w:val="auto"/>
              </w:rPr>
            </w:pPr>
            <w:r>
              <w:rPr>
                <w:rFonts w:ascii="Arial" w:cs="Arial" w:eastAsia="Arial" w:hAnsi="Arial"/>
                <w:sz w:val="14"/>
                <w:szCs w:val="14"/>
                <w:color w:val="auto"/>
              </w:rPr>
              <w:t>The Company did not declare any cash dividends on its common stock for 2002.</w:t>
            </w: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6600" w:type="dxa"/>
            <w:vAlign w:val="bottom"/>
            <w:gridSpan w:val="4"/>
          </w:tcPr>
          <w:p>
            <w:pPr>
              <w:ind w:left="360"/>
              <w:spacing w:after="0"/>
              <w:rPr>
                <w:sz w:val="20"/>
                <w:szCs w:val="20"/>
                <w:color w:val="auto"/>
              </w:rPr>
            </w:pPr>
            <w:r>
              <w:rPr>
                <w:rFonts w:ascii="Arial" w:cs="Arial" w:eastAsia="Arial" w:hAnsi="Arial"/>
                <w:sz w:val="18"/>
                <w:szCs w:val="18"/>
                <w:color w:val="auto"/>
                <w:w w:val="90"/>
              </w:rPr>
              <w:t>The following table summarizes the Company's stock activity under the Viacom Plans:</w:t>
            </w: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gridSpan w:val="4"/>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Weighted-Average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Options Outstanding</w:t>
            </w:r>
          </w:p>
        </w:tc>
        <w:tc>
          <w:tcPr>
            <w:tcW w:w="700" w:type="dxa"/>
            <w:vAlign w:val="bottom"/>
          </w:tcPr>
          <w:p>
            <w:pPr>
              <w:spacing w:after="0"/>
              <w:rPr>
                <w:sz w:val="15"/>
                <w:szCs w:val="15"/>
                <w:color w:val="auto"/>
              </w:rPr>
            </w:pPr>
          </w:p>
        </w:tc>
        <w:tc>
          <w:tcPr>
            <w:tcW w:w="14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7"/>
              </w:rPr>
              <w:t>Exercise Price</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tcBorders>
              <w:bottom w:val="single" w:sz="8" w:color="808080"/>
            </w:tcBorders>
            <w:gridSpan w:val="2"/>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gridSpan w:val="3"/>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900" w:type="dxa"/>
            <w:vAlign w:val="bottom"/>
          </w:tcPr>
          <w:p>
            <w:pPr>
              <w:spacing w:after="0"/>
              <w:rPr>
                <w:sz w:val="9"/>
                <w:szCs w:val="9"/>
                <w:color w:val="auto"/>
              </w:rPr>
            </w:pPr>
          </w:p>
        </w:tc>
        <w:tc>
          <w:tcPr>
            <w:tcW w:w="26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137,483,371</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40" w:type="dxa"/>
            <w:vAlign w:val="bottom"/>
            <w:tcBorders>
              <w:bottom w:val="single" w:sz="8" w:color="808080"/>
            </w:tcBorders>
            <w:gridSpan w:val="2"/>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20" w:type="dxa"/>
            <w:vAlign w:val="bottom"/>
            <w:gridSpan w:val="3"/>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22,452,148</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42.24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(17,561,361)</w:t>
            </w:r>
          </w:p>
        </w:tc>
        <w:tc>
          <w:tcPr>
            <w:tcW w:w="7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Canceled</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(3,988,896)</w:t>
            </w:r>
          </w:p>
        </w:tc>
        <w:tc>
          <w:tcPr>
            <w:tcW w:w="70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49.63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40" w:type="dxa"/>
            <w:vAlign w:val="bottom"/>
            <w:tcBorders>
              <w:bottom w:val="single" w:sz="8" w:color="808080"/>
            </w:tcBorders>
            <w:gridSpan w:val="2"/>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20" w:type="dxa"/>
            <w:vAlign w:val="bottom"/>
            <w:gridSpan w:val="3"/>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00" w:type="dxa"/>
            <w:vAlign w:val="bottom"/>
          </w:tcPr>
          <w:p>
            <w:pPr>
              <w:spacing w:after="0"/>
              <w:rPr>
                <w:sz w:val="9"/>
                <w:szCs w:val="9"/>
                <w:color w:val="auto"/>
              </w:rPr>
            </w:pPr>
          </w:p>
        </w:tc>
        <w:tc>
          <w:tcPr>
            <w:tcW w:w="26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138,385,262</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40" w:type="dxa"/>
            <w:vAlign w:val="bottom"/>
            <w:tcBorders>
              <w:bottom w:val="single" w:sz="8" w:color="808080"/>
            </w:tcBorders>
            <w:gridSpan w:val="2"/>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20" w:type="dxa"/>
            <w:vAlign w:val="bottom"/>
            <w:gridSpan w:val="3"/>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23,759,956</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39.57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(11,170,461)</w:t>
            </w:r>
          </w:p>
        </w:tc>
        <w:tc>
          <w:tcPr>
            <w:tcW w:w="7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Canceled</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(3,565,898)</w:t>
            </w:r>
          </w:p>
        </w:tc>
        <w:tc>
          <w:tcPr>
            <w:tcW w:w="70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45.35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40" w:type="dxa"/>
            <w:vAlign w:val="bottom"/>
            <w:tcBorders>
              <w:bottom w:val="single" w:sz="8" w:color="808080"/>
            </w:tcBorders>
            <w:gridSpan w:val="2"/>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20" w:type="dxa"/>
            <w:vAlign w:val="bottom"/>
            <w:gridSpan w:val="3"/>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00" w:type="dxa"/>
            <w:vAlign w:val="bottom"/>
          </w:tcPr>
          <w:p>
            <w:pPr>
              <w:spacing w:after="0"/>
              <w:rPr>
                <w:sz w:val="9"/>
                <w:szCs w:val="9"/>
                <w:color w:val="auto"/>
              </w:rPr>
            </w:pPr>
          </w:p>
        </w:tc>
        <w:tc>
          <w:tcPr>
            <w:tcW w:w="26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147,408,859</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40" w:type="dxa"/>
            <w:vAlign w:val="bottom"/>
            <w:tcBorders>
              <w:bottom w:val="single" w:sz="8" w:color="808080"/>
            </w:tcBorders>
            <w:gridSpan w:val="2"/>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20" w:type="dxa"/>
            <w:vAlign w:val="bottom"/>
            <w:gridSpan w:val="3"/>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28,295,741</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39.32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(6,738,220)</w:t>
            </w:r>
          </w:p>
        </w:tc>
        <w:tc>
          <w:tcPr>
            <w:tcW w:w="7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Canceled</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(6,546,556)</w:t>
            </w:r>
          </w:p>
        </w:tc>
        <w:tc>
          <w:tcPr>
            <w:tcW w:w="70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43.67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40" w:type="dxa"/>
            <w:vAlign w:val="bottom"/>
            <w:tcBorders>
              <w:bottom w:val="single" w:sz="8" w:color="808080"/>
            </w:tcBorders>
            <w:gridSpan w:val="2"/>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20" w:type="dxa"/>
            <w:vAlign w:val="bottom"/>
            <w:gridSpan w:val="3"/>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00" w:type="dxa"/>
            <w:vAlign w:val="bottom"/>
          </w:tcPr>
          <w:p>
            <w:pPr>
              <w:spacing w:after="0"/>
              <w:rPr>
                <w:sz w:val="9"/>
                <w:szCs w:val="9"/>
                <w:color w:val="auto"/>
              </w:rPr>
            </w:pPr>
          </w:p>
        </w:tc>
        <w:tc>
          <w:tcPr>
            <w:tcW w:w="26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162,419,824</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1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60" w:type="dxa"/>
            <w:vAlign w:val="bottom"/>
          </w:tcPr>
          <w:p>
            <w:pPr>
              <w:ind w:left="4100"/>
              <w:spacing w:after="0"/>
              <w:rPr>
                <w:sz w:val="20"/>
                <w:szCs w:val="20"/>
                <w:color w:val="auto"/>
              </w:rPr>
            </w:pPr>
            <w:r>
              <w:rPr>
                <w:rFonts w:ascii="Arial" w:cs="Arial" w:eastAsia="Arial" w:hAnsi="Arial"/>
                <w:sz w:val="18"/>
                <w:szCs w:val="18"/>
                <w:color w:val="auto"/>
              </w:rPr>
              <w:t>II-56</w:t>
            </w: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-5365750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-5365750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-4662170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-4662170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-3873500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-3873500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-3376295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-3376295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-3084195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-3084195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-2518410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-2518410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-2226945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-2226945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-1661160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-1661160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-1369060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-1369060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-803275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-803275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-511810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-511810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concerning outstanding and exercisable stock options under the Plans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1838325</wp:posOffset>
            </wp:positionH>
            <wp:positionV relativeFrom="paragraph">
              <wp:posOffset>214630</wp:posOffset>
            </wp:positionV>
            <wp:extent cx="4695190" cy="215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69519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jc w:val="right"/>
              <w:ind w:right="119"/>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60" w:type="dxa"/>
            <w:vAlign w:val="bottom"/>
            <w:gridSpan w:val="3"/>
          </w:tcPr>
          <w:p>
            <w:pPr>
              <w:jc w:val="right"/>
              <w:ind w:right="1176"/>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86"/>
              </w:rPr>
              <w:t>Range of</w:t>
            </w:r>
          </w:p>
        </w:tc>
        <w:tc>
          <w:tcPr>
            <w:tcW w:w="1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Remaining</w:t>
            </w:r>
          </w:p>
        </w:tc>
        <w:tc>
          <w:tcPr>
            <w:tcW w:w="240" w:type="dxa"/>
            <w:vAlign w:val="bottom"/>
          </w:tcPr>
          <w:p>
            <w:pPr>
              <w:spacing w:after="0"/>
              <w:rPr>
                <w:sz w:val="20"/>
                <w:szCs w:val="20"/>
                <w:color w:val="auto"/>
              </w:rPr>
            </w:pPr>
          </w:p>
        </w:tc>
        <w:tc>
          <w:tcPr>
            <w:tcW w:w="128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83"/>
              </w:rPr>
              <w:t>Exercise Price</w:t>
            </w:r>
          </w:p>
        </w:tc>
        <w:tc>
          <w:tcPr>
            <w:tcW w:w="12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1280" w:type="dxa"/>
            <w:vAlign w:val="bottom"/>
            <w:vMerge w:val="restart"/>
          </w:tcPr>
          <w:p>
            <w:pPr>
              <w:jc w:val="right"/>
              <w:ind w:right="336"/>
              <w:spacing w:after="0" w:line="149" w:lineRule="exact"/>
              <w:rPr>
                <w:sz w:val="20"/>
                <w:szCs w:val="20"/>
                <w:color w:val="auto"/>
              </w:rPr>
            </w:pPr>
            <w:r>
              <w:rPr>
                <w:rFonts w:ascii="Arial" w:cs="Arial" w:eastAsia="Arial" w:hAnsi="Arial"/>
                <w:sz w:val="14"/>
                <w:szCs w:val="14"/>
                <w:b w:val="1"/>
                <w:bCs w:val="1"/>
                <w:color w:val="auto"/>
              </w:rPr>
              <w:t>Number</w:t>
            </w:r>
          </w:p>
        </w:tc>
        <w:tc>
          <w:tcPr>
            <w:tcW w:w="13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40" w:type="dxa"/>
            <w:vAlign w:val="bottom"/>
          </w:tcPr>
          <w:p>
            <w:pPr>
              <w:spacing w:after="0"/>
              <w:rPr>
                <w:sz w:val="6"/>
                <w:szCs w:val="6"/>
                <w:color w:val="auto"/>
              </w:rPr>
            </w:pPr>
          </w:p>
        </w:tc>
        <w:tc>
          <w:tcPr>
            <w:tcW w:w="1280" w:type="dxa"/>
            <w:vAlign w:val="bottom"/>
            <w:vMerge w:val="restart"/>
          </w:tcPr>
          <w:p>
            <w:pPr>
              <w:jc w:val="center"/>
              <w:ind w:right="138"/>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6"/>
                <w:szCs w:val="6"/>
                <w:color w:val="auto"/>
              </w:rPr>
            </w:pPr>
          </w:p>
        </w:tc>
        <w:tc>
          <w:tcPr>
            <w:tcW w:w="1300" w:type="dxa"/>
            <w:vAlign w:val="bottom"/>
            <w:vMerge w:val="restart"/>
          </w:tcPr>
          <w:p>
            <w:pPr>
              <w:jc w:val="right"/>
              <w:ind w:right="352"/>
              <w:spacing w:after="0" w:line="149" w:lineRule="exact"/>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6"/>
                <w:szCs w:val="6"/>
                <w:color w:val="auto"/>
              </w:rPr>
            </w:pPr>
          </w:p>
        </w:tc>
        <w:tc>
          <w:tcPr>
            <w:tcW w:w="1560" w:type="dxa"/>
            <w:vAlign w:val="bottom"/>
            <w:vMerge w:val="restart"/>
          </w:tcPr>
          <w:p>
            <w:pPr>
              <w:jc w:val="right"/>
              <w:ind w:right="276"/>
              <w:spacing w:after="0" w:line="149" w:lineRule="exact"/>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80" w:type="dxa"/>
            <w:vAlign w:val="bottom"/>
          </w:tcPr>
          <w:p>
            <w:pPr>
              <w:jc w:val="right"/>
              <w:ind w:right="276"/>
              <w:spacing w:after="0"/>
              <w:rPr>
                <w:sz w:val="20"/>
                <w:szCs w:val="20"/>
                <w:color w:val="auto"/>
              </w:rPr>
            </w:pPr>
            <w:r>
              <w:rPr>
                <w:rFonts w:ascii="Arial" w:cs="Arial" w:eastAsia="Arial" w:hAnsi="Arial"/>
                <w:sz w:val="14"/>
                <w:szCs w:val="14"/>
                <w:b w:val="1"/>
                <w:bCs w:val="1"/>
                <w:color w:val="auto"/>
              </w:rPr>
              <w:t>of Options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Life (Years)</w:t>
            </w:r>
          </w:p>
        </w:tc>
        <w:tc>
          <w:tcPr>
            <w:tcW w:w="240" w:type="dxa"/>
            <w:vAlign w:val="bottom"/>
          </w:tcPr>
          <w:p>
            <w:pPr>
              <w:spacing w:after="0"/>
              <w:rPr>
                <w:sz w:val="15"/>
                <w:szCs w:val="15"/>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w w:val="85"/>
              </w:rPr>
              <w:t>Exercise Price</w:t>
            </w:r>
          </w:p>
        </w:tc>
        <w:tc>
          <w:tcPr>
            <w:tcW w:w="80" w:type="dxa"/>
            <w:vAlign w:val="bottom"/>
          </w:tcPr>
          <w:p>
            <w:pPr>
              <w:spacing w:after="0"/>
              <w:rPr>
                <w:sz w:val="15"/>
                <w:szCs w:val="15"/>
                <w:color w:val="auto"/>
              </w:rPr>
            </w:pPr>
          </w:p>
        </w:tc>
        <w:tc>
          <w:tcPr>
            <w:tcW w:w="1300" w:type="dxa"/>
            <w:vAlign w:val="bottom"/>
          </w:tcPr>
          <w:p>
            <w:pPr>
              <w:jc w:val="right"/>
              <w:ind w:right="292"/>
              <w:spacing w:after="0"/>
              <w:rPr>
                <w:sz w:val="20"/>
                <w:szCs w:val="20"/>
                <w:color w:val="auto"/>
              </w:rPr>
            </w:pPr>
            <w:r>
              <w:rPr>
                <w:rFonts w:ascii="Arial" w:cs="Arial" w:eastAsia="Arial" w:hAnsi="Arial"/>
                <w:sz w:val="14"/>
                <w:szCs w:val="14"/>
                <w:b w:val="1"/>
                <w:bCs w:val="1"/>
                <w:color w:val="auto"/>
              </w:rPr>
              <w:t>of Options</w:t>
            </w:r>
          </w:p>
        </w:tc>
        <w:tc>
          <w:tcPr>
            <w:tcW w:w="300" w:type="dxa"/>
            <w:vAlign w:val="bottom"/>
          </w:tcPr>
          <w:p>
            <w:pPr>
              <w:spacing w:after="0"/>
              <w:rPr>
                <w:sz w:val="15"/>
                <w:szCs w:val="15"/>
                <w:color w:val="auto"/>
              </w:rPr>
            </w:pPr>
          </w:p>
        </w:tc>
        <w:tc>
          <w:tcPr>
            <w:tcW w:w="1560" w:type="dxa"/>
            <w:vAlign w:val="bottom"/>
          </w:tcPr>
          <w:p>
            <w:pPr>
              <w:jc w:val="right"/>
              <w:ind w:right="396"/>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right w:val="single" w:sz="8" w:color="CCEEFF"/>
            </w:tcBorders>
            <w:shd w:val="clear" w:color="auto" w:fill="CCEEFF"/>
          </w:tcPr>
          <w:p>
            <w:pPr>
              <w:jc w:val="center"/>
              <w:ind w:right="776"/>
              <w:spacing w:after="0"/>
              <w:rPr>
                <w:sz w:val="20"/>
                <w:szCs w:val="20"/>
                <w:color w:val="auto"/>
              </w:rPr>
            </w:pPr>
            <w:r>
              <w:rPr>
                <w:rFonts w:ascii="Arial" w:cs="Arial" w:eastAsia="Arial" w:hAnsi="Arial"/>
                <w:sz w:val="18"/>
                <w:szCs w:val="18"/>
                <w:color w:val="auto"/>
                <w:w w:val="94"/>
              </w:rPr>
              <w:t>2 to 9.99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1,118,554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1,118,554</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center"/>
              <w:ind w:right="796"/>
              <w:spacing w:after="0"/>
              <w:rPr>
                <w:sz w:val="20"/>
                <w:szCs w:val="20"/>
                <w:color w:val="auto"/>
              </w:rPr>
            </w:pPr>
            <w:r>
              <w:rPr>
                <w:rFonts w:ascii="Arial" w:cs="Arial" w:eastAsia="Arial" w:hAnsi="Arial"/>
                <w:sz w:val="18"/>
                <w:szCs w:val="18"/>
                <w:color w:val="auto"/>
                <w:w w:val="88"/>
              </w:rPr>
              <w:t>10 to 19.99</w:t>
            </w:r>
          </w:p>
        </w:tc>
        <w:tc>
          <w:tcPr>
            <w:tcW w:w="1280" w:type="dxa"/>
            <w:vAlign w:val="bottom"/>
          </w:tcPr>
          <w:p>
            <w:pPr>
              <w:jc w:val="right"/>
              <w:spacing w:after="0"/>
              <w:rPr>
                <w:sz w:val="20"/>
                <w:szCs w:val="20"/>
                <w:color w:val="auto"/>
              </w:rPr>
            </w:pPr>
            <w:r>
              <w:rPr>
                <w:rFonts w:ascii="Arial" w:cs="Arial" w:eastAsia="Arial" w:hAnsi="Arial"/>
                <w:sz w:val="18"/>
                <w:szCs w:val="18"/>
                <w:color w:val="auto"/>
              </w:rPr>
              <w:t>14,822,686</w:t>
            </w:r>
          </w:p>
        </w:tc>
        <w:tc>
          <w:tcPr>
            <w:tcW w:w="1320" w:type="dxa"/>
            <w:vAlign w:val="bottom"/>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16.26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14,822,686</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tcBorders>
              <w:right w:val="single" w:sz="8" w:color="CCEEFF"/>
            </w:tcBorders>
            <w:shd w:val="clear" w:color="auto" w:fill="CCEEFF"/>
          </w:tcPr>
          <w:p>
            <w:pPr>
              <w:jc w:val="center"/>
              <w:ind w:right="796"/>
              <w:spacing w:after="0"/>
              <w:rPr>
                <w:sz w:val="20"/>
                <w:szCs w:val="20"/>
                <w:color w:val="auto"/>
              </w:rPr>
            </w:pPr>
            <w:r>
              <w:rPr>
                <w:rFonts w:ascii="Arial" w:cs="Arial" w:eastAsia="Arial" w:hAnsi="Arial"/>
                <w:sz w:val="18"/>
                <w:szCs w:val="18"/>
                <w:color w:val="auto"/>
                <w:w w:val="88"/>
              </w:rPr>
              <w:t>20 to 29.99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13,470,699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13,470,699</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center"/>
              <w:ind w:right="796"/>
              <w:spacing w:after="0"/>
              <w:rPr>
                <w:sz w:val="20"/>
                <w:szCs w:val="20"/>
                <w:color w:val="auto"/>
              </w:rPr>
            </w:pPr>
            <w:r>
              <w:rPr>
                <w:rFonts w:ascii="Arial" w:cs="Arial" w:eastAsia="Arial" w:hAnsi="Arial"/>
                <w:sz w:val="18"/>
                <w:szCs w:val="18"/>
                <w:color w:val="auto"/>
                <w:w w:val="88"/>
              </w:rPr>
              <w:t>30 to 39.99</w:t>
            </w:r>
          </w:p>
        </w:tc>
        <w:tc>
          <w:tcPr>
            <w:tcW w:w="1280" w:type="dxa"/>
            <w:vAlign w:val="bottom"/>
          </w:tcPr>
          <w:p>
            <w:pPr>
              <w:jc w:val="right"/>
              <w:spacing w:after="0"/>
              <w:rPr>
                <w:sz w:val="20"/>
                <w:szCs w:val="20"/>
                <w:color w:val="auto"/>
              </w:rPr>
            </w:pPr>
            <w:r>
              <w:rPr>
                <w:rFonts w:ascii="Arial" w:cs="Arial" w:eastAsia="Arial" w:hAnsi="Arial"/>
                <w:sz w:val="18"/>
                <w:szCs w:val="18"/>
                <w:color w:val="auto"/>
              </w:rPr>
              <w:t>53,275,905</w:t>
            </w:r>
          </w:p>
        </w:tc>
        <w:tc>
          <w:tcPr>
            <w:tcW w:w="1320" w:type="dxa"/>
            <w:vAlign w:val="bottom"/>
          </w:tcPr>
          <w:p>
            <w:pPr>
              <w:jc w:val="right"/>
              <w:spacing w:after="0"/>
              <w:rPr>
                <w:sz w:val="20"/>
                <w:szCs w:val="20"/>
                <w:color w:val="auto"/>
              </w:rPr>
            </w:pPr>
            <w:r>
              <w:rPr>
                <w:rFonts w:ascii="Arial" w:cs="Arial" w:eastAsia="Arial" w:hAnsi="Arial"/>
                <w:sz w:val="18"/>
                <w:szCs w:val="18"/>
                <w:color w:val="auto"/>
              </w:rPr>
              <w:t>6.79</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37.09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26,351,597</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tcBorders>
              <w:right w:val="single" w:sz="8" w:color="CCEEFF"/>
            </w:tcBorders>
            <w:shd w:val="clear" w:color="auto" w:fill="CCEEFF"/>
          </w:tcPr>
          <w:p>
            <w:pPr>
              <w:jc w:val="center"/>
              <w:ind w:right="796"/>
              <w:spacing w:after="0"/>
              <w:rPr>
                <w:sz w:val="20"/>
                <w:szCs w:val="20"/>
                <w:color w:val="auto"/>
              </w:rPr>
            </w:pPr>
            <w:r>
              <w:rPr>
                <w:rFonts w:ascii="Arial" w:cs="Arial" w:eastAsia="Arial" w:hAnsi="Arial"/>
                <w:sz w:val="18"/>
                <w:szCs w:val="18"/>
                <w:color w:val="auto"/>
                <w:w w:val="88"/>
              </w:rPr>
              <w:t>40 to 49.99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45,262,483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21,701,485</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center"/>
              <w:ind w:right="796"/>
              <w:spacing w:after="0"/>
              <w:rPr>
                <w:sz w:val="20"/>
                <w:szCs w:val="20"/>
                <w:color w:val="auto"/>
              </w:rPr>
            </w:pPr>
            <w:r>
              <w:rPr>
                <w:rFonts w:ascii="Arial" w:cs="Arial" w:eastAsia="Arial" w:hAnsi="Arial"/>
                <w:sz w:val="18"/>
                <w:szCs w:val="18"/>
                <w:color w:val="auto"/>
                <w:w w:val="88"/>
              </w:rPr>
              <w:t>50 to 59.99</w:t>
            </w:r>
          </w:p>
        </w:tc>
        <w:tc>
          <w:tcPr>
            <w:tcW w:w="1280" w:type="dxa"/>
            <w:vAlign w:val="bottom"/>
          </w:tcPr>
          <w:p>
            <w:pPr>
              <w:jc w:val="right"/>
              <w:spacing w:after="0"/>
              <w:rPr>
                <w:sz w:val="20"/>
                <w:szCs w:val="20"/>
                <w:color w:val="auto"/>
              </w:rPr>
            </w:pPr>
            <w:r>
              <w:rPr>
                <w:rFonts w:ascii="Arial" w:cs="Arial" w:eastAsia="Arial" w:hAnsi="Arial"/>
                <w:sz w:val="18"/>
                <w:szCs w:val="18"/>
                <w:color w:val="auto"/>
              </w:rPr>
              <w:t>33,460,277</w:t>
            </w:r>
          </w:p>
        </w:tc>
        <w:tc>
          <w:tcPr>
            <w:tcW w:w="1320" w:type="dxa"/>
            <w:vAlign w:val="bottom"/>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55.47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29,074,253</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tcBorders>
              <w:right w:val="single" w:sz="8" w:color="CCEEFF"/>
            </w:tcBorders>
            <w:shd w:val="clear" w:color="auto" w:fill="CCEEFF"/>
          </w:tcPr>
          <w:p>
            <w:pPr>
              <w:jc w:val="center"/>
              <w:ind w:right="796"/>
              <w:spacing w:after="0"/>
              <w:rPr>
                <w:sz w:val="20"/>
                <w:szCs w:val="20"/>
                <w:color w:val="auto"/>
              </w:rPr>
            </w:pPr>
            <w:r>
              <w:rPr>
                <w:rFonts w:ascii="Arial" w:cs="Arial" w:eastAsia="Arial" w:hAnsi="Arial"/>
                <w:sz w:val="18"/>
                <w:szCs w:val="18"/>
                <w:color w:val="auto"/>
                <w:w w:val="88"/>
              </w:rPr>
              <w:t>60 to 69.99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548,420</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ind w:right="756"/>
              <w:spacing w:after="0"/>
              <w:rPr>
                <w:sz w:val="20"/>
                <w:szCs w:val="20"/>
                <w:color w:val="auto"/>
              </w:rPr>
            </w:pPr>
            <w:r>
              <w:rPr>
                <w:rFonts w:ascii="Arial" w:cs="Arial" w:eastAsia="Arial" w:hAnsi="Arial"/>
                <w:sz w:val="18"/>
                <w:szCs w:val="18"/>
                <w:color w:val="auto"/>
              </w:rPr>
              <w:t>70.00</w:t>
            </w:r>
          </w:p>
        </w:tc>
        <w:tc>
          <w:tcPr>
            <w:tcW w:w="1280" w:type="dxa"/>
            <w:vAlign w:val="bottom"/>
          </w:tcPr>
          <w:p>
            <w:pPr>
              <w:jc w:val="right"/>
              <w:spacing w:after="0"/>
              <w:rPr>
                <w:sz w:val="20"/>
                <w:szCs w:val="20"/>
                <w:color w:val="auto"/>
              </w:rPr>
            </w:pPr>
            <w:r>
              <w:rPr>
                <w:rFonts w:ascii="Arial" w:cs="Arial" w:eastAsia="Arial" w:hAnsi="Arial"/>
                <w:sz w:val="18"/>
                <w:szCs w:val="18"/>
                <w:color w:val="auto"/>
              </w:rPr>
              <w:t>460,800</w:t>
            </w:r>
          </w:p>
        </w:tc>
        <w:tc>
          <w:tcPr>
            <w:tcW w:w="1320" w:type="dxa"/>
            <w:vAlign w:val="bottom"/>
          </w:tcPr>
          <w:p>
            <w:pPr>
              <w:jc w:val="right"/>
              <w:spacing w:after="0"/>
              <w:rPr>
                <w:sz w:val="20"/>
                <w:szCs w:val="20"/>
                <w:color w:val="auto"/>
              </w:rPr>
            </w:pPr>
            <w:r>
              <w:rPr>
                <w:rFonts w:ascii="Arial" w:cs="Arial" w:eastAsia="Arial" w:hAnsi="Arial"/>
                <w:sz w:val="18"/>
                <w:szCs w:val="18"/>
                <w:color w:val="auto"/>
              </w:rPr>
              <w:t>5.48</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460,800</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162,419,824</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107,548,494</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Borders>
              <w:right w:val="single" w:sz="8" w:color="808080"/>
            </w:tcBorders>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-2072640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-2072640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-2072640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-2072640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-1574800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-1574800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-1574800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-1574800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-323215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-323215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-323215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-323215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options exercisable at year end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801360" cy="215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432"/>
        </w:trPr>
        <w:tc>
          <w:tcPr>
            <w:tcW w:w="20" w:type="dxa"/>
            <w:vAlign w:val="bottom"/>
          </w:tcPr>
          <w:p>
            <w:pPr>
              <w:spacing w:after="0"/>
              <w:rPr>
                <w:sz w:val="24"/>
                <w:szCs w:val="2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2002</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83,730,249</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December 31, 2003</w:t>
            </w:r>
          </w:p>
        </w:tc>
        <w:tc>
          <w:tcPr>
            <w:tcW w:w="4320" w:type="dxa"/>
            <w:vAlign w:val="bottom"/>
          </w:tcPr>
          <w:p>
            <w:pPr>
              <w:jc w:val="right"/>
              <w:spacing w:after="0"/>
              <w:rPr>
                <w:sz w:val="20"/>
                <w:szCs w:val="20"/>
                <w:color w:val="auto"/>
              </w:rPr>
            </w:pPr>
            <w:r>
              <w:rPr>
                <w:rFonts w:ascii="Arial" w:cs="Arial" w:eastAsia="Arial" w:hAnsi="Arial"/>
                <w:sz w:val="18"/>
                <w:szCs w:val="18"/>
                <w:color w:val="auto"/>
              </w:rPr>
              <w:t>93,495,428</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107,548,494</w:t>
            </w:r>
          </w:p>
        </w:tc>
      </w:tr>
      <w:tr>
        <w:trPr>
          <w:trHeight w:val="118"/>
        </w:trPr>
        <w:tc>
          <w:tcPr>
            <w:tcW w:w="20" w:type="dxa"/>
            <w:vAlign w:val="bottom"/>
          </w:tcPr>
          <w:p>
            <w:pPr>
              <w:spacing w:after="0"/>
              <w:rPr>
                <w:sz w:val="10"/>
                <w:szCs w:val="10"/>
                <w:color w:val="auto"/>
              </w:rPr>
            </w:pPr>
          </w:p>
        </w:tc>
        <w:tc>
          <w:tcPr>
            <w:tcW w:w="4800" w:type="dxa"/>
            <w:vAlign w:val="bottom"/>
            <w:tcBorders>
              <w:bottom w:val="single" w:sz="8" w:color="808080"/>
            </w:tcBorders>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U.S. and foreign earnings (losses) before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214630</wp:posOffset>
            </wp:positionV>
            <wp:extent cx="5363845" cy="215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36384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500" w:type="dxa"/>
        <w:tblCellMar>
          <w:top w:w="0" w:type="dxa"/>
          <w:left w:w="0" w:type="dxa"/>
          <w:bottom w:w="0" w:type="dxa"/>
          <w:right w:w="0" w:type="dxa"/>
        </w:tblCellMar>
      </w:tblPr>
      <w:tr>
        <w:trPr>
          <w:trHeight w:val="174"/>
        </w:trPr>
        <w:tc>
          <w:tcPr>
            <w:tcW w:w="332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700" w:type="dxa"/>
            <w:vAlign w:val="bottom"/>
          </w:tcPr>
          <w:p>
            <w:pPr>
              <w:jc w:val="right"/>
              <w:ind w:right="532"/>
              <w:spacing w:after="0"/>
              <w:rPr>
                <w:sz w:val="20"/>
                <w:szCs w:val="20"/>
                <w:color w:val="auto"/>
              </w:rPr>
            </w:pPr>
            <w:r>
              <w:rPr>
                <w:rFonts w:ascii="Arial" w:cs="Arial" w:eastAsia="Arial" w:hAnsi="Arial"/>
                <w:sz w:val="14"/>
                <w:szCs w:val="14"/>
                <w:b w:val="1"/>
                <w:bCs w:val="1"/>
                <w:color w:val="auto"/>
              </w:rPr>
              <w:t>2004</w:t>
            </w:r>
          </w:p>
        </w:tc>
        <w:tc>
          <w:tcPr>
            <w:tcW w:w="1340" w:type="dxa"/>
            <w:vAlign w:val="bottom"/>
          </w:tcPr>
          <w:p>
            <w:pPr>
              <w:jc w:val="right"/>
              <w:ind w:right="432"/>
              <w:spacing w:after="0"/>
              <w:rPr>
                <w:sz w:val="20"/>
                <w:szCs w:val="20"/>
                <w:color w:val="auto"/>
              </w:rPr>
            </w:pPr>
            <w:r>
              <w:rPr>
                <w:rFonts w:ascii="Arial" w:cs="Arial" w:eastAsia="Arial" w:hAnsi="Arial"/>
                <w:sz w:val="14"/>
                <w:szCs w:val="14"/>
                <w:b w:val="1"/>
                <w:bCs w:val="1"/>
                <w:color w:val="auto"/>
              </w:rPr>
              <w:t>2003</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212725</wp:posOffset>
            </wp:positionV>
            <wp:extent cx="5363845" cy="215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36384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5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(14,055.8)</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3,497.0</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Foreign</w:t>
            </w:r>
          </w:p>
        </w:tc>
        <w:tc>
          <w:tcPr>
            <w:tcW w:w="252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400.8</w:t>
            </w:r>
          </w:p>
        </w:tc>
        <w:tc>
          <w:tcPr>
            <w:tcW w:w="4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242.4</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321.4</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500" w:type="dxa"/>
            <w:vAlign w:val="bottom"/>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5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(13,655.0)</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3,739.4</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3,420.9</w:t>
            </w: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500" w:type="dxa"/>
            <w:vAlign w:val="bottom"/>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1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520" w:type="dxa"/>
            <w:vAlign w:val="bottom"/>
          </w:tcPr>
          <w:p>
            <w:pPr>
              <w:jc w:val="right"/>
              <w:ind w:right="532"/>
              <w:spacing w:after="0"/>
              <w:rPr>
                <w:sz w:val="20"/>
                <w:szCs w:val="20"/>
                <w:color w:val="auto"/>
              </w:rPr>
            </w:pPr>
            <w:r>
              <w:rPr>
                <w:rFonts w:ascii="Arial" w:cs="Arial" w:eastAsia="Arial" w:hAnsi="Arial"/>
                <w:sz w:val="18"/>
                <w:szCs w:val="18"/>
                <w:color w:val="auto"/>
              </w:rPr>
              <w:t>II-57</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0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-803275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-803275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-511810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-511810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jc w:val="center"/>
        <w:ind w:right="-5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Components of the provision for income taxes on earnings (losses) before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214630</wp:posOffset>
            </wp:positionV>
            <wp:extent cx="5869940"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86994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100" w:type="dxa"/>
        <w:tblCellMar>
          <w:top w:w="0" w:type="dxa"/>
          <w:left w:w="0" w:type="dxa"/>
          <w:bottom w:w="0" w:type="dxa"/>
          <w:right w:w="0" w:type="dxa"/>
        </w:tblCellMar>
      </w:tblPr>
      <w:tr>
        <w:trPr>
          <w:trHeight w:val="174"/>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060" w:type="dxa"/>
            <w:vAlign w:val="bottom"/>
          </w:tcPr>
          <w:p>
            <w:pPr>
              <w:spacing w:after="0"/>
              <w:rPr>
                <w:sz w:val="15"/>
                <w:szCs w:val="15"/>
                <w:color w:val="auto"/>
              </w:rPr>
            </w:pPr>
          </w:p>
        </w:tc>
        <w:tc>
          <w:tcPr>
            <w:tcW w:w="880" w:type="dxa"/>
            <w:vAlign w:val="bottom"/>
          </w:tcPr>
          <w:p>
            <w:pPr>
              <w:jc w:val="right"/>
              <w:ind w:right="375"/>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920" w:type="dxa"/>
            <w:vAlign w:val="bottom"/>
          </w:tcPr>
          <w:p>
            <w:pPr>
              <w:jc w:val="right"/>
              <w:ind w:right="415"/>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840" w:type="dxa"/>
            <w:vAlign w:val="bottom"/>
          </w:tcPr>
          <w:p>
            <w:pPr>
              <w:jc w:val="right"/>
              <w:ind w:right="335"/>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Federal</w:t>
            </w:r>
          </w:p>
        </w:tc>
        <w:tc>
          <w:tcPr>
            <w:tcW w:w="20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862.7</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692.8</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and local</w:t>
            </w:r>
          </w:p>
        </w:tc>
        <w:tc>
          <w:tcPr>
            <w:tcW w:w="20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195.6</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Foreign</w:t>
            </w:r>
          </w:p>
        </w:tc>
        <w:tc>
          <w:tcPr>
            <w:tcW w:w="20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71.8</w:t>
            </w:r>
          </w:p>
        </w:tc>
        <w:tc>
          <w:tcPr>
            <w:tcW w:w="34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67.5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955.9</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Deferred</w:t>
            </w:r>
          </w:p>
        </w:tc>
        <w:tc>
          <w:tcPr>
            <w:tcW w:w="20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254.1</w:t>
            </w:r>
          </w:p>
        </w:tc>
        <w:tc>
          <w:tcPr>
            <w:tcW w:w="34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541.1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551.5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income taxes</w:t>
            </w:r>
          </w:p>
        </w:tc>
        <w:tc>
          <w:tcPr>
            <w:tcW w:w="2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1,378.6</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1,497.0</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6555105</wp:posOffset>
            </wp:positionH>
            <wp:positionV relativeFrom="paragraph">
              <wp:posOffset>-1437640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-1437640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-734695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-734695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-306070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-306070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-14605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-14605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equity losses of affiliated companies are shown net of tax on the Company's Consolidated Statements of Operations. The tax (provision) benefit relating to losses from equity investments in 2004, 2003, and 2002 were ($19.1) million, ($27.0) million, and ($14.2) million, respectively, which represented an effective tax rate of (1,100.1%), 100.8%, and (64.9%), respectively.</w:t>
      </w:r>
    </w:p>
    <w:p>
      <w:pPr>
        <w:spacing w:after="0" w:line="19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2004 cumulative effect of accounting change of $1,312.4 million was net of tax benefit of $871.3 million. For 2003 the cumulative effect of accounting change of $18.5 million was presented net of a tax benefit of $11.5 million and net of minority interest. The 2002 cumulative effect of accounting change of $1.5 billion was net of minority interest and reflected no tax benefit.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4" w:name="page95"/>
    <w:bookmarkEnd w:id="94"/>
    <w:p>
      <w:pPr>
        <w:jc w:val="center"/>
        <w:ind w:right="-9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2004 and 2003, respectively, $50.7 million and $77.1 million of income tax benefit was recorded as a component of stockholders' equity as a result of exercised stock options.</w:t>
      </w:r>
    </w:p>
    <w:p>
      <w:pPr>
        <w:spacing w:after="0" w:line="186" w:lineRule="exact"/>
        <w:rPr>
          <w:sz w:val="20"/>
          <w:szCs w:val="20"/>
          <w:color w:val="auto"/>
        </w:rPr>
      </w:pPr>
    </w:p>
    <w:p>
      <w:pPr>
        <w:ind w:right="800" w:firstLine="348"/>
        <w:spacing w:after="0" w:line="268" w:lineRule="auto"/>
        <w:rPr>
          <w:sz w:val="20"/>
          <w:szCs w:val="20"/>
          <w:color w:val="auto"/>
        </w:rPr>
      </w:pPr>
      <w:r>
        <w:rPr>
          <w:rFonts w:ascii="Arial" w:cs="Arial" w:eastAsia="Arial" w:hAnsi="Arial"/>
          <w:sz w:val="18"/>
          <w:szCs w:val="18"/>
          <w:color w:val="auto"/>
        </w:rPr>
        <w:t>The difference between income taxes as expected at the U.S. federal statutory income tax rate of 35% and income taxes provided on earnings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189865</wp:posOffset>
            </wp:positionV>
            <wp:extent cx="5818505" cy="215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36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512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Pr>
          <w:p>
            <w:pPr>
              <w:spacing w:after="0"/>
              <w:rPr>
                <w:sz w:val="15"/>
                <w:szCs w:val="15"/>
                <w:color w:val="auto"/>
              </w:rPr>
            </w:pPr>
          </w:p>
        </w:tc>
        <w:tc>
          <w:tcPr>
            <w:tcW w:w="1000" w:type="dxa"/>
            <w:vAlign w:val="bottom"/>
          </w:tcPr>
          <w:p>
            <w:pPr>
              <w:jc w:val="right"/>
              <w:ind w:right="47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8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Taxes on income at U.S. federal statutory rate</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1,308.7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State and local taxes, net of federal tax benefit</w:t>
            </w:r>
          </w:p>
        </w:tc>
        <w:tc>
          <w:tcPr>
            <w:tcW w:w="7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(661.8)</w:t>
            </w:r>
          </w:p>
        </w:tc>
        <w:tc>
          <w:tcPr>
            <w:tcW w:w="180" w:type="dxa"/>
            <w:vAlign w:val="bottom"/>
          </w:tcPr>
          <w:p>
            <w:pPr>
              <w:spacing w:after="0"/>
              <w:rPr>
                <w:sz w:val="18"/>
                <w:szCs w:val="18"/>
                <w:color w:val="auto"/>
              </w:rPr>
            </w:pP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163.8</w:t>
            </w:r>
          </w:p>
        </w:tc>
        <w:tc>
          <w:tcPr>
            <w:tcW w:w="2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197.6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foreign operations</w:t>
            </w: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Impairment charge</w:t>
            </w:r>
          </w:p>
        </w:tc>
        <w:tc>
          <w:tcPr>
            <w:tcW w:w="70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7,066.3</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Audit settlements</w:t>
            </w: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Realization of additional stock basis</w:t>
            </w:r>
          </w:p>
        </w:tc>
        <w:tc>
          <w:tcPr>
            <w:tcW w:w="7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net</w:t>
            </w: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0" w:type="dxa"/>
            <w:vAlign w:val="bottom"/>
          </w:tcPr>
          <w:p>
            <w:pPr>
              <w:spacing w:after="0"/>
              <w:rPr>
                <w:sz w:val="24"/>
                <w:szCs w:val="24"/>
                <w:color w:val="auto"/>
              </w:rPr>
            </w:pPr>
          </w:p>
        </w:tc>
        <w:tc>
          <w:tcPr>
            <w:tcW w:w="5120" w:type="dxa"/>
            <w:vAlign w:val="bottom"/>
            <w:gridSpan w:val="4"/>
          </w:tcPr>
          <w:p>
            <w:pPr>
              <w:spacing w:after="0"/>
              <w:rPr>
                <w:sz w:val="20"/>
                <w:szCs w:val="20"/>
                <w:color w:val="auto"/>
              </w:rPr>
            </w:pPr>
            <w:r>
              <w:rPr>
                <w:rFonts w:ascii="Arial" w:cs="Arial" w:eastAsia="Arial" w:hAnsi="Arial"/>
                <w:sz w:val="18"/>
                <w:szCs w:val="18"/>
                <w:color w:val="auto"/>
              </w:rPr>
              <w:t>Total income taxes</w:t>
            </w: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1,378.6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1,497.0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1,338.3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80" w:type="dxa"/>
            <w:vAlign w:val="bottom"/>
          </w:tcPr>
          <w:p>
            <w:pPr>
              <w:spacing w:after="0"/>
              <w:rPr>
                <w:sz w:val="10"/>
                <w:szCs w:val="10"/>
                <w:color w:val="auto"/>
              </w:rPr>
            </w:pPr>
          </w:p>
        </w:tc>
        <w:tc>
          <w:tcPr>
            <w:tcW w:w="220" w:type="dxa"/>
            <w:vAlign w:val="bottom"/>
            <w:tcBorders>
              <w:bottom w:val="single" w:sz="8" w:color="808080"/>
            </w:tcBorders>
            <w:gridSpan w:val="2"/>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5800" w:type="dxa"/>
            <w:vAlign w:val="bottom"/>
            <w:gridSpan w:val="5"/>
          </w:tcPr>
          <w:p>
            <w:pPr>
              <w:spacing w:after="0"/>
              <w:rPr>
                <w:sz w:val="20"/>
                <w:szCs w:val="20"/>
                <w:color w:val="auto"/>
              </w:rPr>
            </w:pPr>
            <w:r>
              <w:rPr>
                <w:rFonts w:ascii="Arial" w:cs="Arial" w:eastAsia="Arial" w:hAnsi="Arial"/>
                <w:sz w:val="18"/>
                <w:szCs w:val="18"/>
                <w:color w:val="auto"/>
                <w:w w:val="95"/>
              </w:rPr>
              <w:t>The following is a summary of the components of the deferred tax accounts</w:t>
            </w:r>
            <w:r>
              <w:rPr>
                <w:rFonts w:ascii="Arial" w:cs="Arial" w:eastAsia="Arial" w:hAnsi="Arial"/>
                <w:sz w:val="18"/>
                <w:szCs w:val="18"/>
                <w:b w:val="1"/>
                <w:bCs w:val="1"/>
                <w:color w:val="auto"/>
                <w:w w:val="95"/>
              </w:rPr>
              <w:t>:</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00" w:type="dxa"/>
            <w:vAlign w:val="bottom"/>
            <w:tcBorders>
              <w:bottom w:val="single" w:sz="8" w:color="808080"/>
            </w:tcBorders>
            <w:gridSpan w:val="2"/>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gridSpan w:val="2"/>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00" w:type="dxa"/>
            <w:vAlign w:val="bottom"/>
            <w:gridSpan w:val="2"/>
          </w:tcPr>
          <w:p>
            <w:pPr>
              <w:jc w:val="right"/>
              <w:ind w:right="433"/>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Provision for expense and losses</w:t>
            </w:r>
          </w:p>
        </w:tc>
        <w:tc>
          <w:tcPr>
            <w:tcW w:w="700" w:type="dxa"/>
            <w:vAlign w:val="bottom"/>
          </w:tcPr>
          <w:p>
            <w:pPr>
              <w:spacing w:after="0"/>
              <w:rPr>
                <w:sz w:val="18"/>
                <w:szCs w:val="18"/>
                <w:color w:val="auto"/>
              </w:rPr>
            </w:pP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1,847.9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1,109.1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Postretirement and other employee benefits</w:t>
            </w: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Tax credit and loss carryforwards</w:t>
            </w: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3,189.6</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2,287.4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700" w:type="dxa"/>
            <w:vAlign w:val="bottom"/>
          </w:tcPr>
          <w:p>
            <w:pPr>
              <w:spacing w:after="0"/>
              <w:rPr>
                <w:sz w:val="24"/>
                <w:szCs w:val="24"/>
                <w:color w:val="auto"/>
              </w:rPr>
            </w:pP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2,981.2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2,229.6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Property, equipment and intangible assets</w:t>
            </w:r>
          </w:p>
        </w:tc>
        <w:tc>
          <w:tcPr>
            <w:tcW w:w="700" w:type="dxa"/>
            <w:vAlign w:val="bottom"/>
          </w:tcPr>
          <w:p>
            <w:pPr>
              <w:spacing w:after="0"/>
              <w:rPr>
                <w:sz w:val="18"/>
                <w:szCs w:val="18"/>
                <w:color w:val="auto"/>
              </w:rPr>
            </w:pP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4"/>
              </w:rPr>
              <w:t>(4,122.9)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(2,381.6)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portfolio</w:t>
            </w: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700" w:type="dxa"/>
            <w:vAlign w:val="bottom"/>
          </w:tcPr>
          <w:p>
            <w:pPr>
              <w:spacing w:after="0"/>
              <w:rPr>
                <w:sz w:val="24"/>
                <w:szCs w:val="24"/>
                <w:color w:val="auto"/>
              </w:rPr>
            </w:pP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4"/>
              </w:rPr>
              <w:t>(4,363.3)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(2,646.0)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(1,382.1)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6469380</wp:posOffset>
            </wp:positionH>
            <wp:positionV relativeFrom="paragraph">
              <wp:posOffset>-4945380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-4945380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-3830320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-3830320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-3538855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-3538855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-2973070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-2973070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-2724150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-2724150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-1884045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-1884045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-1454785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-1454785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-1163320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-1163320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-597535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-597535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-306070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-306070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-14605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At December 31, 2004 and 2003, respectively, the Company had net current deferred tax assets of $215.0 million and $69.0 million. At December 31, 2004 and 2003, respectively, the Company had non-current deferred income tax liabilities of $1,597.1 million and $485.4 million. In 2004, deferred tax liabilities increased principally as a result of the recognition of the deferred tax impact associated with certain identifiable intangible assets. The Company included in "Other liabilities of discontinued operations" in 2004 and 2003, respectively, non-current deferred income tax liabilities of $240.4 million and $264.4 million, for its retained liabilities of discontinued business.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95" w:name="page96"/>
    <w:bookmarkEnd w:id="95"/>
    <w:p>
      <w:pPr>
        <w:jc w:val="center"/>
        <w:ind w:right="-5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31" w:lineRule="exact"/>
        <w:rPr>
          <w:sz w:val="20"/>
          <w:szCs w:val="20"/>
          <w:color w:val="auto"/>
        </w:rPr>
      </w:pPr>
    </w:p>
    <w:p>
      <w:pPr>
        <w:ind w:right="960" w:firstLine="341"/>
        <w:spacing w:after="0" w:line="332" w:lineRule="auto"/>
        <w:rPr>
          <w:sz w:val="20"/>
          <w:szCs w:val="20"/>
          <w:color w:val="auto"/>
        </w:rPr>
      </w:pPr>
      <w:r>
        <w:rPr>
          <w:rFonts w:ascii="Arial" w:cs="Arial" w:eastAsia="Arial" w:hAnsi="Arial"/>
          <w:sz w:val="16"/>
          <w:szCs w:val="16"/>
          <w:color w:val="auto"/>
        </w:rPr>
        <w:t>At December 31, 2004, the Company had net operating loss carryforwards for federal, state and local and foreign jurisdiction of approximately $518.7 million, which expire in various years from 2005 through 2019, and capital loss carryforwards of $193.8 million which expire in 2009.</w:t>
      </w:r>
    </w:p>
    <w:p>
      <w:pPr>
        <w:spacing w:after="0" w:line="139"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2004 and 2003 deferred tax assets were reduced by a valuation allowance of $208.4 million and $57.8 million, respectively, principally relating to tax benefits of net operating losses which are not expected to be realized.</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Company's share of the undistributed earnings of foreign subsidiaries not included in its consolidated federal income tax return that could be subject to additional income taxes if remitted was approximately $2.3 billion at December 31, 2004 and $2.0 billion at December 31, 2003. No provision has been recorded for the U.S. or foreign taxes that could result from the remittance of such undistributed earnings since the Company intends to distribute only the portion of such earnings which would be offset by U.S. foreign tax credits, and intends to reinvest the remainder outside the U.S. indefinitely, and for this portion it is not practicable to estimate the amount of such deferred taxes.</w:t>
      </w:r>
    </w:p>
    <w:p>
      <w:pPr>
        <w:spacing w:after="0" w:line="197"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The IRS is currently examining the years 2000 through 2003. In addition, the Company is responsible for the federal income tax audits of several of its subsidiaries for periods prior to their acquisition by Viacom. The Company believes that adequate provision has been made for income taxes for all periods through December 31, 2004.</w:t>
      </w:r>
    </w:p>
    <w:p>
      <w:pPr>
        <w:spacing w:after="0" w:line="188"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and certain of its subsidiaries have principally non-contributory pension plans covering specific groups of employees. The benefits for certain plans are based primarily on an employee's years of service and average pay near retirement. Benefits under other plans are based primarily on an employee's pay for each year that the employee participates in the plan. Participating employees are vested in the plans after five years of service. The Company's policy for all pension plans is to fund amounts in accordance with the Employee Retirement Income Security Act of 1974, the Internal Revenue code of 1986 and the applicable rules and regulations. Plan assets consist principally of equity securities, marketable bonds and U.S. government securities. The Company's Class B Common Stock represents approximately 2.3% and 4.8% of the plan assets' fair values at December 31, 2004 and 2003, respectively.</w:t>
      </w:r>
    </w:p>
    <w:p>
      <w:pPr>
        <w:spacing w:after="0" w:line="17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the Company sponsors health and welfare plans that provide certain postretirement health care and life insurance benefits to retired employees and their covered dependents. Retiring employees are eligible for these benefits if they meet certain age and service requirements at the time of their retirement. Most of the plans are contributory and contain cost-sharing features such as deductibles and coinsurance which are adjusted annually. Claims are paid either through certain trusts funded by the Company or by the Company's own funds.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 —(Continued)</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Company uses a December 31 measurement date for all pension and other postretirement benefit plans. The following table sets forth the change in benefit obligation for the Company's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189865</wp:posOffset>
            </wp:positionV>
            <wp:extent cx="6092825" cy="215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092825" cy="21590"/>
                    </a:xfrm>
                    <a:prstGeom prst="rect">
                      <a:avLst/>
                    </a:prstGeom>
                    <a:noFill/>
                  </pic:spPr>
                </pic:pic>
              </a:graphicData>
            </a:graphic>
          </wp:anchor>
        </w:drawing>
      </w:r>
    </w:p>
    <w:p>
      <w:pPr>
        <w:spacing w:after="0" w:line="39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Postretirement</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Pension Benefits</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right"/>
              <w:ind w:right="192"/>
              <w:spacing w:after="0" w:line="149" w:lineRule="exact"/>
              <w:rPr>
                <w:sz w:val="20"/>
                <w:szCs w:val="20"/>
                <w:color w:val="auto"/>
              </w:rPr>
            </w:pPr>
            <w:r>
              <w:rPr>
                <w:rFonts w:ascii="Arial" w:cs="Arial" w:eastAsia="Arial" w:hAnsi="Arial"/>
                <w:sz w:val="14"/>
                <w:szCs w:val="14"/>
                <w:b w:val="1"/>
                <w:bCs w:val="1"/>
                <w:color w:val="auto"/>
              </w:rPr>
              <w:t>Benefits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020" w:type="dxa"/>
            <w:vAlign w:val="bottom"/>
          </w:tcPr>
          <w:p>
            <w:pPr>
              <w:spacing w:after="0"/>
              <w:rPr>
                <w:sz w:val="15"/>
                <w:szCs w:val="15"/>
                <w:color w:val="auto"/>
              </w:rPr>
            </w:pPr>
          </w:p>
        </w:tc>
        <w:tc>
          <w:tcPr>
            <w:tcW w:w="1040" w:type="dxa"/>
            <w:vAlign w:val="bottom"/>
          </w:tcPr>
          <w:p>
            <w:pPr>
              <w:jc w:val="right"/>
              <w:ind w:right="536"/>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840" w:type="dxa"/>
            <w:vAlign w:val="bottom"/>
          </w:tcPr>
          <w:p>
            <w:pPr>
              <w:jc w:val="right"/>
              <w:ind w:right="434"/>
              <w:spacing w:after="0"/>
              <w:rPr>
                <w:sz w:val="20"/>
                <w:szCs w:val="20"/>
                <w:color w:val="auto"/>
              </w:rPr>
            </w:pPr>
            <w:r>
              <w:rPr>
                <w:rFonts w:ascii="Arial" w:cs="Arial" w:eastAsia="Arial" w:hAnsi="Arial"/>
                <w:sz w:val="14"/>
                <w:szCs w:val="14"/>
                <w:b w:val="1"/>
                <w:bCs w:val="1"/>
                <w:color w:val="auto"/>
                <w:w w:val="96"/>
              </w:rPr>
              <w:t>2003</w:t>
            </w:r>
          </w:p>
        </w:tc>
        <w:tc>
          <w:tcPr>
            <w:tcW w:w="320" w:type="dxa"/>
            <w:vAlign w:val="bottom"/>
          </w:tcPr>
          <w:p>
            <w:pPr>
              <w:spacing w:after="0"/>
              <w:rPr>
                <w:sz w:val="15"/>
                <w:szCs w:val="15"/>
                <w:color w:val="auto"/>
              </w:rPr>
            </w:pPr>
          </w:p>
        </w:tc>
        <w:tc>
          <w:tcPr>
            <w:tcW w:w="1060" w:type="dxa"/>
            <w:vAlign w:val="bottom"/>
          </w:tcPr>
          <w:p>
            <w:pPr>
              <w:jc w:val="right"/>
              <w:ind w:right="557"/>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780" w:type="dxa"/>
            <w:vAlign w:val="bottom"/>
          </w:tcPr>
          <w:p>
            <w:pPr>
              <w:jc w:val="right"/>
              <w:ind w:right="33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Benefit obligation, beginning of year</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5,693.2</w:t>
            </w: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5,577.0</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7"/>
              <w:spacing w:after="0"/>
              <w:rPr>
                <w:sz w:val="20"/>
                <w:szCs w:val="20"/>
                <w:color w:val="auto"/>
              </w:rPr>
            </w:pPr>
            <w:r>
              <w:rPr>
                <w:rFonts w:ascii="Arial" w:cs="Arial" w:eastAsia="Arial" w:hAnsi="Arial"/>
                <w:sz w:val="18"/>
                <w:szCs w:val="18"/>
                <w:color w:val="auto"/>
              </w:rPr>
              <w:t>1,250.6</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62.5</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2.9</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18"/>
                <w:szCs w:val="18"/>
                <w:color w:val="auto"/>
              </w:rPr>
            </w:pP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324.9</w:t>
            </w:r>
          </w:p>
        </w:tc>
        <w:tc>
          <w:tcPr>
            <w:tcW w:w="50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345.6</w:t>
            </w:r>
          </w:p>
        </w:tc>
        <w:tc>
          <w:tcPr>
            <w:tcW w:w="320" w:type="dxa"/>
            <w:vAlign w:val="bottom"/>
          </w:tcPr>
          <w:p>
            <w:pPr>
              <w:spacing w:after="0"/>
              <w:rPr>
                <w:sz w:val="18"/>
                <w:szCs w:val="18"/>
                <w:color w:val="auto"/>
              </w:rPr>
            </w:pPr>
          </w:p>
        </w:tc>
        <w:tc>
          <w:tcPr>
            <w:tcW w:w="1060" w:type="dxa"/>
            <w:vAlign w:val="bottom"/>
          </w:tcPr>
          <w:p>
            <w:pPr>
              <w:jc w:val="right"/>
              <w:ind w:right="157"/>
              <w:spacing w:after="0"/>
              <w:rPr>
                <w:sz w:val="20"/>
                <w:szCs w:val="20"/>
                <w:color w:val="auto"/>
              </w:rPr>
            </w:pPr>
            <w:r>
              <w:rPr>
                <w:rFonts w:ascii="Arial" w:cs="Arial" w:eastAsia="Arial" w:hAnsi="Arial"/>
                <w:sz w:val="18"/>
                <w:szCs w:val="18"/>
                <w:color w:val="auto"/>
              </w:rPr>
              <w:t>72.1</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Actuarial loss/(gain)</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262.4</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191.3</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12.4</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020" w:type="dxa"/>
            <w:vAlign w:val="bottom"/>
          </w:tcPr>
          <w:p>
            <w:pPr>
              <w:spacing w:after="0"/>
              <w:rPr>
                <w:sz w:val="18"/>
                <w:szCs w:val="18"/>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(492.8)</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(521.3)</w:t>
            </w:r>
          </w:p>
        </w:tc>
        <w:tc>
          <w:tcPr>
            <w:tcW w:w="320" w:type="dxa"/>
            <w:vAlign w:val="bottom"/>
          </w:tcPr>
          <w:p>
            <w:pPr>
              <w:spacing w:after="0"/>
              <w:rPr>
                <w:sz w:val="18"/>
                <w:szCs w:val="18"/>
                <w:color w:val="auto"/>
              </w:rPr>
            </w:pP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(93.1)</w:t>
            </w:r>
          </w:p>
        </w:tc>
        <w:tc>
          <w:tcPr>
            <w:tcW w:w="4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combinations</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8.0</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Participants' contributions</w:t>
            </w:r>
          </w:p>
        </w:tc>
        <w:tc>
          <w:tcPr>
            <w:tcW w:w="1020" w:type="dxa"/>
            <w:vAlign w:val="bottom"/>
          </w:tcPr>
          <w:p>
            <w:pPr>
              <w:spacing w:after="0"/>
              <w:rPr>
                <w:sz w:val="18"/>
                <w:szCs w:val="18"/>
                <w:color w:val="auto"/>
              </w:rPr>
            </w:pP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060" w:type="dxa"/>
            <w:vAlign w:val="bottom"/>
          </w:tcPr>
          <w:p>
            <w:pPr>
              <w:jc w:val="right"/>
              <w:ind w:right="157"/>
              <w:spacing w:after="0"/>
              <w:rPr>
                <w:sz w:val="20"/>
                <w:szCs w:val="20"/>
                <w:color w:val="auto"/>
              </w:rPr>
            </w:pPr>
            <w:r>
              <w:rPr>
                <w:rFonts w:ascii="Arial" w:cs="Arial" w:eastAsia="Arial" w:hAnsi="Arial"/>
                <w:sz w:val="18"/>
                <w:szCs w:val="18"/>
                <w:color w:val="auto"/>
              </w:rPr>
              <w:t>14.5</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Amendments</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Cumulative translation adjustments</w:t>
            </w:r>
          </w:p>
        </w:tc>
        <w:tc>
          <w:tcPr>
            <w:tcW w:w="1020" w:type="dxa"/>
            <w:vAlign w:val="bottom"/>
          </w:tcPr>
          <w:p>
            <w:pPr>
              <w:spacing w:after="0"/>
              <w:rPr>
                <w:sz w:val="19"/>
                <w:szCs w:val="19"/>
                <w:color w:val="auto"/>
              </w:rPr>
            </w:pP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18.7</w:t>
            </w:r>
          </w:p>
        </w:tc>
        <w:tc>
          <w:tcPr>
            <w:tcW w:w="50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38.3</w:t>
            </w:r>
          </w:p>
        </w:tc>
        <w:tc>
          <w:tcPr>
            <w:tcW w:w="320" w:type="dxa"/>
            <w:vAlign w:val="bottom"/>
          </w:tcPr>
          <w:p>
            <w:pPr>
              <w:spacing w:after="0"/>
              <w:rPr>
                <w:sz w:val="19"/>
                <w:szCs w:val="19"/>
                <w:color w:val="auto"/>
              </w:rPr>
            </w:pPr>
          </w:p>
        </w:tc>
        <w:tc>
          <w:tcPr>
            <w:tcW w:w="106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obligation, end of year</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5,877.1</w:t>
            </w:r>
          </w:p>
        </w:tc>
        <w:tc>
          <w:tcPr>
            <w:tcW w:w="5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5,693.2</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1,259.4</w:t>
            </w:r>
          </w:p>
        </w:tc>
        <w:tc>
          <w:tcPr>
            <w:tcW w:w="4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6631940</wp:posOffset>
            </wp:positionH>
            <wp:positionV relativeFrom="paragraph">
              <wp:posOffset>-1832610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-1832610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-306070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-306070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-14605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-14605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change in plan assets for the Company's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214630</wp:posOffset>
            </wp:positionV>
            <wp:extent cx="6161405" cy="215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16140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Pension Benefits</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1"/>
              </w:rPr>
              <w:t>Postretirement Benefits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80" w:type="dxa"/>
            <w:vAlign w:val="bottom"/>
            <w:gridSpan w:val="2"/>
          </w:tcPr>
          <w:p>
            <w:pPr>
              <w:ind w:left="820"/>
              <w:spacing w:after="0"/>
              <w:rPr>
                <w:sz w:val="20"/>
                <w:szCs w:val="20"/>
                <w:color w:val="auto"/>
              </w:rPr>
            </w:pPr>
            <w:r>
              <w:rPr>
                <w:rFonts w:ascii="Arial" w:cs="Arial" w:eastAsia="Arial" w:hAnsi="Arial"/>
                <w:sz w:val="14"/>
                <w:szCs w:val="14"/>
                <w:b w:val="1"/>
                <w:bCs w:val="1"/>
                <w:color w:val="auto"/>
              </w:rPr>
              <w:t>At December 31,</w:t>
            </w:r>
          </w:p>
        </w:tc>
        <w:tc>
          <w:tcPr>
            <w:tcW w:w="1560" w:type="dxa"/>
            <w:vAlign w:val="bottom"/>
          </w:tcPr>
          <w:p>
            <w:pPr>
              <w:spacing w:after="0"/>
              <w:rPr>
                <w:sz w:val="15"/>
                <w:szCs w:val="15"/>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5"/>
                <w:szCs w:val="15"/>
                <w:color w:val="auto"/>
              </w:rPr>
            </w:pPr>
          </w:p>
        </w:tc>
        <w:tc>
          <w:tcPr>
            <w:tcW w:w="840" w:type="dxa"/>
            <w:vAlign w:val="bottom"/>
          </w:tcPr>
          <w:p>
            <w:pPr>
              <w:jc w:val="right"/>
              <w:ind w:right="474"/>
              <w:spacing w:after="0"/>
              <w:rPr>
                <w:sz w:val="20"/>
                <w:szCs w:val="20"/>
                <w:color w:val="auto"/>
              </w:rPr>
            </w:pPr>
            <w:r>
              <w:rPr>
                <w:rFonts w:ascii="Arial" w:cs="Arial" w:eastAsia="Arial" w:hAnsi="Arial"/>
                <w:sz w:val="14"/>
                <w:szCs w:val="14"/>
                <w:b w:val="1"/>
                <w:bCs w:val="1"/>
                <w:color w:val="auto"/>
                <w:w w:val="83"/>
              </w:rPr>
              <w:t>2003</w:t>
            </w:r>
          </w:p>
        </w:tc>
        <w:tc>
          <w:tcPr>
            <w:tcW w:w="240" w:type="dxa"/>
            <w:vAlign w:val="bottom"/>
          </w:tcPr>
          <w:p>
            <w:pPr>
              <w:spacing w:after="0"/>
              <w:rPr>
                <w:sz w:val="15"/>
                <w:szCs w:val="15"/>
                <w:color w:val="auto"/>
              </w:rPr>
            </w:pPr>
          </w:p>
        </w:tc>
        <w:tc>
          <w:tcPr>
            <w:tcW w:w="760" w:type="dxa"/>
            <w:vAlign w:val="bottom"/>
          </w:tcPr>
          <w:p>
            <w:pPr>
              <w:jc w:val="right"/>
              <w:ind w:right="316"/>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720" w:type="dxa"/>
            <w:vAlign w:val="bottom"/>
          </w:tcPr>
          <w:p>
            <w:pPr>
              <w:jc w:val="right"/>
              <w:ind w:right="25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20" w:type="dxa"/>
            <w:vAlign w:val="bottom"/>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Fair value of plan assets, beginning of year</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4,466.4</w:t>
            </w:r>
          </w:p>
        </w:tc>
        <w:tc>
          <w:tcPr>
            <w:tcW w:w="4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4,248.9</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96.0</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305.8</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531.8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56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203.0</w:t>
            </w:r>
          </w:p>
        </w:tc>
        <w:tc>
          <w:tcPr>
            <w:tcW w:w="46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167.1</w:t>
            </w:r>
          </w:p>
        </w:tc>
        <w:tc>
          <w:tcPr>
            <w:tcW w:w="24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80.3</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Business combinations</w:t>
            </w:r>
          </w:p>
        </w:tc>
        <w:tc>
          <w:tcPr>
            <w:tcW w:w="156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Participants' contributions</w:t>
            </w:r>
          </w:p>
        </w:tc>
        <w:tc>
          <w:tcPr>
            <w:tcW w:w="1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Cumulative translation adjustments</w:t>
            </w:r>
          </w:p>
        </w:tc>
        <w:tc>
          <w:tcPr>
            <w:tcW w:w="156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17.2</w:t>
            </w:r>
          </w:p>
        </w:tc>
        <w:tc>
          <w:tcPr>
            <w:tcW w:w="46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19"/>
                <w:szCs w:val="19"/>
                <w:color w:val="auto"/>
              </w:rPr>
            </w:pP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820" w:type="dxa"/>
            <w:vAlign w:val="bottom"/>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end of year</w:t>
            </w: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4,505.3</w:t>
            </w:r>
          </w:p>
        </w:tc>
        <w:tc>
          <w:tcPr>
            <w:tcW w:w="4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4,466.4</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98.5</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8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II-61</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-2055495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-2055495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-803275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-803275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-511810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-511810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jc w:val="center"/>
        <w:ind w:right="-2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accrued pension and postretirement costs recognized in the Company's Consolidated Balance Sheets were computed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598920" cy="215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59892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Postretirement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Pension Benefits</w:t>
            </w: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rPr>
              <w:t>Benefits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680" w:type="dxa"/>
            <w:vAlign w:val="bottom"/>
          </w:tcPr>
          <w:p>
            <w:pPr>
              <w:spacing w:after="0"/>
              <w:rPr>
                <w:sz w:val="15"/>
                <w:szCs w:val="15"/>
                <w:color w:val="auto"/>
              </w:rPr>
            </w:pPr>
          </w:p>
        </w:tc>
        <w:tc>
          <w:tcPr>
            <w:tcW w:w="1020" w:type="dxa"/>
            <w:vAlign w:val="bottom"/>
          </w:tcPr>
          <w:p>
            <w:pPr>
              <w:jc w:val="right"/>
              <w:ind w:right="476"/>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880" w:type="dxa"/>
            <w:vAlign w:val="bottom"/>
          </w:tcPr>
          <w:p>
            <w:pPr>
              <w:jc w:val="right"/>
              <w:ind w:right="474"/>
              <w:spacing w:after="0"/>
              <w:rPr>
                <w:sz w:val="20"/>
                <w:szCs w:val="20"/>
                <w:color w:val="auto"/>
              </w:rPr>
            </w:pPr>
            <w:r>
              <w:rPr>
                <w:rFonts w:ascii="Arial" w:cs="Arial" w:eastAsia="Arial" w:hAnsi="Arial"/>
                <w:sz w:val="14"/>
                <w:szCs w:val="14"/>
                <w:b w:val="1"/>
                <w:bCs w:val="1"/>
                <w:color w:val="auto"/>
                <w:w w:val="96"/>
              </w:rPr>
              <w:t>2003</w:t>
            </w:r>
          </w:p>
        </w:tc>
        <w:tc>
          <w:tcPr>
            <w:tcW w:w="340" w:type="dxa"/>
            <w:vAlign w:val="bottom"/>
          </w:tcPr>
          <w:p>
            <w:pPr>
              <w:spacing w:after="0"/>
              <w:rPr>
                <w:sz w:val="15"/>
                <w:szCs w:val="15"/>
                <w:color w:val="auto"/>
              </w:rPr>
            </w:pPr>
          </w:p>
        </w:tc>
        <w:tc>
          <w:tcPr>
            <w:tcW w:w="1040" w:type="dxa"/>
            <w:vAlign w:val="bottom"/>
          </w:tcPr>
          <w:p>
            <w:pPr>
              <w:jc w:val="right"/>
              <w:ind w:right="497"/>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5"/>
                <w:szCs w:val="15"/>
                <w:color w:val="auto"/>
              </w:rPr>
            </w:pPr>
          </w:p>
        </w:tc>
        <w:tc>
          <w:tcPr>
            <w:tcW w:w="800" w:type="dxa"/>
            <w:vAlign w:val="bottom"/>
          </w:tcPr>
          <w:p>
            <w:pPr>
              <w:jc w:val="right"/>
              <w:ind w:right="37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(1,371.8)</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(1,160.9)</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Unrecognized transition obligation</w:t>
            </w:r>
          </w:p>
        </w:tc>
        <w:tc>
          <w:tcPr>
            <w:tcW w:w="68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 (benefit)</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12.1</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Unrecognized actuarial loss</w:t>
            </w:r>
          </w:p>
        </w:tc>
        <w:tc>
          <w:tcPr>
            <w:tcW w:w="68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1,106.6</w:t>
            </w:r>
          </w:p>
        </w:tc>
        <w:tc>
          <w:tcPr>
            <w:tcW w:w="48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884.0</w:t>
            </w:r>
          </w:p>
        </w:tc>
        <w:tc>
          <w:tcPr>
            <w:tcW w:w="340" w:type="dxa"/>
            <w:vAlign w:val="bottom"/>
          </w:tcPr>
          <w:p>
            <w:pPr>
              <w:spacing w:after="0"/>
              <w:rPr>
                <w:sz w:val="19"/>
                <w:szCs w:val="19"/>
                <w:color w:val="auto"/>
              </w:rPr>
            </w:pP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156.9</w:t>
            </w:r>
          </w:p>
        </w:tc>
        <w:tc>
          <w:tcPr>
            <w:tcW w:w="4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 liability</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(1,008.6)</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(1,013.5)</w:t>
            </w:r>
          </w:p>
        </w:tc>
        <w:tc>
          <w:tcPr>
            <w:tcW w:w="0" w:type="dxa"/>
            <w:vAlign w:val="bottom"/>
          </w:tcPr>
          <w:p>
            <w:pPr>
              <w:spacing w:after="0"/>
              <w:rPr>
                <w:sz w:val="1"/>
                <w:szCs w:val="1"/>
                <w:color w:val="auto"/>
              </w:rPr>
            </w:pPr>
          </w:p>
        </w:tc>
      </w:tr>
      <w:tr>
        <w:trPr>
          <w:trHeight w:val="45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w w:val="94"/>
              </w:rPr>
              <w:t>Amounts recognized in the Consolidated Balance Sheets:</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liability</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(1,008.6)</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Prepaid benefits cost</w:t>
            </w:r>
          </w:p>
        </w:tc>
        <w:tc>
          <w:tcPr>
            <w:tcW w:w="68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17.2</w:t>
            </w:r>
          </w:p>
        </w:tc>
        <w:tc>
          <w:tcPr>
            <w:tcW w:w="48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17.3</w:t>
            </w:r>
          </w:p>
        </w:tc>
        <w:tc>
          <w:tcPr>
            <w:tcW w:w="34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Accumulated other comprehensive pre-tax loss(1)</w:t>
            </w:r>
          </w:p>
        </w:tc>
        <w:tc>
          <w:tcPr>
            <w:tcW w:w="68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950.3</w:t>
            </w:r>
          </w:p>
        </w:tc>
        <w:tc>
          <w:tcPr>
            <w:tcW w:w="48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756.8</w:t>
            </w:r>
          </w:p>
        </w:tc>
        <w:tc>
          <w:tcPr>
            <w:tcW w:w="340" w:type="dxa"/>
            <w:vAlign w:val="bottom"/>
          </w:tcPr>
          <w:p>
            <w:pPr>
              <w:spacing w:after="0"/>
              <w:rPr>
                <w:sz w:val="19"/>
                <w:szCs w:val="19"/>
                <w:color w:val="auto"/>
              </w:rPr>
            </w:pP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liability recognized</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(1,008.6)</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-2141220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-2141220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-1437640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-306070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-14605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Reflects a minimum liability increase of $193.5 million in 2004 and a minimum liability decrease of $88.7 million in 2003.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accumulated benefit obligation for all defined pension plans was $5,710.2 million and $5,549.4 million at December 31, 2004 and 2003, respectively.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for pension plans with an accumulated benefit obligation in excess of plan assets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214630</wp:posOffset>
            </wp:positionV>
            <wp:extent cx="5578475"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4"/>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2360" w:type="dxa"/>
            <w:vAlign w:val="bottom"/>
          </w:tcPr>
          <w:p>
            <w:pPr>
              <w:spacing w:after="0"/>
              <w:rPr>
                <w:sz w:val="15"/>
                <w:szCs w:val="15"/>
                <w:color w:val="auto"/>
              </w:rPr>
            </w:pPr>
          </w:p>
        </w:tc>
        <w:tc>
          <w:tcPr>
            <w:tcW w:w="1000" w:type="dxa"/>
            <w:vAlign w:val="bottom"/>
          </w:tcPr>
          <w:p>
            <w:pPr>
              <w:jc w:val="right"/>
              <w:ind w:right="477"/>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740" w:type="dxa"/>
            <w:vAlign w:val="bottom"/>
          </w:tcPr>
          <w:p>
            <w:pPr>
              <w:jc w:val="right"/>
              <w:ind w:right="257"/>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5,791.2</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2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7"/>
              <w:spacing w:after="0"/>
              <w:rPr>
                <w:sz w:val="20"/>
                <w:szCs w:val="20"/>
                <w:color w:val="auto"/>
              </w:rPr>
            </w:pPr>
            <w:r>
              <w:rPr>
                <w:rFonts w:ascii="Arial" w:cs="Arial" w:eastAsia="Arial" w:hAnsi="Arial"/>
                <w:sz w:val="18"/>
                <w:szCs w:val="18"/>
                <w:color w:val="auto"/>
              </w:rPr>
              <w:t>5,630.0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2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4,400.9</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-580390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-580390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-14605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periodic cost for the Company's pension and postretirement benefit plans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890385" cy="215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9038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Postretirement</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6"/>
              </w:rPr>
              <w:t>Pension Benefits</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86"/>
              </w:rPr>
              <w:t>Benefits</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080" w:type="dxa"/>
            <w:vAlign w:val="bottom"/>
          </w:tcPr>
          <w:p>
            <w:pPr>
              <w:spacing w:after="0"/>
              <w:rPr>
                <w:sz w:val="15"/>
                <w:szCs w:val="15"/>
                <w:color w:val="auto"/>
              </w:rPr>
            </w:pPr>
          </w:p>
        </w:tc>
        <w:tc>
          <w:tcPr>
            <w:tcW w:w="920" w:type="dxa"/>
            <w:vAlign w:val="bottom"/>
          </w:tcPr>
          <w:p>
            <w:pPr>
              <w:jc w:val="right"/>
              <w:ind w:right="435"/>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900" w:type="dxa"/>
            <w:vAlign w:val="bottom"/>
          </w:tcPr>
          <w:p>
            <w:pPr>
              <w:jc w:val="right"/>
              <w:ind w:right="415"/>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900" w:type="dxa"/>
            <w:vAlign w:val="bottom"/>
          </w:tcPr>
          <w:p>
            <w:pPr>
              <w:jc w:val="right"/>
              <w:ind w:right="415"/>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700" w:type="dxa"/>
            <w:vAlign w:val="bottom"/>
          </w:tcPr>
          <w:p>
            <w:pPr>
              <w:jc w:val="right"/>
              <w:ind w:right="27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78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15"/>
                <w:szCs w:val="15"/>
                <w:color w:val="auto"/>
              </w:rPr>
            </w:pPr>
          </w:p>
        </w:tc>
        <w:tc>
          <w:tcPr>
            <w:tcW w:w="600" w:type="dxa"/>
            <w:vAlign w:val="bottom"/>
          </w:tcPr>
          <w:p>
            <w:pPr>
              <w:jc w:val="right"/>
              <w:ind w:right="175"/>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cost:</w:t>
            </w: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62.5</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58.2</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50.2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7"/>
              <w:spacing w:after="0"/>
              <w:rPr>
                <w:sz w:val="20"/>
                <w:szCs w:val="20"/>
                <w:color w:val="auto"/>
              </w:rPr>
            </w:pPr>
            <w:r>
              <w:rPr>
                <w:rFonts w:ascii="Arial" w:cs="Arial" w:eastAsia="Arial" w:hAnsi="Arial"/>
                <w:sz w:val="18"/>
                <w:szCs w:val="18"/>
                <w:color w:val="auto"/>
              </w:rPr>
              <w:t>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324.9</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345.6</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347.6</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72.1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80.3</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(295.4)</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(354.7)</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transition obligation</w:t>
            </w: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Amortization of prior service cost</w:t>
            </w:r>
          </w:p>
        </w:tc>
        <w:tc>
          <w:tcPr>
            <w:tcW w:w="108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Recognized actuarial loss (gain)</w:t>
            </w: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36.9</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46.1</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Net periodic cost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128.3</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155.5</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49.1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75.4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7"/>
              <w:spacing w:after="0"/>
              <w:rPr>
                <w:sz w:val="20"/>
                <w:szCs w:val="20"/>
                <w:color w:val="auto"/>
              </w:rPr>
            </w:pPr>
            <w:r>
              <w:rPr>
                <w:rFonts w:ascii="Arial" w:cs="Arial" w:eastAsia="Arial" w:hAnsi="Arial"/>
                <w:sz w:val="18"/>
                <w:szCs w:val="18"/>
                <w:color w:val="auto"/>
              </w:rPr>
              <w:t>85.1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-1420495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-1420495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-306070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p>
      <w:pPr>
        <w:spacing w:after="0" w:line="31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5921375" cy="215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92137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080" w:type="dxa"/>
            <w:vAlign w:val="bottom"/>
            <w:gridSpan w:val="2"/>
          </w:tcPr>
          <w:p>
            <w:pPr>
              <w:ind w:left="400"/>
              <w:spacing w:after="0"/>
              <w:rPr>
                <w:sz w:val="20"/>
                <w:szCs w:val="20"/>
                <w:color w:val="auto"/>
              </w:rPr>
            </w:pPr>
            <w:r>
              <w:rPr>
                <w:rFonts w:ascii="Arial" w:cs="Arial" w:eastAsia="Arial" w:hAnsi="Arial"/>
                <w:sz w:val="14"/>
                <w:szCs w:val="14"/>
                <w:b w:val="1"/>
                <w:bCs w:val="1"/>
                <w:color w:val="auto"/>
              </w:rPr>
              <w:t>Pension Benefits</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Benefits</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040" w:type="dxa"/>
            <w:vAlign w:val="bottom"/>
          </w:tcPr>
          <w:p>
            <w:pPr>
              <w:ind w:left="220"/>
              <w:spacing w:after="0"/>
              <w:rPr>
                <w:sz w:val="20"/>
                <w:szCs w:val="20"/>
                <w:color w:val="auto"/>
              </w:rPr>
            </w:pPr>
            <w:r>
              <w:rPr>
                <w:rFonts w:ascii="Arial" w:cs="Arial" w:eastAsia="Arial" w:hAnsi="Arial"/>
                <w:sz w:val="14"/>
                <w:szCs w:val="14"/>
                <w:b w:val="1"/>
                <w:bCs w:val="1"/>
                <w:color w:val="auto"/>
              </w:rPr>
              <w:t>2004</w:t>
            </w: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2003</w:t>
            </w:r>
          </w:p>
        </w:tc>
        <w:tc>
          <w:tcPr>
            <w:tcW w:w="1200" w:type="dxa"/>
            <w:vAlign w:val="bottom"/>
          </w:tcPr>
          <w:p>
            <w:pPr>
              <w:jc w:val="right"/>
              <w:ind w:right="620"/>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89"/>
              </w:rPr>
              <w:t>Weighted-average assumptions used to determine benefit obligations at</w:t>
            </w:r>
          </w:p>
        </w:tc>
        <w:tc>
          <w:tcPr>
            <w:tcW w:w="1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w:t>
            </w:r>
          </w:p>
        </w:tc>
        <w:tc>
          <w:tcPr>
            <w:tcW w:w="10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Discount rate</w:t>
            </w:r>
          </w:p>
        </w:tc>
        <w:tc>
          <w:tcPr>
            <w:tcW w:w="1040" w:type="dxa"/>
            <w:vAlign w:val="bottom"/>
          </w:tcPr>
          <w:p>
            <w:pPr>
              <w:ind w:left="420"/>
              <w:spacing w:after="0"/>
              <w:rPr>
                <w:sz w:val="20"/>
                <w:szCs w:val="20"/>
                <w:color w:val="auto"/>
              </w:rPr>
            </w:pPr>
            <w:r>
              <w:rPr>
                <w:rFonts w:ascii="Arial" w:cs="Arial" w:eastAsia="Arial" w:hAnsi="Arial"/>
                <w:sz w:val="18"/>
                <w:szCs w:val="18"/>
                <w:color w:val="auto"/>
              </w:rPr>
              <w:t>5.7%</w:t>
            </w: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6.0%</w:t>
            </w:r>
          </w:p>
        </w:tc>
        <w:tc>
          <w:tcPr>
            <w:tcW w:w="1200" w:type="dxa"/>
            <w:vAlign w:val="bottom"/>
          </w:tcPr>
          <w:p>
            <w:pPr>
              <w:jc w:val="right"/>
              <w:ind w:right="320"/>
              <w:spacing w:after="0"/>
              <w:rPr>
                <w:sz w:val="20"/>
                <w:szCs w:val="20"/>
                <w:color w:val="auto"/>
              </w:rPr>
            </w:pPr>
            <w:r>
              <w:rPr>
                <w:rFonts w:ascii="Arial" w:cs="Arial" w:eastAsia="Arial" w:hAnsi="Arial"/>
                <w:sz w:val="18"/>
                <w:szCs w:val="18"/>
                <w:color w:val="auto"/>
              </w:rPr>
              <w:t>5.8%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 of compensation increase</w:t>
            </w: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3.5%</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3.5%</w:t>
            </w:r>
          </w:p>
        </w:tc>
        <w:tc>
          <w:tcPr>
            <w:tcW w:w="1200" w:type="dxa"/>
            <w:vAlign w:val="bottom"/>
            <w:shd w:val="clear" w:color="auto" w:fill="CCEEFF"/>
          </w:tcPr>
          <w:p>
            <w:pPr>
              <w:jc w:val="right"/>
              <w:ind w:right="48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45"/>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w w:val="90"/>
              </w:rPr>
              <w:t>Weighted-average assumptions used to determine net periodic cost for</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Discount rate</w:t>
            </w: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6.0%</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6.5%</w:t>
            </w:r>
          </w:p>
        </w:tc>
        <w:tc>
          <w:tcPr>
            <w:tcW w:w="1200" w:type="dxa"/>
            <w:vAlign w:val="bottom"/>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Expected long-term return on plan assets</w:t>
            </w:r>
          </w:p>
        </w:tc>
        <w:tc>
          <w:tcPr>
            <w:tcW w:w="1040" w:type="dxa"/>
            <w:vAlign w:val="bottom"/>
          </w:tcPr>
          <w:p>
            <w:pPr>
              <w:ind w:left="420"/>
              <w:spacing w:after="0"/>
              <w:rPr>
                <w:sz w:val="20"/>
                <w:szCs w:val="20"/>
                <w:color w:val="auto"/>
              </w:rPr>
            </w:pPr>
            <w:r>
              <w:rPr>
                <w:rFonts w:ascii="Arial" w:cs="Arial" w:eastAsia="Arial" w:hAnsi="Arial"/>
                <w:sz w:val="18"/>
                <w:szCs w:val="18"/>
                <w:color w:val="auto"/>
              </w:rPr>
              <w:t>7.0%</w:t>
            </w: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7.3%</w:t>
            </w:r>
          </w:p>
        </w:tc>
        <w:tc>
          <w:tcPr>
            <w:tcW w:w="1200" w:type="dxa"/>
            <w:vAlign w:val="bottom"/>
          </w:tcPr>
          <w:p>
            <w:pPr>
              <w:jc w:val="right"/>
              <w:ind w:right="320"/>
              <w:spacing w:after="0"/>
              <w:rPr>
                <w:sz w:val="20"/>
                <w:szCs w:val="20"/>
                <w:color w:val="auto"/>
              </w:rPr>
            </w:pPr>
            <w:r>
              <w:rPr>
                <w:rFonts w:ascii="Arial" w:cs="Arial" w:eastAsia="Arial" w:hAnsi="Arial"/>
                <w:sz w:val="18"/>
                <w:szCs w:val="18"/>
                <w:color w:val="auto"/>
              </w:rPr>
              <w:t>2.0%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 of compensation increase</w:t>
            </w: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3.5%</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4.0%</w:t>
            </w:r>
          </w:p>
        </w:tc>
        <w:tc>
          <w:tcPr>
            <w:tcW w:w="1200" w:type="dxa"/>
            <w:vAlign w:val="bottom"/>
            <w:shd w:val="clear" w:color="auto" w:fill="CCEEFF"/>
          </w:tcPr>
          <w:p>
            <w:pPr>
              <w:jc w:val="right"/>
              <w:ind w:right="48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-1557655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-14605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N/A</w:t>
        <w:tab/>
        <w:t>—not applicable</w:t>
      </w:r>
    </w:p>
    <w:p>
      <w:pPr>
        <w:spacing w:after="0" w:line="239"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expected long-term returns on plan assets were based upon the target asset allocation and return estimates for equity and debt securities. The expected rate of return for equities was based upon the risk-free rate plus a premium for equity securities. The expected return on debt securities was based upon an analysis of current and historical yields on portfolios of similar quality and duration.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assumptions were also used in accounting for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214630</wp:posOffset>
            </wp:positionV>
            <wp:extent cx="5192395" cy="215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5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620" w:type="dxa"/>
            <w:vAlign w:val="bottom"/>
          </w:tcPr>
          <w:p>
            <w:pPr>
              <w:jc w:val="right"/>
              <w:ind w:right="356"/>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Projected health care cost trend rate for participants of age 65 and below</w:t>
            </w:r>
          </w:p>
        </w:tc>
        <w:tc>
          <w:tcPr>
            <w:tcW w:w="1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Projected health care cost trend rate for participants above age 65</w:t>
            </w:r>
          </w:p>
        </w:tc>
        <w:tc>
          <w:tcPr>
            <w:tcW w:w="1620" w:type="dxa"/>
            <w:vAlign w:val="bottom"/>
          </w:tcPr>
          <w:p>
            <w:pPr>
              <w:jc w:val="right"/>
              <w:ind w:right="56"/>
              <w:spacing w:after="0"/>
              <w:rPr>
                <w:sz w:val="20"/>
                <w:szCs w:val="20"/>
                <w:color w:val="auto"/>
              </w:rPr>
            </w:pPr>
            <w:r>
              <w:rPr>
                <w:rFonts w:ascii="Arial" w:cs="Arial" w:eastAsia="Arial" w:hAnsi="Arial"/>
                <w:sz w:val="18"/>
                <w:szCs w:val="18"/>
                <w:color w:val="auto"/>
              </w:rPr>
              <w:t>10.0%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Ultimate trend rate</w:t>
            </w:r>
          </w:p>
        </w:tc>
        <w:tc>
          <w:tcPr>
            <w:tcW w:w="1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Year ultimate trend rate is achieved for participants of age 65 and below</w:t>
            </w:r>
          </w:p>
        </w:tc>
        <w:tc>
          <w:tcPr>
            <w:tcW w:w="1620" w:type="dxa"/>
            <w:vAlign w:val="bottom"/>
          </w:tcPr>
          <w:p>
            <w:pPr>
              <w:jc w:val="right"/>
              <w:ind w:right="196"/>
              <w:spacing w:after="0"/>
              <w:rPr>
                <w:sz w:val="20"/>
                <w:szCs w:val="20"/>
                <w:color w:val="auto"/>
              </w:rPr>
            </w:pPr>
            <w:r>
              <w:rPr>
                <w:rFonts w:ascii="Arial" w:cs="Arial" w:eastAsia="Arial" w:hAnsi="Arial"/>
                <w:sz w:val="18"/>
                <w:szCs w:val="18"/>
                <w:color w:val="auto"/>
              </w:rPr>
              <w:t>2013</w:t>
            </w:r>
          </w:p>
        </w:tc>
        <w:tc>
          <w:tcPr>
            <w:tcW w:w="560" w:type="dxa"/>
            <w:vAlign w:val="bottom"/>
          </w:tcPr>
          <w:p>
            <w:pPr>
              <w:jc w:val="right"/>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Year ultimate trend rate is achieved for participants above age 65</w:t>
            </w:r>
          </w:p>
        </w:tc>
        <w:tc>
          <w:tcPr>
            <w:tcW w:w="16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2015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-854710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-854710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-14605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-14605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Assumed health care cost trend rates could have a significant effect on the amounts reported for the postretirement health care plan. A one percentage point change in assumed health care cost trend rates would have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6452870" cy="215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040" w:type="dxa"/>
            <w:vAlign w:val="bottom"/>
          </w:tcPr>
          <w:p>
            <w:pPr>
              <w:jc w:val="right"/>
              <w:spacing w:after="0"/>
              <w:rPr>
                <w:sz w:val="20"/>
                <w:szCs w:val="20"/>
                <w:color w:val="auto"/>
              </w:rPr>
            </w:pPr>
            <w:r>
              <w:rPr>
                <w:rFonts w:ascii="Arial" w:cs="Arial" w:eastAsia="Arial" w:hAnsi="Arial"/>
                <w:sz w:val="14"/>
                <w:szCs w:val="14"/>
                <w:b w:val="1"/>
                <w:bCs w:val="1"/>
                <w:color w:val="auto"/>
              </w:rPr>
              <w:t>One Percentage Point</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One Percentage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040" w:type="dxa"/>
            <w:vAlign w:val="bottom"/>
          </w:tcPr>
          <w:p>
            <w:pPr>
              <w:jc w:val="right"/>
              <w:ind w:right="400"/>
              <w:spacing w:after="0"/>
              <w:rPr>
                <w:sz w:val="20"/>
                <w:szCs w:val="20"/>
                <w:color w:val="auto"/>
              </w:rPr>
            </w:pPr>
            <w:r>
              <w:rPr>
                <w:rFonts w:ascii="Arial" w:cs="Arial" w:eastAsia="Arial" w:hAnsi="Arial"/>
                <w:sz w:val="14"/>
                <w:szCs w:val="14"/>
                <w:b w:val="1"/>
                <w:bCs w:val="1"/>
                <w:color w:val="auto"/>
              </w:rPr>
              <w:t>Increase</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Point Decrease</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30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30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Effect on total of service and interest cost components</w:t>
            </w:r>
          </w:p>
        </w:tc>
        <w:tc>
          <w:tcPr>
            <w:tcW w:w="3040" w:type="dxa"/>
            <w:vAlign w:val="bottom"/>
            <w:shd w:val="clear" w:color="auto" w:fill="CCEEFF"/>
          </w:tcPr>
          <w:p>
            <w:pPr>
              <w:jc w:val="right"/>
              <w:ind w:right="16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Effect on the accumulated postretirement benefit obligation</w:t>
            </w:r>
          </w:p>
        </w:tc>
        <w:tc>
          <w:tcPr>
            <w:tcW w:w="3040" w:type="dxa"/>
            <w:vAlign w:val="bottom"/>
          </w:tcPr>
          <w:p>
            <w:pPr>
              <w:jc w:val="right"/>
              <w:ind w:right="16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61.6</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(55.4)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30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040" w:type="dxa"/>
            <w:vAlign w:val="bottom"/>
          </w:tcPr>
          <w:p>
            <w:pPr>
              <w:jc w:val="right"/>
              <w:ind w:right="1940"/>
              <w:spacing w:after="0"/>
              <w:rPr>
                <w:sz w:val="20"/>
                <w:szCs w:val="20"/>
                <w:color w:val="auto"/>
              </w:rPr>
            </w:pPr>
            <w:r>
              <w:rPr>
                <w:rFonts w:ascii="Arial" w:cs="Arial" w:eastAsia="Arial" w:hAnsi="Arial"/>
                <w:sz w:val="18"/>
                <w:szCs w:val="18"/>
                <w:color w:val="auto"/>
              </w:rPr>
              <w:t>II-63</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-940435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-940435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-511810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OTHER POSTRETIREMENT BENEFITS —(Continued)</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asset allocations for the Company's retirement benefit trusts for the qualified pension benefit plans are based upon an analysis of the timing and amount of projected benefit payments, the expected returns and risk of the asset classes and the correlation of those returns. The Company's largest retirement benefit trust, which accounted for 74% of assets at December 31, 2004 is invested approximately 78% in a diversified portfolio of high quality fixed income instruments with a duration that approximates the duration of the liabilities covered by that trust. The Company's other trusts are invested approximately 57% in equity securities with the balance in fixed income securities, including cash. All equity portfolios are diversified between U.S and non-U.S. equities and include small and large capitalization equities.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percentage of asset allocations of the Company's pension plans at December 31, 2004 and 2003, by asset category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689600" cy="215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68960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Plan Assets at December 31,</w:t>
            </w:r>
          </w:p>
        </w:tc>
        <w:tc>
          <w:tcPr>
            <w:tcW w:w="3760" w:type="dxa"/>
            <w:vAlign w:val="bottom"/>
          </w:tcPr>
          <w:p>
            <w:pPr>
              <w:jc w:val="right"/>
              <w:ind w:right="496"/>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Borders>
              <w:bottom w:val="single" w:sz="8" w:color="808080"/>
            </w:tcBorders>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7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31.1%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Debt securities</w:t>
            </w:r>
          </w:p>
        </w:tc>
        <w:tc>
          <w:tcPr>
            <w:tcW w:w="3760" w:type="dxa"/>
            <w:vAlign w:val="bottom"/>
          </w:tcPr>
          <w:p>
            <w:pPr>
              <w:jc w:val="right"/>
              <w:ind w:right="236"/>
              <w:spacing w:after="0"/>
              <w:rPr>
                <w:sz w:val="20"/>
                <w:szCs w:val="20"/>
                <w:color w:val="auto"/>
              </w:rPr>
            </w:pPr>
            <w:r>
              <w:rPr>
                <w:rFonts w:ascii="Arial" w:cs="Arial" w:eastAsia="Arial" w:hAnsi="Arial"/>
                <w:sz w:val="18"/>
                <w:szCs w:val="18"/>
                <w:color w:val="auto"/>
              </w:rPr>
              <w:t>61.7</w:t>
            </w:r>
          </w:p>
        </w:tc>
        <w:tc>
          <w:tcPr>
            <w:tcW w:w="680" w:type="dxa"/>
            <w:vAlign w:val="bottom"/>
          </w:tcPr>
          <w:p>
            <w:pPr>
              <w:jc w:val="right"/>
              <w:spacing w:after="0"/>
              <w:rPr>
                <w:sz w:val="20"/>
                <w:szCs w:val="20"/>
                <w:color w:val="auto"/>
              </w:rPr>
            </w:pPr>
            <w:r>
              <w:rPr>
                <w:rFonts w:ascii="Arial" w:cs="Arial" w:eastAsia="Arial" w:hAnsi="Arial"/>
                <w:sz w:val="18"/>
                <w:szCs w:val="18"/>
                <w:color w:val="auto"/>
              </w:rPr>
              <w:t>64.8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and other</w:t>
            </w:r>
          </w:p>
        </w:tc>
        <w:tc>
          <w:tcPr>
            <w:tcW w:w="37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7.2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760" w:type="dxa"/>
            <w:vAlign w:val="bottom"/>
          </w:tcPr>
          <w:p>
            <w:pPr>
              <w:jc w:val="right"/>
              <w:ind w:right="76"/>
              <w:spacing w:after="0"/>
              <w:rPr>
                <w:sz w:val="20"/>
                <w:szCs w:val="20"/>
                <w:color w:val="auto"/>
              </w:rPr>
            </w:pPr>
            <w:r>
              <w:rPr>
                <w:rFonts w:ascii="Arial" w:cs="Arial" w:eastAsia="Arial" w:hAnsi="Arial"/>
                <w:sz w:val="18"/>
                <w:szCs w:val="18"/>
                <w:color w:val="auto"/>
              </w:rPr>
              <w:t>100.0%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-871855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-871855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-306070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-306070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2003, the asset allocations by asset category include only domestic pension plans.</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percentage of asset allocations of the Company's other postretirement benefit plans at December 31, 2004 and 2003 were 95.4% in cash and 4.6% in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Benefit Payments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estimated future benefit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0" w:type="dxa"/>
            <w:vAlign w:val="bottom"/>
          </w:tcPr>
          <w:p>
            <w:pPr>
              <w:jc w:val="right"/>
              <w:ind w:right="319"/>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780" w:type="dxa"/>
            <w:vAlign w:val="bottom"/>
          </w:tcPr>
          <w:p>
            <w:pPr>
              <w:jc w:val="right"/>
              <w:ind w:right="299"/>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780" w:type="dxa"/>
            <w:vAlign w:val="bottom"/>
          </w:tcPr>
          <w:p>
            <w:pPr>
              <w:jc w:val="right"/>
              <w:ind w:right="319"/>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800" w:type="dxa"/>
            <w:vAlign w:val="bottom"/>
          </w:tcPr>
          <w:p>
            <w:pPr>
              <w:jc w:val="right"/>
              <w:ind w:right="319"/>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5"/>
                <w:szCs w:val="15"/>
                <w:color w:val="auto"/>
              </w:rPr>
            </w:pPr>
          </w:p>
        </w:tc>
        <w:tc>
          <w:tcPr>
            <w:tcW w:w="780" w:type="dxa"/>
            <w:vAlign w:val="bottom"/>
          </w:tcPr>
          <w:p>
            <w:pPr>
              <w:jc w:val="right"/>
              <w:ind w:right="299"/>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5"/>
                <w:szCs w:val="15"/>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2010–2014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Pension</w:t>
            </w:r>
          </w:p>
        </w:tc>
        <w:tc>
          <w:tcPr>
            <w:tcW w:w="1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Postretirement</w:t>
            </w:r>
          </w:p>
        </w:tc>
        <w:tc>
          <w:tcPr>
            <w:tcW w:w="1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107.9</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110.5</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112.0</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112.0</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111.3</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expects to contribute $50 million to the pension plans and $6 million to its other postretirement benefit plans in 2005.</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Company contributes to multi-employer plans that provide pension and health and welfare benefits to certain employees under collective bargaining agreements. The contributions to these plans were $61.4 million (2004) and $57.9 million (2003). In addition, the Company has defined contribution plans for the benefit of substantially all employees meeting certain eligibility requirements. Employer contributions to such plans were $54.1 million, $48.6 million and $42.3 million for the years ended December 31, 2004, 2003 and 2002,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Company's commitments not recorded on the balance sheet primarily consist of programming and talent commitments, operating lease arrangements, purchase obligations for goods and services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guaranteed minimum franchise payments. These arrangements result from the Company's normal course of business and represent obligations that are payable over several years.</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Programming and talent commitments of the Company, estimated to aggregate approximately $16.1 billion as of December 31, 2004, included $10.9 billion for the acquisition of sports programming rights, $3.7 billion relating to television, radio and feature film production and acquisitions and $1.0 billion for talent contracts. A majority of such fees are payable over several years, as part of the normal course of business.</w:t>
      </w:r>
    </w:p>
    <w:p>
      <w:pPr>
        <w:spacing w:after="0" w:line="161"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The Company has long-term noncancelable operating lease commitments for office space and equipment, transponders, studio facilities and vehicles. The Company also enters into capital leases for satellite transponders. At December 31, 2004, future operating leases payments are estimated to aggregate $2.9 billion.</w:t>
      </w:r>
    </w:p>
    <w:p>
      <w:pPr>
        <w:spacing w:after="0" w:line="116"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The Company also has purchase obligations which include agreements to purchase goods or services in the future that totaled $413.2 million as of December 31, 2004.</w:t>
      </w:r>
    </w:p>
    <w:p>
      <w:pPr>
        <w:spacing w:after="0" w:line="186"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Viacom's outdoor advertising business has franchise rights entitling it to display advertising on media including billboards, transit shelters, buses, rail systems (in-car, station platforms and terminals), mall kiosks and stadium signage. Under most of these franchise agreements, the franchiser is entitled to receive the greater of a percentage of the relevant advertising revenues, net of advertising agency fees, or a specified guaranteed minimum annual payment.</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2004, minimum rental payments under noncancelable leases and minimum franchise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801360" cy="215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gridSpan w:val="2"/>
          </w:tcPr>
          <w:p>
            <w:pPr>
              <w:jc w:val="center"/>
              <w:ind w:right="735"/>
              <w:spacing w:after="0"/>
              <w:rPr>
                <w:sz w:val="20"/>
                <w:szCs w:val="20"/>
                <w:color w:val="auto"/>
              </w:rPr>
            </w:pPr>
            <w:r>
              <w:rPr>
                <w:rFonts w:ascii="Arial" w:cs="Arial" w:eastAsia="Arial" w:hAnsi="Arial"/>
                <w:sz w:val="14"/>
                <w:szCs w:val="14"/>
                <w:b w:val="1"/>
                <w:bCs w:val="1"/>
                <w:color w:val="auto"/>
                <w:w w:val="84"/>
              </w:rPr>
              <w:t>Leases</w:t>
            </w:r>
          </w:p>
        </w:tc>
        <w:tc>
          <w:tcPr>
            <w:tcW w:w="300" w:type="dxa"/>
            <w:vAlign w:val="bottom"/>
          </w:tcPr>
          <w:p>
            <w:pPr>
              <w:spacing w:after="0"/>
              <w:rPr>
                <w:sz w:val="14"/>
                <w:szCs w:val="14"/>
                <w:color w:val="auto"/>
              </w:rPr>
            </w:pPr>
          </w:p>
        </w:tc>
        <w:tc>
          <w:tcPr>
            <w:tcW w:w="1780" w:type="dxa"/>
            <w:vAlign w:val="bottom"/>
          </w:tcPr>
          <w:p>
            <w:pPr>
              <w:jc w:val="right"/>
              <w:ind w:right="257"/>
              <w:spacing w:after="0"/>
              <w:rPr>
                <w:sz w:val="20"/>
                <w:szCs w:val="20"/>
                <w:color w:val="auto"/>
              </w:rPr>
            </w:pPr>
            <w:r>
              <w:rPr>
                <w:rFonts w:ascii="Arial" w:cs="Arial" w:eastAsia="Arial" w:hAnsi="Arial"/>
                <w:sz w:val="14"/>
                <w:szCs w:val="14"/>
                <w:b w:val="1"/>
                <w:bCs w:val="1"/>
                <w:color w:val="auto"/>
                <w:w w:val="99"/>
              </w:rPr>
              <w:t>Guaranteed Minimum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74"/>
              <w:spacing w:after="0"/>
              <w:rPr>
                <w:sz w:val="20"/>
                <w:szCs w:val="20"/>
                <w:color w:val="auto"/>
              </w:rPr>
            </w:pPr>
            <w:r>
              <w:rPr>
                <w:rFonts w:ascii="Arial" w:cs="Arial" w:eastAsia="Arial" w:hAnsi="Arial"/>
                <w:sz w:val="14"/>
                <w:szCs w:val="14"/>
                <w:b w:val="1"/>
                <w:bCs w:val="1"/>
                <w:color w:val="auto"/>
                <w:w w:val="94"/>
              </w:rPr>
              <w:t>Capital</w:t>
            </w:r>
          </w:p>
        </w:tc>
        <w:tc>
          <w:tcPr>
            <w:tcW w:w="320" w:type="dxa"/>
            <w:vAlign w:val="bottom"/>
          </w:tcPr>
          <w:p>
            <w:pPr>
              <w:spacing w:after="0"/>
              <w:rPr>
                <w:sz w:val="15"/>
                <w:szCs w:val="15"/>
                <w:color w:val="auto"/>
              </w:rPr>
            </w:pPr>
          </w:p>
        </w:tc>
        <w:tc>
          <w:tcPr>
            <w:tcW w:w="940" w:type="dxa"/>
            <w:vAlign w:val="bottom"/>
          </w:tcPr>
          <w:p>
            <w:pPr>
              <w:jc w:val="right"/>
              <w:ind w:right="215"/>
              <w:spacing w:after="0"/>
              <w:rPr>
                <w:sz w:val="20"/>
                <w:szCs w:val="20"/>
                <w:color w:val="auto"/>
              </w:rPr>
            </w:pPr>
            <w:r>
              <w:rPr>
                <w:rFonts w:ascii="Arial" w:cs="Arial" w:eastAsia="Arial" w:hAnsi="Arial"/>
                <w:sz w:val="14"/>
                <w:szCs w:val="14"/>
                <w:b w:val="1"/>
                <w:bCs w:val="1"/>
                <w:color w:val="auto"/>
                <w:w w:val="93"/>
              </w:rPr>
              <w:t>Operating</w:t>
            </w:r>
          </w:p>
        </w:tc>
        <w:tc>
          <w:tcPr>
            <w:tcW w:w="300" w:type="dxa"/>
            <w:vAlign w:val="bottom"/>
          </w:tcPr>
          <w:p>
            <w:pPr>
              <w:spacing w:after="0"/>
              <w:rPr>
                <w:sz w:val="15"/>
                <w:szCs w:val="15"/>
                <w:color w:val="auto"/>
              </w:rPr>
            </w:pPr>
          </w:p>
        </w:tc>
        <w:tc>
          <w:tcPr>
            <w:tcW w:w="1780" w:type="dxa"/>
            <w:vAlign w:val="bottom"/>
          </w:tcPr>
          <w:p>
            <w:pPr>
              <w:jc w:val="right"/>
              <w:ind w:right="337"/>
              <w:spacing w:after="0"/>
              <w:rPr>
                <w:sz w:val="20"/>
                <w:szCs w:val="20"/>
                <w:color w:val="auto"/>
              </w:rPr>
            </w:pPr>
            <w:r>
              <w:rPr>
                <w:rFonts w:ascii="Arial" w:cs="Arial" w:eastAsia="Arial" w:hAnsi="Arial"/>
                <w:sz w:val="14"/>
                <w:szCs w:val="14"/>
                <w:b w:val="1"/>
                <w:bCs w:val="1"/>
                <w:color w:val="auto"/>
                <w:w w:val="98"/>
              </w:rPr>
              <w:t>Franchise Payments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320" w:type="dxa"/>
            <w:vAlign w:val="bottom"/>
            <w:shd w:val="clear" w:color="auto" w:fill="CCEEFF"/>
          </w:tcPr>
          <w:p>
            <w:pPr>
              <w:jc w:val="center"/>
              <w:ind w:left="1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2006</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88.0</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400.7</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2008</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74.7</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313.6</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2010 and thereafter</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216.7</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1,127.0</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320" w:type="dxa"/>
            <w:vAlign w:val="bottom"/>
            <w:shd w:val="clear" w:color="auto" w:fill="CCEEFF"/>
          </w:tcPr>
          <w:p>
            <w:pPr>
              <w:jc w:val="center"/>
              <w:ind w:left="1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2,903.0</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160.3</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 minimum payments</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-1712595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-1712595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-734695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-734695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-306070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-306070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980" w:firstLine="351"/>
        <w:spacing w:after="0" w:line="268" w:lineRule="auto"/>
        <w:rPr>
          <w:sz w:val="20"/>
          <w:szCs w:val="20"/>
          <w:color w:val="auto"/>
        </w:rPr>
      </w:pPr>
      <w:r>
        <w:rPr>
          <w:rFonts w:ascii="Arial" w:cs="Arial" w:eastAsia="Arial" w:hAnsi="Arial"/>
          <w:sz w:val="18"/>
          <w:szCs w:val="18"/>
          <w:color w:val="auto"/>
        </w:rPr>
        <w:t>Future minimum operating lease payments have been reduced by future minimum sublease income of $58.0 million. Rent expense amounted to $475.8 million (2004), $439.3 million (2003) and $423.7 million (2002).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Company follows the recognition provisions of FASB Interpretation No. 45, "Guarantor's Accounting and Disclosure Requirements for Guarantees, Including Indirect Guarantees of Indebtedness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23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of Others" ("FIN 45") for guarantees issued or modified after December 31, 2002. FIN 45 requires a guarantor to recognize, at the inception of a guarantee, a liability for the fair value of an obligation assumed by issuing a guarantee. FIN 45 also requires additional disclosures for certain guarantees.</w:t>
      </w:r>
    </w:p>
    <w:p>
      <w:pPr>
        <w:spacing w:after="0" w:line="139"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In the fourth quarter of 2004, the Company sold its 50% equity interest in United Cinemas International Multiplex B.V. ("UCI"), which operated movie theaters in Europe, Latin America and Asia. The Company had guaranteed UCI's debt obligations under a revolving credit facility which was repaid during the fourth quarter of 2004. The Company contributed $29.1 million toward the repayment of UCI's debt obligations under the terms of this guarantee. The Company continues to guarantee certain UCI theater leases which are secured by bank guarantees provided by the buyer. The Company's guarantee totaled approximately $177.0 million at December 31, 2004. The Company also owns a 50% interest in WF Cinema Holdings, L.P. and Grauman's Theatres LLC and guarantees certain theater leases for approximately $13.3 million. The lease guarantees would only be triggered upon non-payment by the respective primary obligors. These guarantees are not recorded on the balance sheet as of December 31, 2004 as they were provided by the Company prior to the adoption of FIN 45.</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continues to remain as guarantor on certain Blockbuster store leases approximating $359 million at December 31, 2004 and secured by a</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$150 million letter of credit. Certain leases contain renewal options that can extend the primary lease term and remain covered by the guarantees. Blockbuster has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agreed to indemnify the Company with respect to any amount paid under these guarantees. The Company recorded a liability of $53.6 million reflecting the fair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of such guarantees.</w:t>
      </w:r>
    </w:p>
    <w:p>
      <w:pPr>
        <w:spacing w:after="0" w:line="219"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Additionally, the Company has indemnification obligations with respect to letters of credit and surety bonds primarily used as security against non-performance in the normal course of business. The outstanding letters of credit and surety bonds approximated $342.4 million at December 31, 2004 and are not recorded on the balance sheet as of December 31, 2004.</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the course of its business, the Company both provides and receives the benefit of indemnities which are intended to allocate certain risks associated with business transactions. Similarly, the Company may remain contingently liable for various obligations of a business that has been divested in the event that a third party does not live up to its obligations under an indemnification obligation. The Company records a liability for its indemnification obligations and other contingent liabilities when probable under generally accepted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360" w:firstLine="348"/>
        <w:spacing w:after="0" w:line="286" w:lineRule="auto"/>
        <w:rPr>
          <w:sz w:val="20"/>
          <w:szCs w:val="20"/>
          <w:color w:val="auto"/>
        </w:rPr>
      </w:pPr>
      <w:r>
        <w:rPr>
          <w:rFonts w:ascii="Arial" w:cs="Arial" w:eastAsia="Arial" w:hAnsi="Arial"/>
          <w:sz w:val="16"/>
          <w:szCs w:val="16"/>
          <w:i w:val="1"/>
          <w:iCs w:val="1"/>
          <w:color w:val="auto"/>
        </w:rPr>
        <w:t xml:space="preserve">Asbestos and Environmental. </w:t>
      </w:r>
      <w:r>
        <w:rPr>
          <w:rFonts w:ascii="Arial" w:cs="Arial" w:eastAsia="Arial" w:hAnsi="Arial"/>
          <w:sz w:val="16"/>
          <w:szCs w:val="16"/>
          <w:color w:val="auto"/>
        </w:rPr>
        <w:t>The Company is a defendant in lawsuits claiming various personal injuries related to asbestos and other materials, which</w:t>
      </w:r>
      <w:r>
        <w:rPr>
          <w:rFonts w:ascii="Arial" w:cs="Arial" w:eastAsia="Arial" w:hAnsi="Arial"/>
          <w:sz w:val="16"/>
          <w:szCs w:val="16"/>
          <w:i w:val="1"/>
          <w:iCs w:val="1"/>
          <w:color w:val="auto"/>
        </w:rPr>
        <w:t xml:space="preserve"> </w:t>
      </w:r>
      <w:r>
        <w:rPr>
          <w:rFonts w:ascii="Arial" w:cs="Arial" w:eastAsia="Arial" w:hAnsi="Arial"/>
          <w:sz w:val="16"/>
          <w:szCs w:val="16"/>
          <w:color w:val="auto"/>
        </w:rPr>
        <w:t>allegedly occurred principally as a result of exposure caused by various products manufactured by Westinghouse, a predecessor, generally prior to the early</w:t>
      </w:r>
    </w:p>
    <w:p>
      <w:pPr>
        <w:spacing w:after="0" w:line="295" w:lineRule="auto"/>
        <w:rPr>
          <w:sz w:val="20"/>
          <w:szCs w:val="20"/>
          <w:color w:val="auto"/>
        </w:rPr>
      </w:pPr>
      <w:r>
        <w:rPr>
          <w:rFonts w:ascii="Arial" w:cs="Arial" w:eastAsia="Arial" w:hAnsi="Arial"/>
          <w:sz w:val="16"/>
          <w:szCs w:val="16"/>
          <w:color w:val="auto"/>
        </w:rPr>
        <w:t>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asbestos-containing grades of decorative micarta, a laminate used in commercial ships.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Claims are frequently filed and/or settled in large groups, which may make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December 31, 2004, the Company had pending approximately 112,140 asbestos claims, as compared with approximately 112,280 as of December 31, 2003 and approximately 103,800 as of December 31, 2002. Of the claims pending as of December 31, 2004, approximately 82,370 were pending in state courts, 27,180 in federal courts and approximately 2,590 were third party claims. During 2004, the Company received approximately 16,060 new claims and closed or moved to an inactive docket approximately 16,200 claims. The Company reports claims as closed when it becomes aware that a dismissal order has been entered by a court or when the Company has reached agreement with the claimants on the material terms of a settlement.</w:t>
      </w:r>
    </w:p>
    <w:p>
      <w:pPr>
        <w:spacing w:after="0" w:line="17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Settlement costs depend on the seriousness of the injuries that form the basis of the claim, the quality of evidence supporting the claims and other factors. To date, the Company has not been liable for any third party claims. The Company's total costs (recovery) for the years 2004 and 2003 for settlement and defense of asbestos claims after insurance recoveries and net of tax benefits were approximately $58.4 million and $(8.7) million, respectively. A portion of such costs relates to claims settled in prior years. If proceeds received in 2003 from an insurance commutation were excluded from the Company's total costs in 2003, the Company's total costs after insurance recoveries and net of tax benefits would have been $56.6 million. The Company's costs for settlement and defense of asbestos claims may vary year to year as insurance proceeds are not always recovered in the same period as the insured portion of the expenses.</w:t>
      </w:r>
    </w:p>
    <w:p>
      <w:pPr>
        <w:spacing w:after="0" w:line="17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 believes that its reserves and insurance are adequate to cover its asbestos liabilities and that these asbestos liabilities are not likely to have a material adverse effect on its results of operations, financial position or cash flows.</w:t>
      </w:r>
    </w:p>
    <w:p>
      <w:pPr>
        <w:spacing w:after="0" w:line="186"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discontinued operations conducted by companies acquired by the Company. In addition, the Company from time to time receives personal injury claims including toxic tort and product liability claims arising from historical operations of the Company and its predecessors.</w:t>
      </w:r>
    </w:p>
    <w:p>
      <w:pPr>
        <w:spacing w:after="0" w:line="197"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i w:val="1"/>
          <w:iCs w:val="1"/>
          <w:color w:val="auto"/>
        </w:rPr>
        <w:t xml:space="preserve">Antitrust. </w:t>
      </w:r>
      <w:r>
        <w:rPr>
          <w:rFonts w:ascii="Arial" w:cs="Arial" w:eastAsia="Arial" w:hAnsi="Arial"/>
          <w:sz w:val="16"/>
          <w:szCs w:val="16"/>
          <w:color w:val="auto"/>
        </w:rPr>
        <w:t>In July 2002, judgment was entered in favor of the Company, Blockbuster, Paramount Home Entertainment and other major motion picture</w:t>
      </w:r>
      <w:r>
        <w:rPr>
          <w:rFonts w:ascii="Arial" w:cs="Arial" w:eastAsia="Arial" w:hAnsi="Arial"/>
          <w:sz w:val="16"/>
          <w:szCs w:val="16"/>
          <w:i w:val="1"/>
          <w:iCs w:val="1"/>
          <w:color w:val="auto"/>
        </w:rPr>
        <w:t xml:space="preserve"> </w:t>
      </w:r>
      <w:r>
        <w:rPr>
          <w:rFonts w:ascii="Arial" w:cs="Arial" w:eastAsia="Arial" w:hAnsi="Arial"/>
          <w:sz w:val="16"/>
          <w:szCs w:val="16"/>
          <w:color w:val="auto"/>
        </w:rPr>
        <w:t>studios and their home video subsidiaries with respect to a complaint filed in the United States District Court for the Western District of Texas. The complaint included federal antitrust and California state law claims. In August 2003, the Fifth Circuit Court of Appeals affirmed the federal court judgment. The Supreme Court of the United States refused plaintiffs' petition for writ of certiorari in March 2004. In February 2003, a similar complaint that had been filed in a Los Angeles County Superior Court was also dismissed with prejudice. The plaintiffs have appealed the California state court dismissal, as well as a prior denial of class certification. As a result of the split-off of Blockbuster in 2004, any judgment in this matter adverse to the Company, Blockbuster and/or Paramount Home Entertainment will be allocated 33.33% to Blockbuster and 66.67% to the Company. The Company believes that the plaintiffs' positions in these litigations are without merit and intends to continue to vigorously defend itself in the litigations.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Litigation is inherently uncertain and always difficult to predict. However, based on its understanding and evaluation of the relevant facts and circumstances, the Company believes that all of the above-described legal matters and other litigation to which it is a party are not likely, in the aggregate, to have a material adverse effect on its results of operations, financial position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REPORTABLE SEGMENTS</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following tables set forth the Company's financial performance by reportable operating segment. The Company's reportable operating segments have been determined in accordance with the Company's internal management structure, which is organized based upon products and services. The Company operates five segments: (i) Cable Networks, (ii) Television, (iii) Radio, (iv) Outdoor and (v) Entertainment.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accounting policies of the segments are the same as those described in Note 1—Summary of Significant Accounting Policies. Intercompany revenue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eliminations associated with the Entertainment, Television, Cable Networks, Radio and Outdoor segments were $206.7 million, $322.6 million, $9.1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$28.1 million and $23.0 million, respectively, for 2004. Operating income eliminations primarily reflect the timing of intercompany transactions from the sale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television product to Cable Networks and the sale of feature films to cable and broadcast networks. The 2003 intercompany revenue eliminations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Entertainment, Television, Cable Networks, Radio and Outdoor segments were $217.5 million, $181.9 million and $68.5 million, $30.5 million and</w:t>
      </w:r>
    </w:p>
    <w:p>
      <w:pPr>
        <w:spacing w:after="0" w:line="3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$27.7 million, respectively. The 2002 intercompany revenue eliminations were principally associated with the Entertainment, Television and Cable Networks segments and were $216.4 million, $177.4 million and $23.6 million, respectively.</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REPORTABLE SEGMENTS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73595"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5"/>
                <w:szCs w:val="15"/>
                <w:color w:val="auto"/>
              </w:rPr>
            </w:pPr>
          </w:p>
        </w:tc>
        <w:tc>
          <w:tcPr>
            <w:tcW w:w="1200" w:type="dxa"/>
            <w:vAlign w:val="bottom"/>
          </w:tcPr>
          <w:p>
            <w:pPr>
              <w:jc w:val="right"/>
              <w:ind w:right="61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220" w:type="dxa"/>
            <w:vAlign w:val="bottom"/>
          </w:tcPr>
          <w:p>
            <w:pPr>
              <w:jc w:val="right"/>
              <w:ind w:right="613"/>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1080" w:type="dxa"/>
            <w:vAlign w:val="bottom"/>
          </w:tcPr>
          <w:p>
            <w:pPr>
              <w:jc w:val="right"/>
              <w:ind w:right="493"/>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Cable Networks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6,578.9</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5,645.5</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4,726.7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8,504.6</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7,761.0</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Radio</w:t>
            </w:r>
          </w:p>
        </w:tc>
        <w:tc>
          <w:tcPr>
            <w:tcW w:w="5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2,096.1</w:t>
            </w:r>
          </w:p>
        </w:tc>
        <w:tc>
          <w:tcPr>
            <w:tcW w:w="40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2,097.6</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Outdoor</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1,880.2</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1,748.3</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Entertainment</w:t>
            </w:r>
          </w:p>
        </w:tc>
        <w:tc>
          <w:tcPr>
            <w:tcW w:w="5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4,055.6</w:t>
            </w:r>
          </w:p>
        </w:tc>
        <w:tc>
          <w:tcPr>
            <w:tcW w:w="40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4,101.3</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440" w:type="dxa"/>
            <w:vAlign w:val="bottom"/>
          </w:tcPr>
          <w:p>
            <w:pPr>
              <w:ind w:left="640"/>
              <w:spacing w:after="0"/>
              <w:rPr>
                <w:sz w:val="20"/>
                <w:szCs w:val="20"/>
                <w:color w:val="auto"/>
              </w:rPr>
            </w:pPr>
            <w:r>
              <w:rPr>
                <w:rFonts w:ascii="Arial" w:cs="Arial" w:eastAsia="Arial" w:hAnsi="Arial"/>
                <w:sz w:val="18"/>
                <w:szCs w:val="18"/>
                <w:b w:val="1"/>
                <w:bCs w:val="1"/>
                <w:color w:val="auto"/>
              </w:rPr>
              <w:t>Total Revenues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22,525.9</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20,827.6</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19,186.8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Cable Networks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2,525.1</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2,172.3</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1,772.2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1,547.4</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1,238.1</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Radio</w:t>
            </w: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(10,023.5)</w:t>
            </w:r>
          </w:p>
        </w:tc>
        <w:tc>
          <w:tcPr>
            <w:tcW w:w="40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975.0</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Outdoor</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(6,824.5)</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207.9</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Entertainment</w:t>
            </w:r>
          </w:p>
        </w:tc>
        <w:tc>
          <w:tcPr>
            <w:tcW w:w="52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254.0</w:t>
            </w:r>
          </w:p>
        </w:tc>
        <w:tc>
          <w:tcPr>
            <w:tcW w:w="40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271.4</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Segment Total</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(12,521.5)</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4,864.7</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Corporate expenses</w:t>
            </w: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(237.7)</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(187.9)</w:t>
            </w:r>
          </w:p>
        </w:tc>
        <w:tc>
          <w:tcPr>
            <w:tcW w:w="4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Residual costs (a)</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Eliminations</w:t>
            </w: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(96.0)</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(56.7)</w:t>
            </w:r>
          </w:p>
        </w:tc>
        <w:tc>
          <w:tcPr>
            <w:tcW w:w="4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Operating Income (loss)</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(12,969.0)</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4,473.6</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(718.9)</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(742.9)</w:t>
            </w:r>
          </w:p>
        </w:tc>
        <w:tc>
          <w:tcPr>
            <w:tcW w:w="4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25.3</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11.7</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Other items, net</w:t>
            </w:r>
          </w:p>
        </w:tc>
        <w:tc>
          <w:tcPr>
            <w:tcW w:w="52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w w:val="91"/>
              </w:rPr>
              <w:t>Earnings (loss) from continuing operations before income taxes, equity in earnings (loss)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of affiliated companies and minority interest</w:t>
            </w: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(13,655.0)</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3,739.4</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(1,378.6)</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(1,497.0)</w:t>
            </w:r>
          </w:p>
        </w:tc>
        <w:tc>
          <w:tcPr>
            <w:tcW w:w="4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(loss) of affiliated companies, net of tax</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Minority interest, net of tax</w:t>
            </w: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from continuing operations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(15,059.5)</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2,237.8</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earnings (loss) from discontinued operations</w:t>
            </w: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(1,090.3)</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(802.4)</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before cumulative effect of accounting change</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(16,149.8)</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1,435.4</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Cumulative effect of accounting change, net of minority interest and tax</w:t>
            </w: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(1,312.4)</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w:t>
            </w:r>
          </w:p>
        </w:tc>
        <w:tc>
          <w:tcPr>
            <w:tcW w:w="4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(1,480.9)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Earnings (loss)</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(17,462.2)</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1,416.9</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-5794375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-5794375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-4679315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-4679315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-4387850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-4387850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-3410585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-3410585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-2707005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-2707005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-2004060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-2004060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-1163320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-734695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Primarily includes pension and postretirement benefit costs for benefit plans retained by the Company for previously divested businesses.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REPORTABLE SEGMENTS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218440</wp:posOffset>
            </wp:positionV>
            <wp:extent cx="5801360"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20" w:type="dxa"/>
            <w:vAlign w:val="bottom"/>
            <w:gridSpan w:val="2"/>
          </w:tcPr>
          <w:p>
            <w:pPr>
              <w:ind w:left="1140"/>
              <w:spacing w:after="0"/>
              <w:rPr>
                <w:sz w:val="20"/>
                <w:szCs w:val="20"/>
                <w:color w:val="auto"/>
              </w:rPr>
            </w:pPr>
            <w:r>
              <w:rPr>
                <w:rFonts w:ascii="Arial" w:cs="Arial" w:eastAsia="Arial" w:hAnsi="Arial"/>
                <w:sz w:val="14"/>
                <w:szCs w:val="14"/>
                <w:b w:val="1"/>
                <w:bCs w:val="1"/>
                <w:color w:val="auto"/>
              </w:rPr>
              <w:t>Year Ended December 31,</w:t>
            </w:r>
          </w:p>
        </w:tc>
        <w:tc>
          <w:tcPr>
            <w:tcW w:w="2440" w:type="dxa"/>
            <w:vAlign w:val="bottom"/>
          </w:tcPr>
          <w:p>
            <w:pPr>
              <w:spacing w:after="0"/>
              <w:rPr>
                <w:sz w:val="15"/>
                <w:szCs w:val="15"/>
                <w:color w:val="auto"/>
              </w:rPr>
            </w:pPr>
          </w:p>
        </w:tc>
        <w:tc>
          <w:tcPr>
            <w:tcW w:w="700" w:type="dxa"/>
            <w:vAlign w:val="bottom"/>
          </w:tcPr>
          <w:p>
            <w:pPr>
              <w:jc w:val="right"/>
              <w:ind w:right="274"/>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5"/>
                <w:szCs w:val="15"/>
                <w:color w:val="auto"/>
              </w:rPr>
            </w:pPr>
          </w:p>
        </w:tc>
        <w:tc>
          <w:tcPr>
            <w:tcW w:w="660" w:type="dxa"/>
            <w:vAlign w:val="bottom"/>
          </w:tcPr>
          <w:p>
            <w:pPr>
              <w:jc w:val="right"/>
              <w:ind w:right="293"/>
              <w:spacing w:after="0"/>
              <w:rPr>
                <w:sz w:val="20"/>
                <w:szCs w:val="20"/>
                <w:color w:val="auto"/>
              </w:rPr>
            </w:pPr>
            <w:r>
              <w:rPr>
                <w:rFonts w:ascii="Arial" w:cs="Arial" w:eastAsia="Arial" w:hAnsi="Arial"/>
                <w:sz w:val="14"/>
                <w:szCs w:val="14"/>
                <w:b w:val="1"/>
                <w:bCs w:val="1"/>
                <w:color w:val="auto"/>
                <w:w w:val="83"/>
              </w:rPr>
              <w:t>2003</w:t>
            </w:r>
          </w:p>
        </w:tc>
        <w:tc>
          <w:tcPr>
            <w:tcW w:w="320" w:type="dxa"/>
            <w:vAlign w:val="bottom"/>
          </w:tcPr>
          <w:p>
            <w:pPr>
              <w:spacing w:after="0"/>
              <w:rPr>
                <w:sz w:val="15"/>
                <w:szCs w:val="15"/>
                <w:color w:val="auto"/>
              </w:rPr>
            </w:pPr>
          </w:p>
        </w:tc>
        <w:tc>
          <w:tcPr>
            <w:tcW w:w="540" w:type="dxa"/>
            <w:vAlign w:val="bottom"/>
          </w:tcPr>
          <w:p>
            <w:pPr>
              <w:jc w:val="right"/>
              <w:ind w:right="14"/>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2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Cable Networks</w:t>
            </w:r>
          </w:p>
        </w:tc>
        <w:tc>
          <w:tcPr>
            <w:tcW w:w="24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248.0</w:t>
            </w:r>
          </w:p>
        </w:tc>
        <w:tc>
          <w:tcPr>
            <w:tcW w:w="52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195.3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Television</w:t>
            </w:r>
          </w:p>
        </w:tc>
        <w:tc>
          <w:tcPr>
            <w:tcW w:w="2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Radio</w:t>
            </w:r>
          </w:p>
        </w:tc>
        <w:tc>
          <w:tcPr>
            <w:tcW w:w="2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w:t>
            </w:r>
          </w:p>
        </w:tc>
        <w:tc>
          <w:tcPr>
            <w:tcW w:w="3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Outdoor</w:t>
            </w:r>
          </w:p>
        </w:tc>
        <w:tc>
          <w:tcPr>
            <w:tcW w:w="2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Entertainment</w:t>
            </w:r>
          </w:p>
        </w:tc>
        <w:tc>
          <w:tcPr>
            <w:tcW w:w="2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137.8</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129.7</w:t>
            </w:r>
          </w:p>
        </w:tc>
        <w:tc>
          <w:tcPr>
            <w:tcW w:w="3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160" w:type="dxa"/>
            <w:vAlign w:val="bottom"/>
          </w:tcPr>
          <w:p>
            <w:pPr>
              <w:spacing w:after="0"/>
              <w:rPr>
                <w:sz w:val="24"/>
                <w:szCs w:val="24"/>
                <w:color w:val="auto"/>
              </w:rPr>
            </w:pPr>
          </w:p>
        </w:tc>
        <w:tc>
          <w:tcPr>
            <w:tcW w:w="3760" w:type="dxa"/>
            <w:vAlign w:val="bottom"/>
          </w:tcPr>
          <w:p>
            <w:pPr>
              <w:ind w:left="360"/>
              <w:spacing w:after="0"/>
              <w:rPr>
                <w:sz w:val="20"/>
                <w:szCs w:val="20"/>
                <w:color w:val="auto"/>
              </w:rPr>
            </w:pPr>
            <w:r>
              <w:rPr>
                <w:rFonts w:ascii="Arial" w:cs="Arial" w:eastAsia="Arial" w:hAnsi="Arial"/>
                <w:sz w:val="18"/>
                <w:szCs w:val="18"/>
                <w:b w:val="1"/>
                <w:bCs w:val="1"/>
                <w:color w:val="auto"/>
              </w:rPr>
              <w:t>Total Depreciation and Amortization</w:t>
            </w:r>
          </w:p>
        </w:tc>
        <w:tc>
          <w:tcPr>
            <w:tcW w:w="24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809.9</w:t>
            </w:r>
          </w:p>
        </w:tc>
        <w:tc>
          <w:tcPr>
            <w:tcW w:w="52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741.9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711.8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6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gridSpan w:val="2"/>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920" w:type="dxa"/>
            <w:vAlign w:val="bottom"/>
            <w:gridSpan w:val="2"/>
          </w:tcPr>
          <w:p>
            <w:pPr>
              <w:ind w:left="1140"/>
              <w:spacing w:after="0"/>
              <w:rPr>
                <w:sz w:val="20"/>
                <w:szCs w:val="20"/>
                <w:color w:val="auto"/>
              </w:rPr>
            </w:pPr>
            <w:r>
              <w:rPr>
                <w:rFonts w:ascii="Arial" w:cs="Arial" w:eastAsia="Arial" w:hAnsi="Arial"/>
                <w:sz w:val="14"/>
                <w:szCs w:val="14"/>
                <w:b w:val="1"/>
                <w:bCs w:val="1"/>
                <w:color w:val="auto"/>
              </w:rPr>
              <w:t>At December 31,</w:t>
            </w:r>
          </w:p>
        </w:tc>
        <w:tc>
          <w:tcPr>
            <w:tcW w:w="2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gridSpan w:val="2"/>
          </w:tcPr>
          <w:p>
            <w:pPr>
              <w:jc w:val="right"/>
              <w:ind w:right="454"/>
              <w:spacing w:after="0"/>
              <w:rPr>
                <w:sz w:val="20"/>
                <w:szCs w:val="20"/>
                <w:color w:val="auto"/>
              </w:rPr>
            </w:pPr>
            <w:r>
              <w:rPr>
                <w:rFonts w:ascii="Arial" w:cs="Arial" w:eastAsia="Arial" w:hAnsi="Arial"/>
                <w:sz w:val="14"/>
                <w:szCs w:val="14"/>
                <w:b w:val="1"/>
                <w:bCs w:val="1"/>
                <w:color w:val="auto"/>
                <w:w w:val="96"/>
              </w:rPr>
              <w:t>2003</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24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14,633.1</w:t>
            </w:r>
          </w:p>
        </w:tc>
        <w:tc>
          <w:tcPr>
            <w:tcW w:w="66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13,186.2</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Television</w:t>
            </w:r>
          </w:p>
        </w:tc>
        <w:tc>
          <w:tcPr>
            <w:tcW w:w="2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24,980.7</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25,648.6</w:t>
            </w: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Radio</w:t>
            </w:r>
          </w:p>
        </w:tc>
        <w:tc>
          <w:tcPr>
            <w:tcW w:w="24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14,313.6</w:t>
            </w:r>
          </w:p>
        </w:tc>
        <w:tc>
          <w:tcPr>
            <w:tcW w:w="6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25,256.9</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Outdoor</w:t>
            </w:r>
          </w:p>
        </w:tc>
        <w:tc>
          <w:tcPr>
            <w:tcW w:w="2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7,262.6</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14,444.3</w:t>
            </w: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Entertainment</w:t>
            </w:r>
          </w:p>
        </w:tc>
        <w:tc>
          <w:tcPr>
            <w:tcW w:w="24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6,294.7</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6,278.0</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2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2,024.8</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1,796.2</w:t>
            </w: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278.6</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5,236.2</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2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(1,785.8)</w:t>
            </w:r>
          </w:p>
        </w:tc>
        <w:tc>
          <w:tcPr>
            <w:tcW w:w="6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(1,620.9)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gridSpan w:val="2"/>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gridSpan w:val="2"/>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160" w:type="dxa"/>
            <w:vAlign w:val="bottom"/>
          </w:tcPr>
          <w:p>
            <w:pPr>
              <w:spacing w:after="0"/>
              <w:rPr>
                <w:sz w:val="24"/>
                <w:szCs w:val="24"/>
                <w:color w:val="auto"/>
              </w:rPr>
            </w:pPr>
          </w:p>
        </w:tc>
        <w:tc>
          <w:tcPr>
            <w:tcW w:w="3760" w:type="dxa"/>
            <w:vAlign w:val="bottom"/>
          </w:tcPr>
          <w:p>
            <w:pPr>
              <w:ind w:left="340"/>
              <w:spacing w:after="0"/>
              <w:rPr>
                <w:sz w:val="20"/>
                <w:szCs w:val="20"/>
                <w:color w:val="auto"/>
              </w:rPr>
            </w:pPr>
            <w:r>
              <w:rPr>
                <w:rFonts w:ascii="Arial" w:cs="Arial" w:eastAsia="Arial" w:hAnsi="Arial"/>
                <w:sz w:val="18"/>
                <w:szCs w:val="18"/>
                <w:b w:val="1"/>
                <w:bCs w:val="1"/>
                <w:color w:val="auto"/>
              </w:rPr>
              <w:t>Total Assets</w:t>
            </w:r>
          </w:p>
        </w:tc>
        <w:tc>
          <w:tcPr>
            <w:tcW w:w="24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68,002.3</w:t>
            </w:r>
          </w:p>
        </w:tc>
        <w:tc>
          <w:tcPr>
            <w:tcW w:w="66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90,225.5</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6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gridSpan w:val="2"/>
          </w:tcPr>
          <w:p>
            <w:pPr>
              <w:spacing w:after="0"/>
              <w:rPr>
                <w:sz w:val="10"/>
                <w:szCs w:val="10"/>
                <w:color w:val="auto"/>
              </w:rPr>
            </w:pPr>
          </w:p>
        </w:tc>
        <w:tc>
          <w:tcPr>
            <w:tcW w:w="1180" w:type="dxa"/>
            <w:vAlign w:val="bottom"/>
            <w:tcBorders>
              <w:bottom w:val="single" w:sz="8" w:color="808080"/>
            </w:tcBorders>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gridSpan w:val="2"/>
          </w:tcPr>
          <w:p>
            <w:pPr>
              <w:spacing w:after="0"/>
              <w:rPr>
                <w:sz w:val="19"/>
                <w:szCs w:val="19"/>
                <w:color w:val="auto"/>
              </w:rPr>
            </w:pPr>
          </w:p>
        </w:tc>
        <w:tc>
          <w:tcPr>
            <w:tcW w:w="1180" w:type="dxa"/>
            <w:vAlign w:val="bottom"/>
            <w:tcBorders>
              <w:bottom w:val="single" w:sz="8" w:color="808080"/>
            </w:tcBorders>
            <w:gridSpan w:val="2"/>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920" w:type="dxa"/>
            <w:vAlign w:val="bottom"/>
            <w:gridSpan w:val="2"/>
          </w:tcPr>
          <w:p>
            <w:pPr>
              <w:ind w:left="1140"/>
              <w:spacing w:after="0"/>
              <w:rPr>
                <w:sz w:val="20"/>
                <w:szCs w:val="20"/>
                <w:color w:val="auto"/>
              </w:rPr>
            </w:pPr>
            <w:r>
              <w:rPr>
                <w:rFonts w:ascii="Arial" w:cs="Arial" w:eastAsia="Arial" w:hAnsi="Arial"/>
                <w:sz w:val="14"/>
                <w:szCs w:val="14"/>
                <w:b w:val="1"/>
                <w:bCs w:val="1"/>
                <w:color w:val="auto"/>
              </w:rPr>
              <w:t>Year Ended December 31,</w:t>
            </w:r>
          </w:p>
        </w:tc>
        <w:tc>
          <w:tcPr>
            <w:tcW w:w="3140" w:type="dxa"/>
            <w:vAlign w:val="bottom"/>
            <w:gridSpan w:val="2"/>
          </w:tcPr>
          <w:p>
            <w:pPr>
              <w:jc w:val="right"/>
              <w:ind w:right="414"/>
              <w:spacing w:after="0"/>
              <w:rPr>
                <w:sz w:val="20"/>
                <w:szCs w:val="20"/>
                <w:color w:val="auto"/>
              </w:rPr>
            </w:pPr>
            <w:r>
              <w:rPr>
                <w:rFonts w:ascii="Arial" w:cs="Arial" w:eastAsia="Arial" w:hAnsi="Arial"/>
                <w:sz w:val="14"/>
                <w:szCs w:val="14"/>
                <w:b w:val="1"/>
                <w:bCs w:val="1"/>
                <w:color w:val="auto"/>
              </w:rPr>
              <w:t>2004</w:t>
            </w:r>
          </w:p>
        </w:tc>
        <w:tc>
          <w:tcPr>
            <w:tcW w:w="1180" w:type="dxa"/>
            <w:vAlign w:val="bottom"/>
            <w:gridSpan w:val="2"/>
          </w:tcPr>
          <w:p>
            <w:pPr>
              <w:jc w:val="right"/>
              <w:ind w:right="41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3"/>
                <w:szCs w:val="23"/>
                <w:color w:val="auto"/>
              </w:rPr>
            </w:pPr>
          </w:p>
        </w:tc>
        <w:tc>
          <w:tcPr>
            <w:tcW w:w="54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2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244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96.0</w:t>
            </w:r>
          </w:p>
        </w:tc>
        <w:tc>
          <w:tcPr>
            <w:tcW w:w="5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90.3</w:t>
            </w:r>
          </w:p>
        </w:tc>
        <w:tc>
          <w:tcPr>
            <w:tcW w:w="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Television</w:t>
            </w:r>
          </w:p>
        </w:tc>
        <w:tc>
          <w:tcPr>
            <w:tcW w:w="24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125.6</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123.6</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Radio</w:t>
            </w:r>
          </w:p>
        </w:tc>
        <w:tc>
          <w:tcPr>
            <w:tcW w:w="2440" w:type="dxa"/>
            <w:vAlign w:val="bottom"/>
          </w:tcPr>
          <w:p>
            <w:pPr>
              <w:spacing w:after="0"/>
              <w:rPr>
                <w:sz w:val="18"/>
                <w:szCs w:val="18"/>
                <w:color w:val="auto"/>
              </w:rPr>
            </w:pP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38.2</w:t>
            </w:r>
          </w:p>
        </w:tc>
        <w:tc>
          <w:tcPr>
            <w:tcW w:w="520" w:type="dxa"/>
            <w:vAlign w:val="bottom"/>
          </w:tcPr>
          <w:p>
            <w:pPr>
              <w:spacing w:after="0"/>
              <w:rPr>
                <w:sz w:val="18"/>
                <w:szCs w:val="18"/>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Outdoor</w:t>
            </w:r>
          </w:p>
        </w:tc>
        <w:tc>
          <w:tcPr>
            <w:tcW w:w="24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56.5</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58.1</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Entertainment</w:t>
            </w:r>
          </w:p>
        </w:tc>
        <w:tc>
          <w:tcPr>
            <w:tcW w:w="2440" w:type="dxa"/>
            <w:vAlign w:val="bottom"/>
          </w:tcPr>
          <w:p>
            <w:pPr>
              <w:spacing w:after="0"/>
              <w:rPr>
                <w:sz w:val="18"/>
                <w:szCs w:val="18"/>
                <w:color w:val="auto"/>
              </w:rPr>
            </w:pP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74.2</w:t>
            </w:r>
          </w:p>
        </w:tc>
        <w:tc>
          <w:tcPr>
            <w:tcW w:w="520" w:type="dxa"/>
            <w:vAlign w:val="bottom"/>
          </w:tcPr>
          <w:p>
            <w:pPr>
              <w:spacing w:after="0"/>
              <w:rPr>
                <w:sz w:val="18"/>
                <w:szCs w:val="18"/>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66.4</w:t>
            </w:r>
          </w:p>
        </w:tc>
        <w:tc>
          <w:tcPr>
            <w:tcW w:w="3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24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24.5</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gridSpan w:val="2"/>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160" w:type="dxa"/>
            <w:vAlign w:val="bottom"/>
          </w:tcPr>
          <w:p>
            <w:pPr>
              <w:spacing w:after="0"/>
              <w:rPr>
                <w:sz w:val="24"/>
                <w:szCs w:val="24"/>
                <w:color w:val="auto"/>
              </w:rPr>
            </w:pPr>
          </w:p>
        </w:tc>
        <w:tc>
          <w:tcPr>
            <w:tcW w:w="3760" w:type="dxa"/>
            <w:vAlign w:val="bottom"/>
          </w:tcPr>
          <w:p>
            <w:pPr>
              <w:ind w:left="340"/>
              <w:spacing w:after="0"/>
              <w:rPr>
                <w:sz w:val="20"/>
                <w:szCs w:val="20"/>
                <w:color w:val="auto"/>
              </w:rPr>
            </w:pPr>
            <w:r>
              <w:rPr>
                <w:rFonts w:ascii="Arial" w:cs="Arial" w:eastAsia="Arial" w:hAnsi="Arial"/>
                <w:sz w:val="18"/>
                <w:szCs w:val="18"/>
                <w:b w:val="1"/>
                <w:bCs w:val="1"/>
                <w:color w:val="auto"/>
              </w:rPr>
              <w:t>Total Capital Expenditures</w:t>
            </w:r>
          </w:p>
        </w:tc>
        <w:tc>
          <w:tcPr>
            <w:tcW w:w="244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415.0</w:t>
            </w:r>
          </w:p>
        </w:tc>
        <w:tc>
          <w:tcPr>
            <w:tcW w:w="5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357.6</w:t>
            </w:r>
          </w:p>
        </w:tc>
        <w:tc>
          <w:tcPr>
            <w:tcW w:w="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396.5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6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40" w:type="dxa"/>
            <w:vAlign w:val="bottom"/>
          </w:tcPr>
          <w:p>
            <w:pPr>
              <w:jc w:val="right"/>
              <w:ind w:right="1395"/>
              <w:spacing w:after="0"/>
              <w:rPr>
                <w:sz w:val="20"/>
                <w:szCs w:val="20"/>
                <w:color w:val="auto"/>
              </w:rPr>
            </w:pPr>
            <w:r>
              <w:rPr>
                <w:rFonts w:ascii="Arial" w:cs="Arial" w:eastAsia="Arial" w:hAnsi="Arial"/>
                <w:sz w:val="18"/>
                <w:szCs w:val="18"/>
                <w:color w:val="auto"/>
              </w:rPr>
              <w:t>II-70</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-5811520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-5811520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-4696460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-4696460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-4404995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-4404995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-4250690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-4250690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-4001770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-4001770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-2613025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-2613025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-2320925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-2320925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-2166620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-2166620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-1918335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-1918335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-803275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-803275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-511810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-511810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REPORTABLE SEGMENTS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regarding the Company's consolidated revenues by type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ind w:right="296"/>
              <w:spacing w:after="0"/>
              <w:rPr>
                <w:sz w:val="20"/>
                <w:szCs w:val="20"/>
                <w:color w:val="auto"/>
              </w:rPr>
            </w:pPr>
            <w:r>
              <w:rPr>
                <w:rFonts w:ascii="Arial" w:cs="Arial" w:eastAsia="Arial" w:hAnsi="Arial"/>
                <w:sz w:val="14"/>
                <w:szCs w:val="14"/>
                <w:b w:val="1"/>
                <w:bCs w:val="1"/>
                <w:color w:val="auto"/>
                <w:w w:val="89"/>
              </w:rPr>
              <w:t>Revenues by Type</w:t>
            </w: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600" w:type="dxa"/>
            <w:vAlign w:val="bottom"/>
          </w:tcPr>
          <w:p>
            <w:pPr>
              <w:spacing w:after="0"/>
              <w:rPr>
                <w:sz w:val="24"/>
                <w:szCs w:val="24"/>
                <w:color w:val="auto"/>
              </w:rPr>
            </w:pPr>
          </w:p>
        </w:tc>
        <w:tc>
          <w:tcPr>
            <w:tcW w:w="1320" w:type="dxa"/>
            <w:vAlign w:val="bottom"/>
          </w:tcPr>
          <w:p>
            <w:pPr>
              <w:jc w:val="right"/>
              <w:ind w:right="674"/>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4"/>
                <w:szCs w:val="24"/>
                <w:color w:val="auto"/>
              </w:rPr>
            </w:pPr>
          </w:p>
        </w:tc>
        <w:tc>
          <w:tcPr>
            <w:tcW w:w="1500" w:type="dxa"/>
            <w:vAlign w:val="bottom"/>
          </w:tcPr>
          <w:p>
            <w:pPr>
              <w:jc w:val="right"/>
              <w:ind w:right="696"/>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24"/>
                <w:szCs w:val="24"/>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26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13,441.6</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12,088.6</w:t>
            </w:r>
          </w:p>
        </w:tc>
        <w:tc>
          <w:tcPr>
            <w:tcW w:w="4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Affiliate fees</w:t>
            </w:r>
          </w:p>
        </w:tc>
        <w:tc>
          <w:tcPr>
            <w:tcW w:w="2600" w:type="dxa"/>
            <w:vAlign w:val="bottom"/>
          </w:tcPr>
          <w:p>
            <w:pPr>
              <w:spacing w:after="0"/>
              <w:rPr>
                <w:sz w:val="18"/>
                <w:szCs w:val="18"/>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2,634.8</w:t>
            </w:r>
          </w:p>
        </w:tc>
        <w:tc>
          <w:tcPr>
            <w:tcW w:w="300" w:type="dxa"/>
            <w:vAlign w:val="bottom"/>
          </w:tcPr>
          <w:p>
            <w:pPr>
              <w:spacing w:after="0"/>
              <w:rPr>
                <w:sz w:val="18"/>
                <w:szCs w:val="18"/>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2,407.7</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Feature film exploitation</w:t>
            </w:r>
          </w:p>
        </w:tc>
        <w:tc>
          <w:tcPr>
            <w:tcW w:w="26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2,205.6</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2,347.0</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TV license fees</w:t>
            </w:r>
          </w:p>
        </w:tc>
        <w:tc>
          <w:tcPr>
            <w:tcW w:w="2600" w:type="dxa"/>
            <w:vAlign w:val="bottom"/>
          </w:tcPr>
          <w:p>
            <w:pPr>
              <w:spacing w:after="0"/>
              <w:rPr>
                <w:sz w:val="18"/>
                <w:szCs w:val="18"/>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1,402.3</w:t>
            </w:r>
          </w:p>
        </w:tc>
        <w:tc>
          <w:tcPr>
            <w:tcW w:w="300" w:type="dxa"/>
            <w:vAlign w:val="bottom"/>
          </w:tcPr>
          <w:p>
            <w:pPr>
              <w:spacing w:after="0"/>
              <w:rPr>
                <w:sz w:val="18"/>
                <w:szCs w:val="18"/>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1,514.5</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26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750.7</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693.4</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Parks operations</w:t>
            </w:r>
          </w:p>
        </w:tc>
        <w:tc>
          <w:tcPr>
            <w:tcW w:w="2600" w:type="dxa"/>
            <w:vAlign w:val="bottom"/>
          </w:tcPr>
          <w:p>
            <w:pPr>
              <w:spacing w:after="0"/>
              <w:rPr>
                <w:sz w:val="18"/>
                <w:szCs w:val="18"/>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409.9</w:t>
            </w:r>
          </w:p>
        </w:tc>
        <w:tc>
          <w:tcPr>
            <w:tcW w:w="300" w:type="dxa"/>
            <w:vAlign w:val="bottom"/>
          </w:tcPr>
          <w:p>
            <w:pPr>
              <w:spacing w:after="0"/>
              <w:rPr>
                <w:sz w:val="18"/>
                <w:szCs w:val="18"/>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375.8</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26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1,681.0</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1,400.6</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26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98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26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22,525.9</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20,827.6</w:t>
            </w:r>
          </w:p>
        </w:tc>
        <w:tc>
          <w:tcPr>
            <w:tcW w:w="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19,186.8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26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-1420495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-1420495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Other primarily includes revenues from home entertainment sales from cable and broadcast networks, movie theaters and consumer products.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regarding the Company's operations by geographic area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2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740" w:type="dxa"/>
            <w:vAlign w:val="bottom"/>
          </w:tcPr>
          <w:p>
            <w:pPr>
              <w:jc w:val="right"/>
              <w:ind w:right="672"/>
              <w:spacing w:after="0"/>
              <w:rPr>
                <w:sz w:val="20"/>
                <w:szCs w:val="20"/>
                <w:color w:val="auto"/>
              </w:rPr>
            </w:pPr>
            <w:r>
              <w:rPr>
                <w:rFonts w:ascii="Arial" w:cs="Arial" w:eastAsia="Arial" w:hAnsi="Arial"/>
                <w:sz w:val="14"/>
                <w:szCs w:val="14"/>
                <w:b w:val="1"/>
                <w:bCs w:val="1"/>
                <w:color w:val="auto"/>
              </w:rPr>
              <w:t>2004</w:t>
            </w:r>
          </w:p>
        </w:tc>
        <w:tc>
          <w:tcPr>
            <w:tcW w:w="1780" w:type="dxa"/>
            <w:vAlign w:val="bottom"/>
          </w:tcPr>
          <w:p>
            <w:pPr>
              <w:jc w:val="right"/>
              <w:ind w:right="692"/>
              <w:spacing w:after="0"/>
              <w:rPr>
                <w:sz w:val="20"/>
                <w:szCs w:val="20"/>
                <w:color w:val="auto"/>
              </w:rPr>
            </w:pPr>
            <w:r>
              <w:rPr>
                <w:rFonts w:ascii="Arial" w:cs="Arial" w:eastAsia="Arial" w:hAnsi="Arial"/>
                <w:sz w:val="14"/>
                <w:szCs w:val="14"/>
                <w:b w:val="1"/>
                <w:bCs w:val="1"/>
                <w:color w:val="auto"/>
              </w:rPr>
              <w:t>2003</w:t>
            </w:r>
          </w:p>
        </w:tc>
        <w:tc>
          <w:tcPr>
            <w:tcW w:w="1680" w:type="dxa"/>
            <w:vAlign w:val="bottom"/>
          </w:tcPr>
          <w:p>
            <w:pPr>
              <w:jc w:val="right"/>
              <w:ind w:right="572"/>
              <w:spacing w:after="0"/>
              <w:rPr>
                <w:sz w:val="20"/>
                <w:szCs w:val="20"/>
                <w:color w:val="auto"/>
              </w:rPr>
            </w:pPr>
            <w:r>
              <w:rPr>
                <w:rFonts w:ascii="Arial" w:cs="Arial" w:eastAsia="Arial" w:hAnsi="Arial"/>
                <w:sz w:val="14"/>
                <w:szCs w:val="14"/>
                <w:b w:val="1"/>
                <w:bCs w:val="1"/>
                <w:color w:val="auto"/>
              </w:rPr>
              <w:t>2002</w:t>
            </w:r>
          </w:p>
        </w:tc>
      </w:tr>
      <w:tr>
        <w:trPr>
          <w:trHeight w:val="105"/>
        </w:trPr>
        <w:tc>
          <w:tcPr>
            <w:tcW w:w="4220" w:type="dxa"/>
            <w:vAlign w:val="bottom"/>
            <w:tcBorders>
              <w:bottom w:val="single" w:sz="8" w:color="808080"/>
            </w:tcBorders>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(a):</w:t>
            </w:r>
          </w:p>
        </w:tc>
        <w:tc>
          <w:tcPr>
            <w:tcW w:w="2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28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18,812.0</w:t>
            </w:r>
          </w:p>
        </w:tc>
        <w:tc>
          <w:tcPr>
            <w:tcW w:w="6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17,487.9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16,330.3</w:t>
            </w: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8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3,713.9</w:t>
            </w: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3,339.7</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2,856.5</w:t>
            </w:r>
          </w:p>
        </w:tc>
      </w:tr>
      <w:tr>
        <w:trPr>
          <w:trHeight w:val="118"/>
        </w:trPr>
        <w:tc>
          <w:tcPr>
            <w:tcW w:w="394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r>
      <w:tr>
        <w:trPr>
          <w:trHeight w:val="319"/>
        </w:trPr>
        <w:tc>
          <w:tcPr>
            <w:tcW w:w="3940" w:type="dxa"/>
            <w:vAlign w:val="bottom"/>
          </w:tcPr>
          <w:p>
            <w:pPr>
              <w:ind w:left="440"/>
              <w:spacing w:after="0"/>
              <w:rPr>
                <w:sz w:val="20"/>
                <w:szCs w:val="20"/>
                <w:color w:val="auto"/>
              </w:rPr>
            </w:pPr>
            <w:r>
              <w:rPr>
                <w:rFonts w:ascii="Arial" w:cs="Arial" w:eastAsia="Arial" w:hAnsi="Arial"/>
                <w:sz w:val="18"/>
                <w:szCs w:val="18"/>
                <w:b w:val="1"/>
                <w:bCs w:val="1"/>
                <w:color w:val="auto"/>
              </w:rPr>
              <w:t>Total Revenues</w:t>
            </w:r>
          </w:p>
        </w:tc>
        <w:tc>
          <w:tcPr>
            <w:tcW w:w="28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22,525.9</w:t>
            </w:r>
          </w:p>
        </w:tc>
        <w:tc>
          <w:tcPr>
            <w:tcW w:w="6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20,827.6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19,186.8</w:t>
            </w:r>
          </w:p>
        </w:tc>
      </w:tr>
      <w:tr>
        <w:trPr>
          <w:trHeight w:val="120"/>
        </w:trPr>
        <w:tc>
          <w:tcPr>
            <w:tcW w:w="394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r>
      <w:tr>
        <w:trPr>
          <w:trHeight w:val="223"/>
        </w:trPr>
        <w:tc>
          <w:tcPr>
            <w:tcW w:w="394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-460375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-14605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2520" w:type="dxa"/>
            <w:vAlign w:val="bottom"/>
          </w:tcPr>
          <w:p>
            <w:pPr>
              <w:spacing w:after="0"/>
              <w:rPr>
                <w:sz w:val="15"/>
                <w:szCs w:val="15"/>
                <w:color w:val="auto"/>
              </w:rPr>
            </w:pPr>
          </w:p>
        </w:tc>
        <w:tc>
          <w:tcPr>
            <w:tcW w:w="1380" w:type="dxa"/>
            <w:vAlign w:val="bottom"/>
          </w:tcPr>
          <w:p>
            <w:pPr>
              <w:jc w:val="right"/>
              <w:ind w:right="737"/>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5"/>
                <w:szCs w:val="15"/>
                <w:color w:val="auto"/>
              </w:rPr>
            </w:pPr>
          </w:p>
        </w:tc>
        <w:tc>
          <w:tcPr>
            <w:tcW w:w="1220" w:type="dxa"/>
            <w:vAlign w:val="bottom"/>
          </w:tcPr>
          <w:p>
            <w:pPr>
              <w:jc w:val="right"/>
              <w:ind w:right="577"/>
              <w:spacing w:after="0"/>
              <w:rPr>
                <w:sz w:val="20"/>
                <w:szCs w:val="20"/>
                <w:color w:val="auto"/>
              </w:rPr>
            </w:pPr>
            <w:r>
              <w:rPr>
                <w:rFonts w:ascii="Arial" w:cs="Arial" w:eastAsia="Arial" w:hAnsi="Arial"/>
                <w:sz w:val="14"/>
                <w:szCs w:val="14"/>
                <w:b w:val="1"/>
                <w:bCs w:val="1"/>
                <w:color w:val="auto"/>
              </w:rPr>
              <w:t>2003</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Long-lived Assets (b):</w:t>
            </w:r>
          </w:p>
        </w:tc>
        <w:tc>
          <w:tcPr>
            <w:tcW w:w="2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7"/>
              <w:spacing w:after="0"/>
              <w:rPr>
                <w:sz w:val="20"/>
                <w:szCs w:val="20"/>
                <w:color w:val="auto"/>
              </w:rPr>
            </w:pPr>
            <w:r>
              <w:rPr>
                <w:rFonts w:ascii="Arial" w:cs="Arial" w:eastAsia="Arial" w:hAnsi="Arial"/>
                <w:sz w:val="18"/>
                <w:szCs w:val="18"/>
                <w:color w:val="auto"/>
              </w:rPr>
              <w:t>57,250.4</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79,255.2</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2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2,660.7</w:t>
            </w: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2,684.6</w:t>
            </w: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0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300" w:type="dxa"/>
            <w:vAlign w:val="bottom"/>
          </w:tcPr>
          <w:p>
            <w:pPr>
              <w:ind w:left="420"/>
              <w:spacing w:after="0"/>
              <w:rPr>
                <w:sz w:val="20"/>
                <w:szCs w:val="20"/>
                <w:color w:val="auto"/>
              </w:rPr>
            </w:pPr>
            <w:r>
              <w:rPr>
                <w:rFonts w:ascii="Arial" w:cs="Arial" w:eastAsia="Arial" w:hAnsi="Arial"/>
                <w:sz w:val="18"/>
                <w:szCs w:val="18"/>
                <w:b w:val="1"/>
                <w:bCs w:val="1"/>
                <w:color w:val="auto"/>
              </w:rPr>
              <w:t>Total Long-lived Assets</w:t>
            </w:r>
          </w:p>
        </w:tc>
        <w:tc>
          <w:tcPr>
            <w:tcW w:w="2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7"/>
              <w:spacing w:after="0"/>
              <w:rPr>
                <w:sz w:val="20"/>
                <w:szCs w:val="20"/>
                <w:color w:val="auto"/>
              </w:rPr>
            </w:pPr>
            <w:r>
              <w:rPr>
                <w:rFonts w:ascii="Arial" w:cs="Arial" w:eastAsia="Arial" w:hAnsi="Arial"/>
                <w:sz w:val="18"/>
                <w:szCs w:val="18"/>
                <w:color w:val="auto"/>
              </w:rPr>
              <w:t>59,911.1</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81,939.8</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30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6340475</wp:posOffset>
            </wp:positionH>
            <wp:positionV relativeFrom="paragraph">
              <wp:posOffset>-871855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-306070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-14605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Transactions within the Company between geographic areas are not significant.</w:t>
      </w:r>
    </w:p>
    <w:p>
      <w:pPr>
        <w:spacing w:after="0" w:line="209" w:lineRule="exact"/>
        <w:rPr>
          <w:sz w:val="20"/>
          <w:szCs w:val="20"/>
          <w:color w:val="auto"/>
        </w:rPr>
      </w:pPr>
    </w:p>
    <w:p>
      <w:pPr>
        <w:ind w:left="1080" w:hanging="532"/>
        <w:spacing w:after="0"/>
        <w:tabs>
          <w:tab w:leader="none" w:pos="10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Revenue classifications are based on customers' locations.</w:t>
      </w:r>
    </w:p>
    <w:p>
      <w:pPr>
        <w:spacing w:after="0" w:line="190" w:lineRule="exact"/>
        <w:rPr>
          <w:rFonts w:ascii="Arial" w:cs="Arial" w:eastAsia="Arial" w:hAnsi="Arial"/>
          <w:sz w:val="14"/>
          <w:szCs w:val="14"/>
          <w:color w:val="auto"/>
        </w:rPr>
      </w:pPr>
    </w:p>
    <w:p>
      <w:pPr>
        <w:ind w:left="1080" w:hanging="532"/>
        <w:spacing w:after="0"/>
        <w:tabs>
          <w:tab w:leader="none" w:pos="10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Reflects total assets less current assets, non-current deferred tax assets and investments in affiliated companies.</w:t>
      </w:r>
    </w:p>
    <w:p>
      <w:pPr>
        <w:spacing w:after="0" w:line="200" w:lineRule="exact"/>
        <w:rPr>
          <w:rFonts w:ascii="Arial" w:cs="Arial" w:eastAsia="Arial" w:hAnsi="Arial"/>
          <w:sz w:val="14"/>
          <w:szCs w:val="14"/>
          <w:color w:val="auto"/>
        </w:rPr>
      </w:pPr>
    </w:p>
    <w:p>
      <w:pPr>
        <w:ind w:left="280" w:hanging="272"/>
        <w:spacing w:after="0"/>
        <w:tabs>
          <w:tab w:leader="none" w:pos="2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OTHER ITEMS, NET</w:t>
      </w:r>
    </w:p>
    <w:p>
      <w:pPr>
        <w:spacing w:after="0" w:line="231" w:lineRule="exact"/>
        <w:rPr>
          <w:sz w:val="20"/>
          <w:szCs w:val="20"/>
          <w:color w:val="auto"/>
        </w:rPr>
      </w:pPr>
    </w:p>
    <w:p>
      <w:pPr>
        <w:ind w:right="580" w:firstLine="351"/>
        <w:spacing w:after="0" w:line="306" w:lineRule="auto"/>
        <w:rPr>
          <w:sz w:val="20"/>
          <w:szCs w:val="20"/>
          <w:color w:val="auto"/>
        </w:rPr>
      </w:pPr>
      <w:r>
        <w:rPr>
          <w:rFonts w:ascii="Arial" w:cs="Arial" w:eastAsia="Arial" w:hAnsi="Arial"/>
          <w:sz w:val="16"/>
          <w:szCs w:val="16"/>
          <w:color w:val="auto"/>
        </w:rPr>
        <w:t>For 2004, "Other items, net" of $7.6 million principally reflected foreign exchange gains of $16.8 million and a net gain on the sale of investments of $34.5 million, partially offset by a non-cash charge of $21.7 million associated with other-than-temporary declines in the Company's investments, losses associated with securitizing trade receivables of $19.3 million and a loss of $2.7 million on the sale of radio stations.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OTHER ITEMS, NET —(Continued)</w:t>
      </w:r>
    </w:p>
    <w:p>
      <w:pPr>
        <w:spacing w:after="0" w:line="231"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For 2003, "Other items, net" reflected a net loss of $3.0 million principally consisting of foreign exchange losses of $3.9 million, losses associated with securitizing trade receivables of $14.8 million and an aggregate loss of $5.0 million resulting from the write-down of several investments to their market value. These losses were partially offset by a net gain on the disposition of investments of $14.8 million and an insurance recoupment of $5.6 million.</w:t>
      </w:r>
    </w:p>
    <w:p>
      <w:pPr>
        <w:spacing w:after="0" w:line="161" w:lineRule="exact"/>
        <w:rPr>
          <w:sz w:val="20"/>
          <w:szCs w:val="20"/>
          <w:color w:val="auto"/>
        </w:rPr>
      </w:pPr>
    </w:p>
    <w:p>
      <w:pPr>
        <w:jc w:val="both"/>
        <w:ind w:right="140" w:firstLine="351"/>
        <w:spacing w:after="0" w:line="298" w:lineRule="auto"/>
        <w:rPr>
          <w:sz w:val="20"/>
          <w:szCs w:val="20"/>
          <w:color w:val="auto"/>
        </w:rPr>
      </w:pPr>
      <w:r>
        <w:rPr>
          <w:rFonts w:ascii="Arial" w:cs="Arial" w:eastAsia="Arial" w:hAnsi="Arial"/>
          <w:sz w:val="16"/>
          <w:szCs w:val="16"/>
          <w:color w:val="auto"/>
        </w:rPr>
        <w:t>For 2002, "Other items, net" reflected a net loss of $32.9 million principally consisting of foreign exchange losses of $55.6 million, losses of $19.7 million associated with securitizing trade receivables and an aggregate loss of approximately $12.5 million resulting from the write-down of several investments to their market value. These losses were partially offset by the recovery of advertising commitments of $29.8 million, a gain of $18.8 million on the sale of a telephone kiosk advertising business and a net gain of $5.3 million from the sale of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218440</wp:posOffset>
            </wp:positionV>
            <wp:extent cx="5681345" cy="215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681345"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0" w:type="dxa"/>
            <w:vAlign w:val="bottom"/>
          </w:tcPr>
          <w:p>
            <w:pPr>
              <w:spacing w:after="0"/>
              <w:rPr>
                <w:sz w:val="15"/>
                <w:szCs w:val="15"/>
                <w:color w:val="auto"/>
              </w:rPr>
            </w:pPr>
          </w:p>
        </w:tc>
        <w:tc>
          <w:tcPr>
            <w:tcW w:w="4280" w:type="dxa"/>
            <w:vAlign w:val="bottom"/>
            <w:gridSpan w:val="2"/>
          </w:tcPr>
          <w:p>
            <w:pPr>
              <w:ind w:left="240"/>
              <w:spacing w:after="0"/>
              <w:rPr>
                <w:sz w:val="20"/>
                <w:szCs w:val="20"/>
                <w:color w:val="auto"/>
              </w:rPr>
            </w:pPr>
            <w:r>
              <w:rPr>
                <w:rFonts w:ascii="Arial" w:cs="Arial" w:eastAsia="Arial" w:hAnsi="Arial"/>
                <w:sz w:val="14"/>
                <w:szCs w:val="14"/>
                <w:b w:val="1"/>
                <w:bCs w:val="1"/>
                <w:color w:val="auto"/>
              </w:rPr>
              <w:t>Year Ended or At December 31,</w:t>
            </w:r>
          </w:p>
        </w:tc>
        <w:tc>
          <w:tcPr>
            <w:tcW w:w="1600" w:type="dxa"/>
            <w:vAlign w:val="bottom"/>
          </w:tcPr>
          <w:p>
            <w:pPr>
              <w:spacing w:after="0"/>
              <w:rPr>
                <w:sz w:val="15"/>
                <w:szCs w:val="15"/>
                <w:color w:val="auto"/>
              </w:rPr>
            </w:pPr>
          </w:p>
        </w:tc>
        <w:tc>
          <w:tcPr>
            <w:tcW w:w="920" w:type="dxa"/>
            <w:vAlign w:val="bottom"/>
          </w:tcPr>
          <w:p>
            <w:pPr>
              <w:jc w:val="right"/>
              <w:ind w:right="414"/>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1020" w:type="dxa"/>
            <w:vAlign w:val="bottom"/>
          </w:tcPr>
          <w:p>
            <w:pPr>
              <w:jc w:val="right"/>
              <w:ind w:right="494"/>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760" w:type="dxa"/>
            <w:vAlign w:val="bottom"/>
          </w:tcPr>
          <w:p>
            <w:pPr>
              <w:jc w:val="right"/>
              <w:ind w:right="274"/>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00" w:type="dxa"/>
            <w:vAlign w:val="bottom"/>
          </w:tcPr>
          <w:p>
            <w:pPr>
              <w:spacing w:after="0"/>
              <w:rPr>
                <w:sz w:val="9"/>
                <w:szCs w:val="9"/>
                <w:color w:val="auto"/>
              </w:rPr>
            </w:pPr>
          </w:p>
        </w:tc>
        <w:tc>
          <w:tcPr>
            <w:tcW w:w="26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5"/>
              </w:rPr>
              <w:t>Cash paid for interest, net of amounts capitalized (a)</w:t>
            </w:r>
          </w:p>
        </w:tc>
        <w:tc>
          <w:tcPr>
            <w:tcW w:w="1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636.3</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693.6</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Cash paid for income taxes (a)</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1,185.0</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933.9</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630.1</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6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Equipment acquired under capitalized leases</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141.7</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64.9</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assets acquired</w:t>
            </w:r>
          </w:p>
        </w:tc>
        <w:tc>
          <w:tcPr>
            <w:tcW w:w="1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605.4</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1,370.2</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w:t>
            </w:r>
          </w:p>
        </w:tc>
        <w:tc>
          <w:tcPr>
            <w:tcW w:w="18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Fair value of liabilities assumed</w:t>
            </w:r>
          </w:p>
        </w:tc>
        <w:tc>
          <w:tcPr>
            <w:tcW w:w="1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(179.6)</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(102.0)</w:t>
            </w:r>
          </w:p>
        </w:tc>
        <w:tc>
          <w:tcPr>
            <w:tcW w:w="2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Minority interest</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73.4</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Cash paid, net of cash acquired</w:t>
            </w:r>
          </w:p>
        </w:tc>
        <w:tc>
          <w:tcPr>
            <w:tcW w:w="1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(427.7)</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(1,341.6)</w:t>
            </w:r>
          </w:p>
        </w:tc>
        <w:tc>
          <w:tcPr>
            <w:tcW w:w="2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(818.0)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00" w:type="dxa"/>
            <w:vAlign w:val="bottom"/>
          </w:tcPr>
          <w:p>
            <w:pPr>
              <w:spacing w:after="0"/>
              <w:rPr>
                <w:sz w:val="9"/>
                <w:szCs w:val="9"/>
                <w:color w:val="auto"/>
              </w:rPr>
            </w:pPr>
          </w:p>
        </w:tc>
        <w:tc>
          <w:tcPr>
            <w:tcW w:w="26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Impact on stockholders' equity</w:t>
            </w:r>
          </w:p>
        </w:tc>
        <w:tc>
          <w:tcPr>
            <w:tcW w:w="1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2"/>
        </w:trPr>
        <w:tc>
          <w:tcPr>
            <w:tcW w:w="900" w:type="dxa"/>
            <w:vAlign w:val="bottom"/>
          </w:tcPr>
          <w:p>
            <w:pPr>
              <w:ind w:left="540"/>
              <w:spacing w:after="0"/>
              <w:rPr>
                <w:sz w:val="20"/>
                <w:szCs w:val="20"/>
                <w:color w:val="auto"/>
              </w:rPr>
            </w:pPr>
            <w:r>
              <w:rPr>
                <w:rFonts w:ascii="Arial" w:cs="Arial" w:eastAsia="Arial" w:hAnsi="Arial"/>
                <w:sz w:val="14"/>
                <w:szCs w:val="14"/>
                <w:color w:val="auto"/>
              </w:rPr>
              <w:t>(a)</w:t>
            </w:r>
          </w:p>
        </w:tc>
        <w:tc>
          <w:tcPr>
            <w:tcW w:w="4280" w:type="dxa"/>
            <w:vAlign w:val="bottom"/>
            <w:gridSpan w:val="2"/>
          </w:tcPr>
          <w:p>
            <w:pPr>
              <w:ind w:left="180"/>
              <w:spacing w:after="0"/>
              <w:rPr>
                <w:sz w:val="20"/>
                <w:szCs w:val="20"/>
                <w:color w:val="auto"/>
              </w:rPr>
            </w:pPr>
            <w:r>
              <w:rPr>
                <w:rFonts w:ascii="Arial" w:cs="Arial" w:eastAsia="Arial" w:hAnsi="Arial"/>
                <w:sz w:val="14"/>
                <w:szCs w:val="14"/>
                <w:color w:val="auto"/>
              </w:rPr>
              <w:t>Amounts also include cash payments for discontinued operations.</w:t>
            </w: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0" w:type="dxa"/>
            <w:vAlign w:val="bottom"/>
          </w:tcPr>
          <w:p>
            <w:pPr>
              <w:jc w:val="right"/>
              <w:ind w:right="812"/>
              <w:spacing w:after="0"/>
              <w:rPr>
                <w:sz w:val="20"/>
                <w:szCs w:val="20"/>
                <w:color w:val="auto"/>
              </w:rPr>
            </w:pPr>
            <w:r>
              <w:rPr>
                <w:rFonts w:ascii="Arial" w:cs="Arial" w:eastAsia="Arial" w:hAnsi="Arial"/>
                <w:sz w:val="18"/>
                <w:szCs w:val="18"/>
                <w:color w:val="auto"/>
              </w:rPr>
              <w:t>II-72</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6400800</wp:posOffset>
            </wp:positionH>
            <wp:positionV relativeFrom="paragraph">
              <wp:posOffset>-2586990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-2586990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-1026160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-1026160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-734695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-734695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81850" cy="215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center"/>
              <w:ind w:right="256"/>
              <w:spacing w:after="0"/>
              <w:rPr>
                <w:sz w:val="20"/>
                <w:szCs w:val="20"/>
                <w:color w:val="auto"/>
              </w:rPr>
            </w:pPr>
            <w:r>
              <w:rPr>
                <w:rFonts w:ascii="Arial" w:cs="Arial" w:eastAsia="Arial" w:hAnsi="Arial"/>
                <w:sz w:val="14"/>
                <w:szCs w:val="14"/>
                <w:b w:val="1"/>
                <w:bCs w:val="1"/>
                <w:color w:val="auto"/>
                <w:w w:val="90"/>
              </w:rPr>
              <w:t>Fourth</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jc w:val="right"/>
              <w:ind w:right="415"/>
              <w:spacing w:after="0" w:line="149" w:lineRule="exact"/>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12"/>
                <w:szCs w:val="12"/>
                <w:color w:val="auto"/>
              </w:rPr>
            </w:pPr>
          </w:p>
        </w:tc>
        <w:tc>
          <w:tcPr>
            <w:tcW w:w="980" w:type="dxa"/>
            <w:vAlign w:val="bottom"/>
          </w:tcPr>
          <w:p>
            <w:pPr>
              <w:jc w:val="right"/>
              <w:ind w:right="335"/>
              <w:spacing w:after="0" w:line="149" w:lineRule="exact"/>
              <w:rPr>
                <w:sz w:val="20"/>
                <w:szCs w:val="20"/>
                <w:color w:val="auto"/>
              </w:rPr>
            </w:pPr>
            <w:r>
              <w:rPr>
                <w:rFonts w:ascii="Arial" w:cs="Arial" w:eastAsia="Arial" w:hAnsi="Arial"/>
                <w:sz w:val="14"/>
                <w:szCs w:val="14"/>
                <w:b w:val="1"/>
                <w:bCs w:val="1"/>
                <w:color w:val="auto"/>
              </w:rPr>
              <w:t>Second</w:t>
            </w:r>
          </w:p>
        </w:tc>
        <w:tc>
          <w:tcPr>
            <w:tcW w:w="280" w:type="dxa"/>
            <w:vAlign w:val="bottom"/>
          </w:tcPr>
          <w:p>
            <w:pPr>
              <w:spacing w:after="0"/>
              <w:rPr>
                <w:sz w:val="12"/>
                <w:szCs w:val="12"/>
                <w:color w:val="auto"/>
              </w:rPr>
            </w:pPr>
          </w:p>
        </w:tc>
        <w:tc>
          <w:tcPr>
            <w:tcW w:w="1020" w:type="dxa"/>
            <w:vAlign w:val="bottom"/>
          </w:tcPr>
          <w:p>
            <w:pPr>
              <w:jc w:val="right"/>
              <w:ind w:right="415"/>
              <w:spacing w:after="0" w:line="149" w:lineRule="exact"/>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2"/>
                <w:szCs w:val="12"/>
                <w:color w:val="auto"/>
              </w:rPr>
            </w:pPr>
          </w:p>
        </w:tc>
        <w:tc>
          <w:tcPr>
            <w:tcW w:w="118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4"/>
              </w:rPr>
              <w:t>Quarter</w:t>
            </w:r>
          </w:p>
        </w:tc>
        <w:tc>
          <w:tcPr>
            <w:tcW w:w="320" w:type="dxa"/>
            <w:vAlign w:val="bottom"/>
          </w:tcPr>
          <w:p>
            <w:pPr>
              <w:spacing w:after="0"/>
              <w:rPr>
                <w:sz w:val="12"/>
                <w:szCs w:val="12"/>
                <w:color w:val="auto"/>
              </w:rPr>
            </w:pPr>
          </w:p>
        </w:tc>
        <w:tc>
          <w:tcPr>
            <w:tcW w:w="11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80" w:type="dxa"/>
            <w:vAlign w:val="bottom"/>
          </w:tcPr>
          <w:p>
            <w:pPr>
              <w:ind w:left="2040"/>
              <w:spacing w:after="0"/>
              <w:rPr>
                <w:sz w:val="20"/>
                <w:szCs w:val="20"/>
                <w:color w:val="auto"/>
              </w:rPr>
            </w:pPr>
            <w:r>
              <w:rPr>
                <w:rFonts w:ascii="Arial" w:cs="Arial" w:eastAsia="Arial" w:hAnsi="Arial"/>
                <w:sz w:val="14"/>
                <w:szCs w:val="14"/>
                <w:b w:val="1"/>
                <w:bCs w:val="1"/>
                <w:color w:val="auto"/>
              </w:rPr>
              <w:t>2004 (a)</w:t>
            </w:r>
          </w:p>
        </w:tc>
        <w:tc>
          <w:tcPr>
            <w:tcW w:w="520" w:type="dxa"/>
            <w:vAlign w:val="bottom"/>
          </w:tcPr>
          <w:p>
            <w:pPr>
              <w:spacing w:after="0"/>
              <w:rPr>
                <w:sz w:val="15"/>
                <w:szCs w:val="15"/>
                <w:color w:val="auto"/>
              </w:rPr>
            </w:pPr>
          </w:p>
        </w:tc>
        <w:tc>
          <w:tcPr>
            <w:tcW w:w="1000" w:type="dxa"/>
            <w:vAlign w:val="bottom"/>
          </w:tcPr>
          <w:p>
            <w:pPr>
              <w:jc w:val="right"/>
              <w:ind w:right="315"/>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5"/>
                <w:szCs w:val="15"/>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5"/>
                <w:szCs w:val="15"/>
                <w:color w:val="auto"/>
              </w:rPr>
            </w:pPr>
          </w:p>
        </w:tc>
        <w:tc>
          <w:tcPr>
            <w:tcW w:w="1020" w:type="dxa"/>
            <w:vAlign w:val="bottom"/>
          </w:tcPr>
          <w:p>
            <w:pPr>
              <w:jc w:val="right"/>
              <w:ind w:right="335"/>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5"/>
                <w:szCs w:val="15"/>
                <w:color w:val="auto"/>
              </w:rPr>
            </w:pPr>
          </w:p>
        </w:tc>
        <w:tc>
          <w:tcPr>
            <w:tcW w:w="1180" w:type="dxa"/>
            <w:vAlign w:val="bottom"/>
          </w:tcPr>
          <w:p>
            <w:pPr>
              <w:jc w:val="center"/>
              <w:ind w:right="256"/>
              <w:spacing w:after="0"/>
              <w:rPr>
                <w:sz w:val="20"/>
                <w:szCs w:val="20"/>
                <w:color w:val="auto"/>
              </w:rPr>
            </w:pPr>
            <w:r>
              <w:rPr>
                <w:rFonts w:ascii="Arial" w:cs="Arial" w:eastAsia="Arial" w:hAnsi="Arial"/>
                <w:sz w:val="14"/>
                <w:szCs w:val="14"/>
                <w:b w:val="1"/>
                <w:bCs w:val="1"/>
                <w:color w:val="auto"/>
                <w:w w:val="91"/>
              </w:rPr>
              <w:t>(b)(c)</w:t>
            </w:r>
          </w:p>
        </w:tc>
        <w:tc>
          <w:tcPr>
            <w:tcW w:w="320" w:type="dxa"/>
            <w:vAlign w:val="bottom"/>
          </w:tcPr>
          <w:p>
            <w:pPr>
              <w:spacing w:after="0"/>
              <w:rPr>
                <w:sz w:val="15"/>
                <w:szCs w:val="15"/>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5,298.3</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5,446.6</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5,484.6</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6,296.4</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Operating income (loss)</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1,054.6</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1,370.8</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1,344.5</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(16,738.9)</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(12,969.0)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from continuing operations</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(17,115.9)</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(15,059.5)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4"/>
              </w:rPr>
              <w:t>Net earnings (loss) before cumulative effect of accounting</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change</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710.5</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753.8</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(487.6)</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(17,126.5)</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(16,149.8)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(18,438.9)</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 (loss) from continuing operations</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tcPr>
          <w:p>
            <w:pPr>
              <w:ind w:left="220"/>
              <w:spacing w:after="0"/>
              <w:rPr>
                <w:sz w:val="20"/>
                <w:szCs w:val="20"/>
                <w:color w:val="auto"/>
              </w:rPr>
            </w:pPr>
            <w:r>
              <w:rPr>
                <w:rFonts w:ascii="Arial" w:cs="Arial" w:eastAsia="Arial" w:hAnsi="Arial"/>
                <w:sz w:val="18"/>
                <w:szCs w:val="18"/>
                <w:color w:val="auto"/>
                <w:w w:val="96"/>
              </w:rPr>
              <w:t>Earnings (loss) before cumulative effect of accounting</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220"/>
              <w:spacing w:after="0"/>
              <w:rPr>
                <w:sz w:val="20"/>
                <w:szCs w:val="20"/>
                <w:color w:val="auto"/>
              </w:rPr>
            </w:pPr>
            <w:r>
              <w:rPr>
                <w:rFonts w:ascii="Arial" w:cs="Arial" w:eastAsia="Arial" w:hAnsi="Arial"/>
                <w:sz w:val="18"/>
                <w:szCs w:val="18"/>
                <w:color w:val="auto"/>
              </w:rPr>
              <w:t>change</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(10.21)</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 (loss)</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 (loss) from continuing operations</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tcPr>
          <w:p>
            <w:pPr>
              <w:ind w:left="220"/>
              <w:spacing w:after="0"/>
              <w:rPr>
                <w:sz w:val="20"/>
                <w:szCs w:val="20"/>
                <w:color w:val="auto"/>
              </w:rPr>
            </w:pPr>
            <w:r>
              <w:rPr>
                <w:rFonts w:ascii="Arial" w:cs="Arial" w:eastAsia="Arial" w:hAnsi="Arial"/>
                <w:sz w:val="18"/>
                <w:szCs w:val="18"/>
                <w:color w:val="auto"/>
                <w:w w:val="96"/>
              </w:rPr>
              <w:t>Earnings (loss) before cumulative effect of accounting</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220"/>
              <w:spacing w:after="0"/>
              <w:rPr>
                <w:sz w:val="20"/>
                <w:szCs w:val="20"/>
                <w:color w:val="auto"/>
              </w:rPr>
            </w:pPr>
            <w:r>
              <w:rPr>
                <w:rFonts w:ascii="Arial" w:cs="Arial" w:eastAsia="Arial" w:hAnsi="Arial"/>
                <w:sz w:val="18"/>
                <w:szCs w:val="18"/>
                <w:color w:val="auto"/>
              </w:rPr>
              <w:t>change</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(10.21)</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 (loss)</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430"/>
        </w:trPr>
        <w:tc>
          <w:tcPr>
            <w:tcW w:w="4400" w:type="dxa"/>
            <w:vAlign w:val="bottom"/>
            <w:gridSpan w:val="2"/>
          </w:tcPr>
          <w:p>
            <w:pPr>
              <w:spacing w:after="0"/>
              <w:rPr>
                <w:sz w:val="20"/>
                <w:szCs w:val="20"/>
                <w:color w:val="auto"/>
              </w:rPr>
            </w:pPr>
            <w:r>
              <w:rPr>
                <w:rFonts w:ascii="Arial" w:cs="Arial" w:eastAsia="Arial" w:hAnsi="Arial"/>
                <w:sz w:val="18"/>
                <w:szCs w:val="18"/>
                <w:color w:val="auto"/>
              </w:rPr>
              <w:t>Dividends per common share (d)</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number of common shares outstanding:</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2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1,731.0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1,724.3</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1,725.7</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1,677.1</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1,744.5</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1,734.8</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1,677.1</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1,714.4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-3049905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-3049905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2004, the exchange offer for the split-off of Blockbuster was completed and Blockbuster is presented as a discontinued operation.</w:t>
      </w:r>
    </w:p>
    <w:p>
      <w:pPr>
        <w:spacing w:after="0" w:line="122" w:lineRule="exact"/>
        <w:rPr>
          <w:rFonts w:ascii="Arial" w:cs="Arial" w:eastAsia="Arial" w:hAnsi="Arial"/>
          <w:sz w:val="14"/>
          <w:szCs w:val="14"/>
          <w:color w:val="auto"/>
        </w:rPr>
      </w:pPr>
    </w:p>
    <w:p>
      <w:pPr>
        <w:ind w:left="540" w:right="120" w:hanging="532"/>
        <w:spacing w:after="0" w:line="239" w:lineRule="auto"/>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described in Note 3 to the Company's consolidated financial statements, the Company recorded a non-cash impairment charge of $18.0 billion, or $10.43 per diluted share, related to the reductions of the carrying amount of goodwill and intangibles of Radio and Outdoor to their respective estimated fair values.</w:t>
      </w:r>
    </w:p>
    <w:p>
      <w:pPr>
        <w:spacing w:after="0" w:line="111" w:lineRule="exact"/>
        <w:rPr>
          <w:rFonts w:ascii="Arial" w:cs="Arial" w:eastAsia="Arial" w:hAnsi="Arial"/>
          <w:sz w:val="14"/>
          <w:szCs w:val="14"/>
          <w:color w:val="auto"/>
        </w:rPr>
      </w:pPr>
    </w:p>
    <w:p>
      <w:pPr>
        <w:ind w:left="540" w:right="380" w:hanging="532"/>
        <w:spacing w:after="0" w:line="239" w:lineRule="auto"/>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described in Note 1 to the Company's consolidated financial statements, the Company recorded a charge of $2.2 billion ($1.3 billion, net of tax) to reduce intangible balances attributable to its Television Stations' FCC licenses as a cumulative effect of accounting change.</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Company announced a quarterly cash dividend of $.06 per share on its Common Stock during the first three quarters of 2004 and $.07 per share in the fourth quarter of 2004.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FINANCIAL DATA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ind w:right="395"/>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14"/>
                <w:szCs w:val="14"/>
                <w:color w:val="auto"/>
              </w:rPr>
            </w:pPr>
          </w:p>
        </w:tc>
        <w:tc>
          <w:tcPr>
            <w:tcW w:w="980" w:type="dxa"/>
            <w:vAlign w:val="bottom"/>
          </w:tcPr>
          <w:p>
            <w:pPr>
              <w:jc w:val="right"/>
              <w:ind w:right="335"/>
              <w:spacing w:after="0"/>
              <w:rPr>
                <w:sz w:val="20"/>
                <w:szCs w:val="20"/>
                <w:color w:val="auto"/>
              </w:rPr>
            </w:pPr>
            <w:r>
              <w:rPr>
                <w:rFonts w:ascii="Arial" w:cs="Arial" w:eastAsia="Arial" w:hAnsi="Arial"/>
                <w:sz w:val="14"/>
                <w:szCs w:val="14"/>
                <w:b w:val="1"/>
                <w:bCs w:val="1"/>
                <w:color w:val="auto"/>
              </w:rPr>
              <w:t>Second</w:t>
            </w:r>
          </w:p>
        </w:tc>
        <w:tc>
          <w:tcPr>
            <w:tcW w:w="280" w:type="dxa"/>
            <w:vAlign w:val="bottom"/>
          </w:tcPr>
          <w:p>
            <w:pPr>
              <w:spacing w:after="0"/>
              <w:rPr>
                <w:sz w:val="14"/>
                <w:szCs w:val="14"/>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1040" w:type="dxa"/>
            <w:vAlign w:val="bottom"/>
          </w:tcPr>
          <w:p>
            <w:pPr>
              <w:jc w:val="right"/>
              <w:ind w:right="375"/>
              <w:spacing w:after="0"/>
              <w:rPr>
                <w:sz w:val="20"/>
                <w:szCs w:val="20"/>
                <w:color w:val="auto"/>
              </w:rPr>
            </w:pPr>
            <w:r>
              <w:rPr>
                <w:rFonts w:ascii="Arial" w:cs="Arial" w:eastAsia="Arial" w:hAnsi="Arial"/>
                <w:sz w:val="14"/>
                <w:szCs w:val="14"/>
                <w:b w:val="1"/>
                <w:bCs w:val="1"/>
                <w:color w:val="auto"/>
              </w:rPr>
              <w:t>Fourth</w:t>
            </w:r>
          </w:p>
        </w:tc>
        <w:tc>
          <w:tcPr>
            <w:tcW w:w="32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tcPr>
          <w:p>
            <w:pPr>
              <w:ind w:left="2240"/>
              <w:spacing w:after="0"/>
              <w:rPr>
                <w:sz w:val="20"/>
                <w:szCs w:val="20"/>
                <w:color w:val="auto"/>
              </w:rPr>
            </w:pPr>
            <w:r>
              <w:rPr>
                <w:rFonts w:ascii="Arial" w:cs="Arial" w:eastAsia="Arial" w:hAnsi="Arial"/>
                <w:sz w:val="14"/>
                <w:szCs w:val="14"/>
                <w:b w:val="1"/>
                <w:bCs w:val="1"/>
                <w:color w:val="auto"/>
              </w:rPr>
              <w:t>2003(a)</w:t>
            </w:r>
          </w:p>
        </w:tc>
        <w:tc>
          <w:tcPr>
            <w:tcW w:w="420" w:type="dxa"/>
            <w:vAlign w:val="bottom"/>
          </w:tcPr>
          <w:p>
            <w:pPr>
              <w:spacing w:after="0"/>
              <w:rPr>
                <w:sz w:val="15"/>
                <w:szCs w:val="15"/>
                <w:color w:val="auto"/>
              </w:rPr>
            </w:pPr>
          </w:p>
        </w:tc>
        <w:tc>
          <w:tcPr>
            <w:tcW w:w="980" w:type="dxa"/>
            <w:vAlign w:val="bottom"/>
          </w:tcPr>
          <w:p>
            <w:pPr>
              <w:jc w:val="right"/>
              <w:ind w:right="295"/>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5"/>
                <w:szCs w:val="15"/>
                <w:color w:val="auto"/>
              </w:rPr>
            </w:pPr>
          </w:p>
        </w:tc>
        <w:tc>
          <w:tcPr>
            <w:tcW w:w="980" w:type="dxa"/>
            <w:vAlign w:val="bottom"/>
          </w:tcPr>
          <w:p>
            <w:pPr>
              <w:jc w:val="right"/>
              <w:ind w:right="295"/>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5"/>
                <w:szCs w:val="15"/>
                <w:color w:val="auto"/>
              </w:rPr>
            </w:pPr>
          </w:p>
        </w:tc>
        <w:tc>
          <w:tcPr>
            <w:tcW w:w="1000" w:type="dxa"/>
            <w:vAlign w:val="bottom"/>
          </w:tcPr>
          <w:p>
            <w:pPr>
              <w:jc w:val="right"/>
              <w:ind w:right="315"/>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5"/>
                <w:szCs w:val="15"/>
                <w:color w:val="auto"/>
              </w:rPr>
            </w:pPr>
          </w:p>
        </w:tc>
        <w:tc>
          <w:tcPr>
            <w:tcW w:w="1040" w:type="dxa"/>
            <w:vAlign w:val="bottom"/>
          </w:tcPr>
          <w:p>
            <w:pPr>
              <w:jc w:val="right"/>
              <w:ind w:right="355"/>
              <w:spacing w:after="0"/>
              <w:rPr>
                <w:sz w:val="20"/>
                <w:szCs w:val="20"/>
                <w:color w:val="auto"/>
              </w:rPr>
            </w:pPr>
            <w:r>
              <w:rPr>
                <w:rFonts w:ascii="Arial" w:cs="Arial" w:eastAsia="Arial" w:hAnsi="Arial"/>
                <w:sz w:val="14"/>
                <w:szCs w:val="14"/>
                <w:b w:val="1"/>
                <w:bCs w:val="1"/>
                <w:color w:val="auto"/>
              </w:rPr>
              <w:t>Quarter</w:t>
            </w:r>
          </w:p>
        </w:tc>
        <w:tc>
          <w:tcPr>
            <w:tcW w:w="320" w:type="dxa"/>
            <w:vAlign w:val="bottom"/>
          </w:tcPr>
          <w:p>
            <w:pPr>
              <w:spacing w:after="0"/>
              <w:rPr>
                <w:sz w:val="15"/>
                <w:szCs w:val="15"/>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4,563.0</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5,055.7</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5,259.0</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5,949.9</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838.0</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1,210.3</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1,279.9</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1,145.4</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586.4</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1"/>
              </w:rPr>
              <w:t>Net earnings (loss) before cumulative effect of accounting change</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461.6</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659.6</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699.6</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(385.4)</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from continuing operations</w:t>
            </w:r>
          </w:p>
        </w:tc>
        <w:tc>
          <w:tcPr>
            <w:tcW w:w="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w w:val="93"/>
              </w:rPr>
              <w:t>Earnings (loss) before cumulative effect of accounting change</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(loss)</w:t>
            </w:r>
          </w:p>
        </w:tc>
        <w:tc>
          <w:tcPr>
            <w:tcW w:w="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from continuing operations</w:t>
            </w:r>
          </w:p>
        </w:tc>
        <w:tc>
          <w:tcPr>
            <w:tcW w:w="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Earnings before cumulative effect of accounting change</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(loss)</w:t>
            </w:r>
          </w:p>
        </w:tc>
        <w:tc>
          <w:tcPr>
            <w:tcW w:w="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840" w:type="dxa"/>
            <w:vAlign w:val="bottom"/>
            <w:gridSpan w:val="2"/>
          </w:tcPr>
          <w:p>
            <w:pPr>
              <w:spacing w:after="0"/>
              <w:rPr>
                <w:sz w:val="20"/>
                <w:szCs w:val="20"/>
                <w:color w:val="auto"/>
              </w:rPr>
            </w:pPr>
            <w:r>
              <w:rPr>
                <w:rFonts w:ascii="Arial" w:cs="Arial" w:eastAsia="Arial" w:hAnsi="Arial"/>
                <w:sz w:val="18"/>
                <w:szCs w:val="18"/>
                <w:color w:val="auto"/>
              </w:rPr>
              <w:t>Dividends per common share (b)</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..06</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1,745.9</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1,746.2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1,745.0</w:t>
            </w:r>
          </w:p>
        </w:tc>
        <w:tc>
          <w:tcPr>
            <w:tcW w:w="260" w:type="dxa"/>
            <w:vAlign w:val="bottom"/>
          </w:tcPr>
          <w:p>
            <w:pPr>
              <w:spacing w:after="0"/>
              <w:rPr>
                <w:sz w:val="18"/>
                <w:szCs w:val="18"/>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1,739.1</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1,765.3</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1,763.2</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1,753.3</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-2638425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-2638425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2004, the exchange offer for the split-off of Blockbuster was completed and Blockbuster is presented as a discontinued operation.</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Company declared a quarterly cash dividend of $.06 per share on its common stock during the third and fourth quarters of 2003.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w:t>
      </w:r>
    </w:p>
    <w:p>
      <w:pPr>
        <w:spacing w:after="0" w:line="23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Viacom International is a wholly owned subsidiary of the Company. Viacom International has fully and unconditionally guaranteed Viacom Inc.'s debt securities (See Note 8). The following condensed consolidating financial statements present the results of operations, financial position and cash flows of Viacom Inc., Viacom International, the direct and indirect Non-Guarantor Affiliates of Viacom Inc. and Viacom International, and the eliminations necessary to arrive at the information for the Company on a 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173595" cy="215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40" w:type="dxa"/>
            <w:vAlign w:val="bottom"/>
            <w:gridSpan w:val="5"/>
          </w:tcPr>
          <w:p>
            <w:pPr>
              <w:jc w:val="right"/>
              <w:ind w:right="173"/>
              <w:spacing w:after="0"/>
              <w:rPr>
                <w:sz w:val="20"/>
                <w:szCs w:val="20"/>
                <w:color w:val="auto"/>
              </w:rPr>
            </w:pPr>
            <w:r>
              <w:rPr>
                <w:rFonts w:ascii="Arial" w:cs="Arial" w:eastAsia="Arial" w:hAnsi="Arial"/>
                <w:sz w:val="14"/>
                <w:szCs w:val="14"/>
                <w:b w:val="1"/>
                <w:bCs w:val="1"/>
                <w:color w:val="auto"/>
                <w:w w:val="94"/>
              </w:rPr>
              <w:t>Statement of Operations for the Year Ended December 31, 2004</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center"/>
              <w:ind w:right="215"/>
              <w:spacing w:after="0"/>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ind w:right="455"/>
              <w:spacing w:after="0" w:line="149" w:lineRule="exact"/>
              <w:rPr>
                <w:sz w:val="20"/>
                <w:szCs w:val="20"/>
                <w:color w:val="auto"/>
              </w:rPr>
            </w:pPr>
            <w:r>
              <w:rPr>
                <w:rFonts w:ascii="Arial" w:cs="Arial" w:eastAsia="Arial" w:hAnsi="Arial"/>
                <w:sz w:val="14"/>
                <w:szCs w:val="14"/>
                <w:b w:val="1"/>
                <w:bCs w:val="1"/>
                <w:color w:val="auto"/>
              </w:rPr>
              <w:t>Viacom</w:t>
            </w:r>
          </w:p>
        </w:tc>
        <w:tc>
          <w:tcPr>
            <w:tcW w:w="240" w:type="dxa"/>
            <w:vAlign w:val="bottom"/>
          </w:tcPr>
          <w:p>
            <w:pPr>
              <w:spacing w:after="0"/>
              <w:rPr>
                <w:sz w:val="12"/>
                <w:szCs w:val="12"/>
                <w:color w:val="auto"/>
              </w:rPr>
            </w:pPr>
          </w:p>
        </w:tc>
        <w:tc>
          <w:tcPr>
            <w:tcW w:w="114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1"/>
              </w:rPr>
              <w:t>Guarantor</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Viacom Inc.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93"/>
              <w:spacing w:after="0"/>
              <w:rPr>
                <w:sz w:val="20"/>
                <w:szCs w:val="20"/>
                <w:color w:val="auto"/>
              </w:rPr>
            </w:pPr>
            <w:r>
              <w:rPr>
                <w:rFonts w:ascii="Arial" w:cs="Arial" w:eastAsia="Arial" w:hAnsi="Arial"/>
                <w:sz w:val="14"/>
                <w:szCs w:val="14"/>
                <w:b w:val="1"/>
                <w:bCs w:val="1"/>
                <w:color w:val="auto"/>
                <w:w w:val="97"/>
              </w:rPr>
              <w:t>Viacom Inc.</w:t>
            </w:r>
          </w:p>
        </w:tc>
        <w:tc>
          <w:tcPr>
            <w:tcW w:w="120" w:type="dxa"/>
            <w:vAlign w:val="bottom"/>
          </w:tcPr>
          <w:p>
            <w:pPr>
              <w:spacing w:after="0"/>
              <w:rPr>
                <w:sz w:val="15"/>
                <w:szCs w:val="15"/>
                <w:color w:val="auto"/>
              </w:rPr>
            </w:pPr>
          </w:p>
        </w:tc>
        <w:tc>
          <w:tcPr>
            <w:tcW w:w="1360" w:type="dxa"/>
            <w:vAlign w:val="bottom"/>
          </w:tcPr>
          <w:p>
            <w:pPr>
              <w:jc w:val="right"/>
              <w:ind w:right="295"/>
              <w:spacing w:after="0"/>
              <w:rPr>
                <w:sz w:val="20"/>
                <w:szCs w:val="20"/>
                <w:color w:val="auto"/>
              </w:rPr>
            </w:pPr>
            <w:r>
              <w:rPr>
                <w:rFonts w:ascii="Arial" w:cs="Arial" w:eastAsia="Arial" w:hAnsi="Arial"/>
                <w:sz w:val="14"/>
                <w:szCs w:val="14"/>
                <w:b w:val="1"/>
                <w:bCs w:val="1"/>
                <w:color w:val="auto"/>
              </w:rPr>
              <w:t>International</w:t>
            </w:r>
          </w:p>
        </w:tc>
        <w:tc>
          <w:tcPr>
            <w:tcW w:w="240" w:type="dxa"/>
            <w:vAlign w:val="bottom"/>
          </w:tcPr>
          <w:p>
            <w:pPr>
              <w:spacing w:after="0"/>
              <w:rPr>
                <w:sz w:val="15"/>
                <w:szCs w:val="15"/>
                <w:color w:val="auto"/>
              </w:rPr>
            </w:pPr>
          </w:p>
        </w:tc>
        <w:tc>
          <w:tcPr>
            <w:tcW w:w="1140" w:type="dxa"/>
            <w:vAlign w:val="bottom"/>
          </w:tcPr>
          <w:p>
            <w:pPr>
              <w:jc w:val="center"/>
              <w:ind w:right="215"/>
              <w:spacing w:after="0"/>
              <w:rPr>
                <w:sz w:val="20"/>
                <w:szCs w:val="20"/>
                <w:color w:val="auto"/>
              </w:rPr>
            </w:pPr>
            <w:r>
              <w:rPr>
                <w:rFonts w:ascii="Arial" w:cs="Arial" w:eastAsia="Arial" w:hAnsi="Arial"/>
                <w:sz w:val="14"/>
                <w:szCs w:val="14"/>
                <w:b w:val="1"/>
                <w:bCs w:val="1"/>
                <w:color w:val="auto"/>
                <w:w w:val="87"/>
              </w:rPr>
              <w:t>Affiliates</w:t>
            </w:r>
          </w:p>
        </w:tc>
        <w:tc>
          <w:tcPr>
            <w:tcW w:w="240" w:type="dxa"/>
            <w:vAlign w:val="bottom"/>
          </w:tcPr>
          <w:p>
            <w:pPr>
              <w:spacing w:after="0"/>
              <w:rPr>
                <w:sz w:val="15"/>
                <w:szCs w:val="15"/>
                <w:color w:val="auto"/>
              </w:rPr>
            </w:pPr>
          </w:p>
        </w:tc>
        <w:tc>
          <w:tcPr>
            <w:tcW w:w="1260" w:type="dxa"/>
            <w:vAlign w:val="bottom"/>
          </w:tcPr>
          <w:p>
            <w:pPr>
              <w:jc w:val="right"/>
              <w:ind w:right="313"/>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5"/>
                <w:szCs w:val="15"/>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4,082.5</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18,439.0</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0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11,312.5</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1,099.3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2,914.0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Non-cash impairment charge</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17,997.1</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32,928.4</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1,608.8</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(14,489.4)</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(53.8)</w:t>
            </w:r>
          </w:p>
        </w:tc>
        <w:tc>
          <w:tcPr>
            <w:tcW w:w="260" w:type="dxa"/>
            <w:vAlign w:val="bottom"/>
          </w:tcPr>
          <w:p>
            <w:pPr>
              <w:spacing w:after="0"/>
              <w:rPr>
                <w:sz w:val="24"/>
                <w:szCs w:val="2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(12,969.0)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items, net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146.9</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(140.0)</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1,396.4</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(14,073.8)</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312.7</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(553.0)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(1,138.3)</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(1,378.6)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2"/>
              </w:rPr>
              <w:t>Equity in earnings (loss) of affiliated companies, net of</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(16,991.1)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17,166.2</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from continuing operations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(17,462.2)</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(15,340.0)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16,972.4</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(15,059.5)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loss from discontinued operations, net of tax</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(1,075.5)</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(1,090.3)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before cumulative effect of</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accounting change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(16,415.5)</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16,972.4</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(16,149.8)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Cumulative effect of accounting change, net of</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minority interest and tax</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(1,312.4)</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(1,312.4)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(17,727.9)</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16,972.4</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(17,462.2)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915"/>
              <w:spacing w:after="0"/>
              <w:rPr>
                <w:sz w:val="20"/>
                <w:szCs w:val="20"/>
                <w:color w:val="auto"/>
              </w:rPr>
            </w:pPr>
            <w:r>
              <w:rPr>
                <w:rFonts w:ascii="Arial" w:cs="Arial" w:eastAsia="Arial" w:hAnsi="Arial"/>
                <w:sz w:val="18"/>
                <w:szCs w:val="18"/>
                <w:color w:val="auto"/>
                <w:w w:val="94"/>
              </w:rPr>
              <w:t>II-75</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-5202555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-5202555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-4765040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-4765040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-4473575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-4473575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-3633470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-3633470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-3342005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-3342005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-2775585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-2775585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-1935480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-1935480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-1506220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-803275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-511810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81850" cy="215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300" w:type="dxa"/>
            <w:vAlign w:val="bottom"/>
            <w:gridSpan w:val="5"/>
          </w:tcPr>
          <w:p>
            <w:pPr>
              <w:jc w:val="right"/>
              <w:ind w:right="173"/>
              <w:spacing w:after="0"/>
              <w:rPr>
                <w:sz w:val="20"/>
                <w:szCs w:val="20"/>
                <w:color w:val="auto"/>
              </w:rPr>
            </w:pPr>
            <w:r>
              <w:rPr>
                <w:rFonts w:ascii="Arial" w:cs="Arial" w:eastAsia="Arial" w:hAnsi="Arial"/>
                <w:sz w:val="14"/>
                <w:szCs w:val="14"/>
                <w:b w:val="1"/>
                <w:bCs w:val="1"/>
                <w:color w:val="auto"/>
                <w:w w:val="95"/>
              </w:rPr>
              <w:t>Statement of Operations for the Year Ended December 31, 2003</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center"/>
              <w:ind w:right="195"/>
              <w:spacing w:after="0"/>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right"/>
              <w:ind w:right="535"/>
              <w:spacing w:after="0" w:line="149" w:lineRule="exact"/>
              <w:rPr>
                <w:sz w:val="20"/>
                <w:szCs w:val="20"/>
                <w:color w:val="auto"/>
              </w:rPr>
            </w:pPr>
            <w:r>
              <w:rPr>
                <w:rFonts w:ascii="Arial" w:cs="Arial" w:eastAsia="Arial" w:hAnsi="Arial"/>
                <w:sz w:val="14"/>
                <w:szCs w:val="14"/>
                <w:b w:val="1"/>
                <w:bCs w:val="1"/>
                <w:color w:val="auto"/>
              </w:rPr>
              <w:t>Viacom</w:t>
            </w:r>
          </w:p>
        </w:tc>
        <w:tc>
          <w:tcPr>
            <w:tcW w:w="220" w:type="dxa"/>
            <w:vAlign w:val="bottom"/>
          </w:tcPr>
          <w:p>
            <w:pPr>
              <w:spacing w:after="0"/>
              <w:rPr>
                <w:sz w:val="12"/>
                <w:szCs w:val="12"/>
                <w:color w:val="auto"/>
              </w:rPr>
            </w:pPr>
          </w:p>
        </w:tc>
        <w:tc>
          <w:tcPr>
            <w:tcW w:w="116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4"/>
              </w:rPr>
              <w:t>Guarantor</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Viacom Inc.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33"/>
              <w:spacing w:after="0"/>
              <w:rPr>
                <w:sz w:val="20"/>
                <w:szCs w:val="20"/>
                <w:color w:val="auto"/>
              </w:rPr>
            </w:pPr>
            <w:r>
              <w:rPr>
                <w:rFonts w:ascii="Arial" w:cs="Arial" w:eastAsia="Arial" w:hAnsi="Arial"/>
                <w:sz w:val="14"/>
                <w:szCs w:val="14"/>
                <w:b w:val="1"/>
                <w:bCs w:val="1"/>
                <w:color w:val="auto"/>
                <w:w w:val="95"/>
              </w:rPr>
              <w:t>Viacom Inc.</w:t>
            </w:r>
          </w:p>
        </w:tc>
        <w:tc>
          <w:tcPr>
            <w:tcW w:w="160" w:type="dxa"/>
            <w:vAlign w:val="bottom"/>
          </w:tcPr>
          <w:p>
            <w:pPr>
              <w:spacing w:after="0"/>
              <w:rPr>
                <w:sz w:val="15"/>
                <w:szCs w:val="15"/>
                <w:color w:val="auto"/>
              </w:rPr>
            </w:pPr>
          </w:p>
        </w:tc>
        <w:tc>
          <w:tcPr>
            <w:tcW w:w="1460" w:type="dxa"/>
            <w:vAlign w:val="bottom"/>
          </w:tcPr>
          <w:p>
            <w:pPr>
              <w:jc w:val="right"/>
              <w:ind w:right="375"/>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5"/>
                <w:szCs w:val="15"/>
                <w:color w:val="auto"/>
              </w:rPr>
            </w:pPr>
          </w:p>
        </w:tc>
        <w:tc>
          <w:tcPr>
            <w:tcW w:w="1160" w:type="dxa"/>
            <w:vAlign w:val="bottom"/>
          </w:tcPr>
          <w:p>
            <w:pPr>
              <w:jc w:val="center"/>
              <w:ind w:right="195"/>
              <w:spacing w:after="0"/>
              <w:rPr>
                <w:sz w:val="20"/>
                <w:szCs w:val="20"/>
                <w:color w:val="auto"/>
              </w:rPr>
            </w:pPr>
            <w:r>
              <w:rPr>
                <w:rFonts w:ascii="Arial" w:cs="Arial" w:eastAsia="Arial" w:hAnsi="Arial"/>
                <w:sz w:val="14"/>
                <w:szCs w:val="14"/>
                <w:b w:val="1"/>
                <w:bCs w:val="1"/>
                <w:color w:val="auto"/>
                <w:w w:val="87"/>
              </w:rPr>
              <w:t>Affiliates</w:t>
            </w:r>
          </w:p>
        </w:tc>
        <w:tc>
          <w:tcPr>
            <w:tcW w:w="240" w:type="dxa"/>
            <w:vAlign w:val="bottom"/>
          </w:tcPr>
          <w:p>
            <w:pPr>
              <w:spacing w:after="0"/>
              <w:rPr>
                <w:sz w:val="15"/>
                <w:szCs w:val="15"/>
                <w:color w:val="auto"/>
              </w:rPr>
            </w:pPr>
          </w:p>
        </w:tc>
        <w:tc>
          <w:tcPr>
            <w:tcW w:w="1220" w:type="dxa"/>
            <w:vAlign w:val="bottom"/>
          </w:tcPr>
          <w:p>
            <w:pPr>
              <w:jc w:val="right"/>
              <w:ind w:right="293"/>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Pr>
          <w:p>
            <w:pPr>
              <w:spacing w:after="0"/>
              <w:rPr>
                <w:sz w:val="15"/>
                <w:szCs w:val="15"/>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3,599.7</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17,189.0</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20,827.6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1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1,134.3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10,802.3</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183.8</w:t>
            </w:r>
          </w:p>
        </w:tc>
        <w:tc>
          <w:tcPr>
            <w:tcW w:w="160" w:type="dxa"/>
            <w:vAlign w:val="bottom"/>
          </w:tcPr>
          <w:p>
            <w:pPr>
              <w:spacing w:after="0"/>
              <w:rPr>
                <w:sz w:val="18"/>
                <w:szCs w:val="18"/>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934.2</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2,637.6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3,732.3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67.5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273.4</w:t>
            </w:r>
          </w:p>
        </w:tc>
        <w:tc>
          <w:tcPr>
            <w:tcW w:w="160" w:type="dxa"/>
            <w:vAlign w:val="bottom"/>
          </w:tcPr>
          <w:p>
            <w:pPr>
              <w:spacing w:after="0"/>
              <w:rPr>
                <w:sz w:val="24"/>
                <w:szCs w:val="24"/>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2,136.0</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14,109.0</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(164.4)</w:t>
            </w:r>
          </w:p>
        </w:tc>
        <w:tc>
          <w:tcPr>
            <w:tcW w:w="26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16,354.0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1,463.7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(729.9)</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(204.2)</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20" w:type="dxa"/>
            <w:vAlign w:val="bottom"/>
            <w:gridSpan w:val="2"/>
          </w:tcPr>
          <w:p>
            <w:pPr>
              <w:spacing w:after="0"/>
              <w:rPr>
                <w:sz w:val="20"/>
                <w:szCs w:val="20"/>
                <w:color w:val="auto"/>
              </w:rPr>
            </w:pPr>
            <w:r>
              <w:rPr>
                <w:rFonts w:ascii="Arial" w:cs="Arial" w:eastAsia="Arial" w:hAnsi="Arial"/>
                <w:sz w:val="18"/>
                <w:szCs w:val="18"/>
                <w:color w:val="auto"/>
              </w:rPr>
              <w:t>Earnings (loss) before income taxes</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(823.4)</w:t>
            </w:r>
          </w:p>
        </w:tc>
        <w:tc>
          <w:tcPr>
            <w:tcW w:w="160" w:type="dxa"/>
            <w:vAlign w:val="bottom"/>
          </w:tcPr>
          <w:p>
            <w:pPr>
              <w:spacing w:after="0"/>
              <w:rPr>
                <w:sz w:val="24"/>
                <w:szCs w:val="24"/>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1,291.1</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3,313.5</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(41.8)</w:t>
            </w:r>
          </w:p>
        </w:tc>
        <w:tc>
          <w:tcPr>
            <w:tcW w:w="26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3,739.4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9"/>
              </w:rPr>
              <w:t>Equity in earnings of affiliated companies, net of tax</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1,911.7</w:t>
            </w:r>
          </w:p>
        </w:tc>
        <w:tc>
          <w:tcPr>
            <w:tcW w:w="160" w:type="dxa"/>
            <w:vAlign w:val="bottom"/>
          </w:tcPr>
          <w:p>
            <w:pPr>
              <w:spacing w:after="0"/>
              <w:rPr>
                <w:sz w:val="18"/>
                <w:szCs w:val="18"/>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188.3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(2,109.1)</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 of tax</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2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1,416.9</w:t>
            </w:r>
          </w:p>
        </w:tc>
        <w:tc>
          <w:tcPr>
            <w:tcW w:w="160" w:type="dxa"/>
            <w:vAlign w:val="bottom"/>
          </w:tcPr>
          <w:p>
            <w:pPr>
              <w:spacing w:after="0"/>
              <w:rPr>
                <w:sz w:val="24"/>
                <w:szCs w:val="24"/>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973.3</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1,998.5</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(2,150.9)</w:t>
            </w:r>
          </w:p>
        </w:tc>
        <w:tc>
          <w:tcPr>
            <w:tcW w:w="26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2,237.8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(802.4)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120" w:type="dxa"/>
            <w:vAlign w:val="bottom"/>
            <w:gridSpan w:val="2"/>
          </w:tcPr>
          <w:p>
            <w:pPr>
              <w:spacing w:after="0"/>
              <w:rPr>
                <w:sz w:val="20"/>
                <w:szCs w:val="20"/>
                <w:color w:val="auto"/>
              </w:rPr>
            </w:pPr>
            <w:r>
              <w:rPr>
                <w:rFonts w:ascii="Arial" w:cs="Arial" w:eastAsia="Arial" w:hAnsi="Arial"/>
                <w:sz w:val="18"/>
                <w:szCs w:val="18"/>
                <w:color w:val="auto"/>
                <w:w w:val="99"/>
              </w:rPr>
              <w:t>Net earnings before cumulative effect of accounting</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1,416.9</w:t>
            </w:r>
          </w:p>
        </w:tc>
        <w:tc>
          <w:tcPr>
            <w:tcW w:w="16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973.3</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1,196.1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(2,150.9)</w:t>
            </w:r>
          </w:p>
        </w:tc>
        <w:tc>
          <w:tcPr>
            <w:tcW w:w="2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1,435.4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3"/>
              </w:rPr>
              <w:t>Cumulative effect of accounting change, net of minority</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and tax</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2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1,416.9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970.0</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1,180.9</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(2,150.9)</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1,416.9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1015"/>
              <w:spacing w:after="0"/>
              <w:rPr>
                <w:sz w:val="20"/>
                <w:szCs w:val="20"/>
                <w:color w:val="auto"/>
              </w:rPr>
            </w:pPr>
            <w:r>
              <w:rPr>
                <w:rFonts w:ascii="Arial" w:cs="Arial" w:eastAsia="Arial" w:hAnsi="Arial"/>
                <w:sz w:val="18"/>
                <w:szCs w:val="18"/>
                <w:color w:val="auto"/>
                <w:w w:val="94"/>
              </w:rPr>
              <w:t>II-76</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-5065395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-5065395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-4627880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-4627880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-4336415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-4336415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-3633470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-3633470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-3342005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-3342005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-2775585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-2775585</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-2072640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-2072640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-1506220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-803275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-511810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81850" cy="215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300" w:type="dxa"/>
            <w:vAlign w:val="bottom"/>
            <w:gridSpan w:val="5"/>
          </w:tcPr>
          <w:p>
            <w:pPr>
              <w:jc w:val="right"/>
              <w:ind w:right="173"/>
              <w:spacing w:after="0"/>
              <w:rPr>
                <w:sz w:val="20"/>
                <w:szCs w:val="20"/>
                <w:color w:val="auto"/>
              </w:rPr>
            </w:pPr>
            <w:r>
              <w:rPr>
                <w:rFonts w:ascii="Arial" w:cs="Arial" w:eastAsia="Arial" w:hAnsi="Arial"/>
                <w:sz w:val="14"/>
                <w:szCs w:val="14"/>
                <w:b w:val="1"/>
                <w:bCs w:val="1"/>
                <w:color w:val="auto"/>
                <w:w w:val="95"/>
              </w:rPr>
              <w:t>Statement of Operations for the Year Ended December 31, 2002</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center"/>
              <w:ind w:right="195"/>
              <w:spacing w:after="0"/>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right"/>
              <w:ind w:right="535"/>
              <w:spacing w:after="0" w:line="149" w:lineRule="exact"/>
              <w:rPr>
                <w:sz w:val="20"/>
                <w:szCs w:val="20"/>
                <w:color w:val="auto"/>
              </w:rPr>
            </w:pPr>
            <w:r>
              <w:rPr>
                <w:rFonts w:ascii="Arial" w:cs="Arial" w:eastAsia="Arial" w:hAnsi="Arial"/>
                <w:sz w:val="14"/>
                <w:szCs w:val="14"/>
                <w:b w:val="1"/>
                <w:bCs w:val="1"/>
                <w:color w:val="auto"/>
              </w:rPr>
              <w:t>Viacom</w:t>
            </w:r>
          </w:p>
        </w:tc>
        <w:tc>
          <w:tcPr>
            <w:tcW w:w="220" w:type="dxa"/>
            <w:vAlign w:val="bottom"/>
          </w:tcPr>
          <w:p>
            <w:pPr>
              <w:spacing w:after="0"/>
              <w:rPr>
                <w:sz w:val="12"/>
                <w:szCs w:val="12"/>
                <w:color w:val="auto"/>
              </w:rPr>
            </w:pPr>
          </w:p>
        </w:tc>
        <w:tc>
          <w:tcPr>
            <w:tcW w:w="116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4"/>
              </w:rPr>
              <w:t>Guarantor</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Viacom Inc.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33"/>
              <w:spacing w:after="0"/>
              <w:rPr>
                <w:sz w:val="20"/>
                <w:szCs w:val="20"/>
                <w:color w:val="auto"/>
              </w:rPr>
            </w:pPr>
            <w:r>
              <w:rPr>
                <w:rFonts w:ascii="Arial" w:cs="Arial" w:eastAsia="Arial" w:hAnsi="Arial"/>
                <w:sz w:val="14"/>
                <w:szCs w:val="14"/>
                <w:b w:val="1"/>
                <w:bCs w:val="1"/>
                <w:color w:val="auto"/>
                <w:w w:val="95"/>
              </w:rPr>
              <w:t>Viacom Inc.</w:t>
            </w:r>
          </w:p>
        </w:tc>
        <w:tc>
          <w:tcPr>
            <w:tcW w:w="160" w:type="dxa"/>
            <w:vAlign w:val="bottom"/>
          </w:tcPr>
          <w:p>
            <w:pPr>
              <w:spacing w:after="0"/>
              <w:rPr>
                <w:sz w:val="15"/>
                <w:szCs w:val="15"/>
                <w:color w:val="auto"/>
              </w:rPr>
            </w:pPr>
          </w:p>
        </w:tc>
        <w:tc>
          <w:tcPr>
            <w:tcW w:w="1460" w:type="dxa"/>
            <w:vAlign w:val="bottom"/>
          </w:tcPr>
          <w:p>
            <w:pPr>
              <w:jc w:val="right"/>
              <w:ind w:right="375"/>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5"/>
                <w:szCs w:val="15"/>
                <w:color w:val="auto"/>
              </w:rPr>
            </w:pPr>
          </w:p>
        </w:tc>
        <w:tc>
          <w:tcPr>
            <w:tcW w:w="1160" w:type="dxa"/>
            <w:vAlign w:val="bottom"/>
          </w:tcPr>
          <w:p>
            <w:pPr>
              <w:jc w:val="center"/>
              <w:ind w:right="195"/>
              <w:spacing w:after="0"/>
              <w:rPr>
                <w:sz w:val="20"/>
                <w:szCs w:val="20"/>
                <w:color w:val="auto"/>
              </w:rPr>
            </w:pPr>
            <w:r>
              <w:rPr>
                <w:rFonts w:ascii="Arial" w:cs="Arial" w:eastAsia="Arial" w:hAnsi="Arial"/>
                <w:sz w:val="14"/>
                <w:szCs w:val="14"/>
                <w:b w:val="1"/>
                <w:bCs w:val="1"/>
                <w:color w:val="auto"/>
                <w:w w:val="87"/>
              </w:rPr>
              <w:t>Affiliates</w:t>
            </w:r>
          </w:p>
        </w:tc>
        <w:tc>
          <w:tcPr>
            <w:tcW w:w="240" w:type="dxa"/>
            <w:vAlign w:val="bottom"/>
          </w:tcPr>
          <w:p>
            <w:pPr>
              <w:spacing w:after="0"/>
              <w:rPr>
                <w:sz w:val="15"/>
                <w:szCs w:val="15"/>
                <w:color w:val="auto"/>
              </w:rPr>
            </w:pPr>
          </w:p>
        </w:tc>
        <w:tc>
          <w:tcPr>
            <w:tcW w:w="1220" w:type="dxa"/>
            <w:vAlign w:val="bottom"/>
          </w:tcPr>
          <w:p>
            <w:pPr>
              <w:jc w:val="right"/>
              <w:ind w:right="293"/>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Pr>
          <w:p>
            <w:pPr>
              <w:spacing w:after="0"/>
              <w:rPr>
                <w:sz w:val="15"/>
                <w:szCs w:val="15"/>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3,079.9</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16,085.3</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19,186.8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1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926.3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18"/>
                <w:szCs w:val="18"/>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824.4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2,580.9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76.9</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182.8</w:t>
            </w:r>
          </w:p>
        </w:tc>
        <w:tc>
          <w:tcPr>
            <w:tcW w:w="160" w:type="dxa"/>
            <w:vAlign w:val="bottom"/>
          </w:tcPr>
          <w:p>
            <w:pPr>
              <w:spacing w:after="0"/>
              <w:rPr>
                <w:sz w:val="24"/>
                <w:szCs w:val="24"/>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1,827.6</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13,062.4</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(126.9)</w:t>
            </w:r>
          </w:p>
        </w:tc>
        <w:tc>
          <w:tcPr>
            <w:tcW w:w="26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14,945.9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1,252.3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3,022.9</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(742.9)</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(313.9)</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269.7</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20" w:type="dxa"/>
            <w:vAlign w:val="bottom"/>
            <w:gridSpan w:val="2"/>
          </w:tcPr>
          <w:p>
            <w:pPr>
              <w:spacing w:after="0"/>
              <w:rPr>
                <w:sz w:val="20"/>
                <w:szCs w:val="20"/>
                <w:color w:val="auto"/>
              </w:rPr>
            </w:pPr>
            <w:r>
              <w:rPr>
                <w:rFonts w:ascii="Arial" w:cs="Arial" w:eastAsia="Arial" w:hAnsi="Arial"/>
                <w:sz w:val="18"/>
                <w:szCs w:val="18"/>
                <w:color w:val="auto"/>
              </w:rPr>
              <w:t>Earnings (loss) before income taxes</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(756.9)</w:t>
            </w:r>
          </w:p>
        </w:tc>
        <w:tc>
          <w:tcPr>
            <w:tcW w:w="160" w:type="dxa"/>
            <w:vAlign w:val="bottom"/>
          </w:tcPr>
          <w:p>
            <w:pPr>
              <w:spacing w:after="0"/>
              <w:rPr>
                <w:sz w:val="24"/>
                <w:szCs w:val="24"/>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745.2</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3,473.7</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(41.1)</w:t>
            </w:r>
          </w:p>
        </w:tc>
        <w:tc>
          <w:tcPr>
            <w:tcW w:w="26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3,420.9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(1,336.9)</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4"/>
              </w:rPr>
              <w:t>Equity in earnings (loss) of affiliated companies, net of</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1,186.7</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(671.8)</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(528.7)</w:t>
            </w:r>
          </w:p>
        </w:tc>
        <w:tc>
          <w:tcPr>
            <w:tcW w:w="2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 of tax</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120" w:type="dxa"/>
            <w:vAlign w:val="bottom"/>
            <w:gridSpan w:val="2"/>
          </w:tcPr>
          <w:p>
            <w:pPr>
              <w:spacing w:after="0"/>
              <w:rPr>
                <w:sz w:val="20"/>
                <w:szCs w:val="20"/>
                <w:color w:val="auto"/>
              </w:rPr>
            </w:pPr>
            <w:r>
              <w:rPr>
                <w:rFonts w:ascii="Arial" w:cs="Arial" w:eastAsia="Arial" w:hAnsi="Arial"/>
                <w:sz w:val="18"/>
                <w:szCs w:val="18"/>
                <w:color w:val="auto"/>
                <w:w w:val="95"/>
              </w:rPr>
              <w:t>Net earnings (loss), from continuing operations before</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cumulative effect of accounting change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725.7</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(223.7)</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2,109.8</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(569.8)</w:t>
            </w:r>
          </w:p>
        </w:tc>
        <w:tc>
          <w:tcPr>
            <w:tcW w:w="2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2,042.0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6"/>
              </w:rPr>
              <w:t>Net earnings from discontinued operations, net of tax</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120" w:type="dxa"/>
            <w:vAlign w:val="bottom"/>
            <w:gridSpan w:val="2"/>
          </w:tcPr>
          <w:p>
            <w:pPr>
              <w:spacing w:after="0"/>
              <w:rPr>
                <w:sz w:val="20"/>
                <w:szCs w:val="20"/>
                <w:color w:val="auto"/>
              </w:rPr>
            </w:pPr>
            <w:r>
              <w:rPr>
                <w:rFonts w:ascii="Arial" w:cs="Arial" w:eastAsia="Arial" w:hAnsi="Arial"/>
                <w:sz w:val="18"/>
                <w:szCs w:val="18"/>
                <w:color w:val="auto"/>
              </w:rPr>
              <w:t>Net earnings (loss) before cumulative effect of</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accounting change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725.7</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(223.7)</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2,274.4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(569.8)</w:t>
            </w:r>
          </w:p>
        </w:tc>
        <w:tc>
          <w:tcPr>
            <w:tcW w:w="2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2,206.6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3"/>
              </w:rPr>
              <w:t>Cumulative effect of accounting change, net of minority</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and tax</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(1,480.9)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20" w:type="dxa"/>
            <w:vAlign w:val="bottom"/>
            <w:gridSpan w:val="2"/>
          </w:tcPr>
          <w:p>
            <w:pPr>
              <w:spacing w:after="0"/>
              <w:rPr>
                <w:sz w:val="20"/>
                <w:szCs w:val="20"/>
                <w:color w:val="auto"/>
              </w:rPr>
            </w:pPr>
            <w:r>
              <w:rPr>
                <w:rFonts w:ascii="Arial" w:cs="Arial" w:eastAsia="Arial" w:hAnsi="Arial"/>
                <w:sz w:val="18"/>
                <w:szCs w:val="18"/>
                <w:color w:val="auto"/>
              </w:rPr>
              <w:t>Net earnings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725.7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(223.7)</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793.5</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(569.8)</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1015"/>
              <w:spacing w:after="0"/>
              <w:rPr>
                <w:sz w:val="20"/>
                <w:szCs w:val="20"/>
                <w:color w:val="auto"/>
              </w:rPr>
            </w:pPr>
            <w:r>
              <w:rPr>
                <w:rFonts w:ascii="Arial" w:cs="Arial" w:eastAsia="Arial" w:hAnsi="Arial"/>
                <w:sz w:val="18"/>
                <w:szCs w:val="18"/>
                <w:color w:val="auto"/>
                <w:w w:val="94"/>
              </w:rPr>
              <w:t>II-77</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-5202555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-5202555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-4765040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-4765040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-4473575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-4473575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-3770630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-3770630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-3479165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-3479165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-2912745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-2912745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-2072640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-2072640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-1506220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-803275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-511810</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81850" cy="215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0" w:type="dxa"/>
            <w:vAlign w:val="bottom"/>
            <w:gridSpan w:val="4"/>
          </w:tcPr>
          <w:p>
            <w:pPr>
              <w:jc w:val="right"/>
              <w:spacing w:after="0"/>
              <w:rPr>
                <w:sz w:val="20"/>
                <w:szCs w:val="20"/>
                <w:color w:val="auto"/>
              </w:rPr>
            </w:pPr>
            <w:r>
              <w:rPr>
                <w:rFonts w:ascii="Arial" w:cs="Arial" w:eastAsia="Arial" w:hAnsi="Arial"/>
                <w:sz w:val="14"/>
                <w:szCs w:val="14"/>
                <w:b w:val="1"/>
                <w:bCs w:val="1"/>
                <w:color w:val="auto"/>
              </w:rPr>
              <w:t>Balance Sheet at December 31, 2004</w:t>
            </w: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center"/>
              <w:ind w:right="254"/>
              <w:spacing w:after="0"/>
              <w:rPr>
                <w:sz w:val="20"/>
                <w:szCs w:val="20"/>
                <w:color w:val="auto"/>
              </w:rPr>
            </w:pPr>
            <w:r>
              <w:rPr>
                <w:rFonts w:ascii="Arial" w:cs="Arial" w:eastAsia="Arial" w:hAnsi="Arial"/>
                <w:sz w:val="14"/>
                <w:szCs w:val="14"/>
                <w:b w:val="1"/>
                <w:bCs w:val="1"/>
                <w:color w:val="auto"/>
                <w:w w:val="93"/>
              </w:rPr>
              <w:t>Non-</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473"/>
              <w:spacing w:after="0" w:line="149" w:lineRule="exact"/>
              <w:rPr>
                <w:sz w:val="20"/>
                <w:szCs w:val="20"/>
                <w:color w:val="auto"/>
              </w:rPr>
            </w:pPr>
            <w:r>
              <w:rPr>
                <w:rFonts w:ascii="Arial" w:cs="Arial" w:eastAsia="Arial" w:hAnsi="Arial"/>
                <w:sz w:val="14"/>
                <w:szCs w:val="14"/>
                <w:b w:val="1"/>
                <w:bCs w:val="1"/>
                <w:color w:val="auto"/>
              </w:rPr>
              <w:t>Viacom</w:t>
            </w:r>
          </w:p>
        </w:tc>
        <w:tc>
          <w:tcPr>
            <w:tcW w:w="280" w:type="dxa"/>
            <w:vAlign w:val="bottom"/>
          </w:tcPr>
          <w:p>
            <w:pPr>
              <w:spacing w:after="0"/>
              <w:rPr>
                <w:sz w:val="12"/>
                <w:szCs w:val="12"/>
                <w:color w:val="auto"/>
              </w:rPr>
            </w:pPr>
          </w:p>
        </w:tc>
        <w:tc>
          <w:tcPr>
            <w:tcW w:w="1320" w:type="dxa"/>
            <w:vAlign w:val="bottom"/>
          </w:tcPr>
          <w:p>
            <w:pPr>
              <w:jc w:val="right"/>
              <w:ind w:right="514"/>
              <w:spacing w:after="0" w:line="149" w:lineRule="exact"/>
              <w:rPr>
                <w:sz w:val="20"/>
                <w:szCs w:val="20"/>
                <w:color w:val="auto"/>
              </w:rPr>
            </w:pPr>
            <w:r>
              <w:rPr>
                <w:rFonts w:ascii="Arial" w:cs="Arial" w:eastAsia="Arial" w:hAnsi="Arial"/>
                <w:sz w:val="14"/>
                <w:szCs w:val="14"/>
                <w:b w:val="1"/>
                <w:bCs w:val="1"/>
                <w:color w:val="auto"/>
              </w:rPr>
              <w:t>Viacom</w:t>
            </w:r>
          </w:p>
        </w:tc>
        <w:tc>
          <w:tcPr>
            <w:tcW w:w="300" w:type="dxa"/>
            <w:vAlign w:val="bottom"/>
          </w:tcPr>
          <w:p>
            <w:pPr>
              <w:spacing w:after="0"/>
              <w:rPr>
                <w:sz w:val="12"/>
                <w:szCs w:val="12"/>
                <w:color w:val="auto"/>
              </w:rPr>
            </w:pPr>
          </w:p>
        </w:tc>
        <w:tc>
          <w:tcPr>
            <w:tcW w:w="120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91"/>
              </w:rPr>
              <w:t>Guarantor</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Viacom Inc.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573"/>
              <w:spacing w:after="0"/>
              <w:rPr>
                <w:sz w:val="20"/>
                <w:szCs w:val="20"/>
                <w:color w:val="auto"/>
              </w:rPr>
            </w:pPr>
            <w:r>
              <w:rPr>
                <w:rFonts w:ascii="Arial" w:cs="Arial" w:eastAsia="Arial" w:hAnsi="Arial"/>
                <w:sz w:val="14"/>
                <w:szCs w:val="14"/>
                <w:b w:val="1"/>
                <w:bCs w:val="1"/>
                <w:color w:val="auto"/>
              </w:rPr>
              <w:t>Inc.</w:t>
            </w:r>
          </w:p>
        </w:tc>
        <w:tc>
          <w:tcPr>
            <w:tcW w:w="280" w:type="dxa"/>
            <w:vAlign w:val="bottom"/>
          </w:tcPr>
          <w:p>
            <w:pPr>
              <w:spacing w:after="0"/>
              <w:rPr>
                <w:sz w:val="15"/>
                <w:szCs w:val="15"/>
                <w:color w:val="auto"/>
              </w:rPr>
            </w:pPr>
          </w:p>
        </w:tc>
        <w:tc>
          <w:tcPr>
            <w:tcW w:w="1320" w:type="dxa"/>
            <w:vAlign w:val="bottom"/>
          </w:tcPr>
          <w:p>
            <w:pPr>
              <w:jc w:val="right"/>
              <w:ind w:right="354"/>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5"/>
                <w:szCs w:val="15"/>
                <w:color w:val="auto"/>
              </w:rPr>
            </w:pPr>
          </w:p>
        </w:tc>
        <w:tc>
          <w:tcPr>
            <w:tcW w:w="1200" w:type="dxa"/>
            <w:vAlign w:val="bottom"/>
          </w:tcPr>
          <w:p>
            <w:pPr>
              <w:jc w:val="center"/>
              <w:ind w:right="254"/>
              <w:spacing w:after="0"/>
              <w:rPr>
                <w:sz w:val="20"/>
                <w:szCs w:val="20"/>
                <w:color w:val="auto"/>
              </w:rPr>
            </w:pPr>
            <w:r>
              <w:rPr>
                <w:rFonts w:ascii="Arial" w:cs="Arial" w:eastAsia="Arial" w:hAnsi="Arial"/>
                <w:sz w:val="14"/>
                <w:szCs w:val="14"/>
                <w:b w:val="1"/>
                <w:bCs w:val="1"/>
                <w:color w:val="auto"/>
                <w:w w:val="91"/>
              </w:rPr>
              <w:t>Affiliates</w:t>
            </w:r>
          </w:p>
        </w:tc>
        <w:tc>
          <w:tcPr>
            <w:tcW w:w="380" w:type="dxa"/>
            <w:vAlign w:val="bottom"/>
          </w:tcPr>
          <w:p>
            <w:pPr>
              <w:spacing w:after="0"/>
              <w:rPr>
                <w:sz w:val="15"/>
                <w:szCs w:val="15"/>
                <w:color w:val="auto"/>
              </w:rPr>
            </w:pPr>
          </w:p>
        </w:tc>
        <w:tc>
          <w:tcPr>
            <w:tcW w:w="1220" w:type="dxa"/>
            <w:vAlign w:val="bottom"/>
          </w:tcPr>
          <w:p>
            <w:pPr>
              <w:jc w:val="right"/>
              <w:ind w:right="373"/>
              <w:spacing w:after="0"/>
              <w:rPr>
                <w:sz w:val="20"/>
                <w:szCs w:val="20"/>
                <w:color w:val="auto"/>
              </w:rPr>
            </w:pPr>
            <w:r>
              <w:rPr>
                <w:rFonts w:ascii="Arial" w:cs="Arial" w:eastAsia="Arial" w:hAnsi="Arial"/>
                <w:sz w:val="14"/>
                <w:szCs w:val="14"/>
                <w:b w:val="1"/>
                <w:bCs w:val="1"/>
                <w:color w:val="auto"/>
                <w:w w:val="88"/>
              </w:rPr>
              <w:t>Eliminations</w:t>
            </w:r>
          </w:p>
        </w:tc>
        <w:tc>
          <w:tcPr>
            <w:tcW w:w="300" w:type="dxa"/>
            <w:vAlign w:val="bottom"/>
          </w:tcPr>
          <w:p>
            <w:pPr>
              <w:spacing w:after="0"/>
              <w:rPr>
                <w:sz w:val="15"/>
                <w:szCs w:val="15"/>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569.2</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11.2</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347.8</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45.1</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691.5</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3,779.0</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233.8</w:t>
            </w:r>
          </w:p>
        </w:tc>
        <w:tc>
          <w:tcPr>
            <w:tcW w:w="30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895.2</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(140.5)</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75.4</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174.3</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1,044.7</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Current assets of discontinued operations</w:t>
            </w:r>
          </w:p>
        </w:tc>
        <w:tc>
          <w:tcPr>
            <w:tcW w:w="260" w:type="dxa"/>
            <w:vAlign w:val="bottom"/>
          </w:tcPr>
          <w:p>
            <w:pPr>
              <w:spacing w:after="0"/>
              <w:rPr>
                <w:sz w:val="19"/>
                <w:szCs w:val="19"/>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50.7</w:t>
            </w:r>
          </w:p>
        </w:tc>
        <w:tc>
          <w:tcPr>
            <w:tcW w:w="280" w:type="dxa"/>
            <w:vAlign w:val="bottom"/>
          </w:tcPr>
          <w:p>
            <w:pPr>
              <w:spacing w:after="0"/>
              <w:rPr>
                <w:sz w:val="19"/>
                <w:szCs w:val="19"/>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748.6</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1,110.8</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6,066.7</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66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24"/>
                <w:szCs w:val="24"/>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51.6</w:t>
            </w:r>
          </w:p>
        </w:tc>
        <w:tc>
          <w:tcPr>
            <w:tcW w:w="280" w:type="dxa"/>
            <w:vAlign w:val="bottom"/>
          </w:tcPr>
          <w:p>
            <w:pPr>
              <w:spacing w:after="0"/>
              <w:rPr>
                <w:sz w:val="24"/>
                <w:szCs w:val="24"/>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767.4</w:t>
            </w:r>
          </w:p>
        </w:tc>
        <w:tc>
          <w:tcPr>
            <w:tcW w:w="300" w:type="dxa"/>
            <w:vAlign w:val="bottom"/>
          </w:tcPr>
          <w:p>
            <w:pPr>
              <w:spacing w:after="0"/>
              <w:rPr>
                <w:sz w:val="24"/>
                <w:szCs w:val="24"/>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6,983.0</w:t>
            </w:r>
          </w:p>
        </w:tc>
        <w:tc>
          <w:tcPr>
            <w:tcW w:w="380" w:type="dxa"/>
            <w:vAlign w:val="bottom"/>
          </w:tcPr>
          <w:p>
            <w:pPr>
              <w:spacing w:after="0"/>
              <w:rPr>
                <w:sz w:val="24"/>
                <w:szCs w:val="24"/>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accumulated depreciation and</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407.4</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2,727.0</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640" w:type="dxa"/>
            <w:vAlign w:val="bottom"/>
          </w:tcPr>
          <w:p>
            <w:pPr>
              <w:ind w:left="220"/>
              <w:spacing w:after="0"/>
              <w:rPr>
                <w:sz w:val="20"/>
                <w:szCs w:val="20"/>
                <w:color w:val="auto"/>
              </w:rPr>
            </w:pPr>
            <w:r>
              <w:rPr>
                <w:rFonts w:ascii="Arial" w:cs="Arial" w:eastAsia="Arial" w:hAnsi="Arial"/>
                <w:sz w:val="18"/>
                <w:szCs w:val="18"/>
                <w:color w:val="auto"/>
              </w:rPr>
              <w:t>Net property and equipment</w:t>
            </w:r>
          </w:p>
        </w:tc>
        <w:tc>
          <w:tcPr>
            <w:tcW w:w="260" w:type="dxa"/>
            <w:vAlign w:val="bottom"/>
          </w:tcPr>
          <w:p>
            <w:pPr>
              <w:spacing w:after="0"/>
              <w:rPr>
                <w:sz w:val="24"/>
                <w:szCs w:val="24"/>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24"/>
                <w:szCs w:val="24"/>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360.0</w:t>
            </w:r>
          </w:p>
        </w:tc>
        <w:tc>
          <w:tcPr>
            <w:tcW w:w="300" w:type="dxa"/>
            <w:vAlign w:val="bottom"/>
          </w:tcPr>
          <w:p>
            <w:pPr>
              <w:spacing w:after="0"/>
              <w:rPr>
                <w:sz w:val="24"/>
                <w:szCs w:val="24"/>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4,256.0</w:t>
            </w:r>
          </w:p>
        </w:tc>
        <w:tc>
          <w:tcPr>
            <w:tcW w:w="380" w:type="dxa"/>
            <w:vAlign w:val="bottom"/>
          </w:tcPr>
          <w:p>
            <w:pPr>
              <w:spacing w:after="0"/>
              <w:rPr>
                <w:sz w:val="24"/>
                <w:szCs w:val="24"/>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4,657.1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1,331.9</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3,211.5</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100.3</w:t>
            </w:r>
          </w:p>
        </w:tc>
        <w:tc>
          <w:tcPr>
            <w:tcW w:w="28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628.2</w:t>
            </w:r>
          </w:p>
        </w:tc>
        <w:tc>
          <w:tcPr>
            <w:tcW w:w="30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37,791.7</w:t>
            </w:r>
          </w:p>
        </w:tc>
        <w:tc>
          <w:tcPr>
            <w:tcW w:w="38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38,520.2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10,619.2</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Investments in consolidated subsidiaries</w:t>
            </w:r>
          </w:p>
        </w:tc>
        <w:tc>
          <w:tcPr>
            <w:tcW w:w="26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50,737.5</w:t>
            </w:r>
          </w:p>
        </w:tc>
        <w:tc>
          <w:tcPr>
            <w:tcW w:w="28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13,893.7</w:t>
            </w:r>
          </w:p>
        </w:tc>
        <w:tc>
          <w:tcPr>
            <w:tcW w:w="30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(64,631.2)</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179.8</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234.8</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1,883.3</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 assets of discontinued operations</w:t>
            </w:r>
          </w:p>
        </w:tc>
        <w:tc>
          <w:tcPr>
            <w:tcW w:w="260" w:type="dxa"/>
            <w:vAlign w:val="bottom"/>
          </w:tcPr>
          <w:p>
            <w:pPr>
              <w:spacing w:after="0"/>
              <w:rPr>
                <w:sz w:val="19"/>
                <w:szCs w:val="19"/>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227.9</w:t>
            </w:r>
          </w:p>
        </w:tc>
        <w:tc>
          <w:tcPr>
            <w:tcW w:w="280" w:type="dxa"/>
            <w:vAlign w:val="bottom"/>
          </w:tcPr>
          <w:p>
            <w:pPr>
              <w:spacing w:after="0"/>
              <w:rPr>
                <w:sz w:val="19"/>
                <w:szCs w:val="19"/>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52,049.6</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17,565.1</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63,828.4</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(65,440.8)</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65.9</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521.0</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26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770.0</w:t>
            </w:r>
          </w:p>
        </w:tc>
        <w:tc>
          <w:tcPr>
            <w:tcW w:w="28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910.1</w:t>
            </w:r>
          </w:p>
        </w:tc>
        <w:tc>
          <w:tcPr>
            <w:tcW w:w="30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3,332.3</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(182.8)</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Participants' share, residuals and royalties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payable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58.3</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1,341.8</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54.8</w:t>
            </w:r>
          </w:p>
        </w:tc>
        <w:tc>
          <w:tcPr>
            <w:tcW w:w="38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89.3</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6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4"/>
                <w:szCs w:val="24"/>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861.8</w:t>
            </w:r>
          </w:p>
        </w:tc>
        <w:tc>
          <w:tcPr>
            <w:tcW w:w="280" w:type="dxa"/>
            <w:vAlign w:val="bottom"/>
          </w:tcPr>
          <w:p>
            <w:pPr>
              <w:spacing w:after="0"/>
              <w:rPr>
                <w:sz w:val="24"/>
                <w:szCs w:val="24"/>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1,058.0</w:t>
            </w:r>
          </w:p>
        </w:tc>
        <w:tc>
          <w:tcPr>
            <w:tcW w:w="300" w:type="dxa"/>
            <w:vAlign w:val="bottom"/>
          </w:tcPr>
          <w:p>
            <w:pPr>
              <w:spacing w:after="0"/>
              <w:rPr>
                <w:sz w:val="24"/>
                <w:szCs w:val="24"/>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5,249.9</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(290.2)</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6,879.5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9,219.4</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107.2</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322.6</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(4,476.2)</w:t>
            </w:r>
          </w:p>
        </w:tc>
        <w:tc>
          <w:tcPr>
            <w:tcW w:w="28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7,656.1</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(664.4)</w:t>
            </w:r>
          </w:p>
        </w:tc>
        <w:tc>
          <w:tcPr>
            <w:tcW w:w="38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6,315.2</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of discontinued operations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572.4</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35.3</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Minority interest</w:t>
            </w:r>
          </w:p>
        </w:tc>
        <w:tc>
          <w:tcPr>
            <w:tcW w:w="26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26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128.2</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(128.2)</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18.7</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122.8</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1,162.3</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(1,285.1)</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66,027.7</w:t>
            </w:r>
          </w:p>
        </w:tc>
        <w:tc>
          <w:tcPr>
            <w:tcW w:w="28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1,924.1</w:t>
            </w:r>
          </w:p>
        </w:tc>
        <w:tc>
          <w:tcPr>
            <w:tcW w:w="30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92,863.5</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(94,787.6)</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66,027.7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 (deficit)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(10,809.4)</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6,835.6</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(13,139.4)</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2,365.9</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(14,747.3)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tcPr>
          <w:p>
            <w:pPr>
              <w:ind w:left="220"/>
              <w:spacing w:after="0"/>
              <w:rPr>
                <w:sz w:val="20"/>
                <w:szCs w:val="20"/>
                <w:color w:val="auto"/>
              </w:rPr>
            </w:pPr>
            <w:r>
              <w:rPr>
                <w:rFonts w:ascii="Arial" w:cs="Arial" w:eastAsia="Arial" w:hAnsi="Arial"/>
                <w:sz w:val="18"/>
                <w:szCs w:val="18"/>
                <w:color w:val="auto"/>
              </w:rPr>
              <w:t>Accumulated other comprehensive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ind w:left="220"/>
              <w:spacing w:after="0"/>
              <w:rPr>
                <w:sz w:val="20"/>
                <w:szCs w:val="20"/>
                <w:color w:val="auto"/>
              </w:rPr>
            </w:pPr>
            <w:r>
              <w:rPr>
                <w:rFonts w:ascii="Arial" w:cs="Arial" w:eastAsia="Arial" w:hAnsi="Arial"/>
                <w:sz w:val="18"/>
                <w:szCs w:val="18"/>
                <w:color w:val="auto"/>
              </w:rPr>
              <w:t>income (loss)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(446.0)</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(138.7)</w:t>
            </w:r>
          </w:p>
        </w:tc>
        <w:tc>
          <w:tcPr>
            <w:tcW w:w="30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215.5</w:t>
            </w:r>
          </w:p>
        </w:tc>
        <w:tc>
          <w:tcPr>
            <w:tcW w:w="38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54,791.0</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8,743.8</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81,230.1</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(93,821.8)</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ind w:left="220"/>
              <w:spacing w:after="0"/>
              <w:rPr>
                <w:sz w:val="20"/>
                <w:szCs w:val="20"/>
                <w:color w:val="auto"/>
              </w:rPr>
            </w:pPr>
            <w:r>
              <w:rPr>
                <w:rFonts w:ascii="Arial" w:cs="Arial" w:eastAsia="Arial" w:hAnsi="Arial"/>
                <w:sz w:val="18"/>
                <w:szCs w:val="18"/>
                <w:color w:val="auto"/>
              </w:rPr>
              <w:t>Less treasury stock, at cost</w:t>
            </w:r>
          </w:p>
        </w:tc>
        <w:tc>
          <w:tcPr>
            <w:tcW w:w="260" w:type="dxa"/>
            <w:vAlign w:val="bottom"/>
          </w:tcPr>
          <w:p>
            <w:pPr>
              <w:spacing w:after="0"/>
              <w:rPr>
                <w:sz w:val="19"/>
                <w:szCs w:val="19"/>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8,918.8</w:t>
            </w:r>
          </w:p>
        </w:tc>
        <w:tc>
          <w:tcPr>
            <w:tcW w:w="280" w:type="dxa"/>
            <w:vAlign w:val="bottom"/>
          </w:tcPr>
          <w:p>
            <w:pPr>
              <w:spacing w:after="0"/>
              <w:rPr>
                <w:sz w:val="19"/>
                <w:szCs w:val="19"/>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22,356.0</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(22,356.0)</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45,872.2</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8,743.8</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58,874.1</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(71,465.8)</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52,049.6</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17,565.1</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63,828.4</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(65,440.8)</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68,002.3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-7929880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-7929880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-7492365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-7492365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-6514465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-6514465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-6223000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-6223000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-5657215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-5657215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-5365750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-5365750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-4387850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-4387850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-4096385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-4096385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-2981325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-2981325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-2689860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-2689860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-1026160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-597535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-306070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914"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914"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81850" cy="215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20" w:type="dxa"/>
            <w:vAlign w:val="bottom"/>
            <w:gridSpan w:val="5"/>
          </w:tcPr>
          <w:p>
            <w:pPr>
              <w:jc w:val="right"/>
              <w:ind w:right="1113"/>
              <w:spacing w:after="0"/>
              <w:rPr>
                <w:sz w:val="20"/>
                <w:szCs w:val="20"/>
                <w:color w:val="auto"/>
              </w:rPr>
            </w:pPr>
            <w:r>
              <w:rPr>
                <w:rFonts w:ascii="Arial" w:cs="Arial" w:eastAsia="Arial" w:hAnsi="Arial"/>
                <w:sz w:val="14"/>
                <w:szCs w:val="14"/>
                <w:b w:val="1"/>
                <w:bCs w:val="1"/>
                <w:color w:val="auto"/>
              </w:rPr>
              <w:t>Balance Sheet at December 31, 2003</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center"/>
              <w:ind w:right="234"/>
              <w:spacing w:after="0"/>
              <w:rPr>
                <w:sz w:val="20"/>
                <w:szCs w:val="20"/>
                <w:color w:val="auto"/>
              </w:rPr>
            </w:pPr>
            <w:r>
              <w:rPr>
                <w:rFonts w:ascii="Arial" w:cs="Arial" w:eastAsia="Arial" w:hAnsi="Arial"/>
                <w:sz w:val="14"/>
                <w:szCs w:val="14"/>
                <w:b w:val="1"/>
                <w:bCs w:val="1"/>
                <w:color w:val="auto"/>
                <w:w w:val="93"/>
              </w:rPr>
              <w:t>Non-</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413"/>
              <w:spacing w:after="0" w:line="149" w:lineRule="exact"/>
              <w:rPr>
                <w:sz w:val="20"/>
                <w:szCs w:val="20"/>
                <w:color w:val="auto"/>
              </w:rPr>
            </w:pPr>
            <w:r>
              <w:rPr>
                <w:rFonts w:ascii="Arial" w:cs="Arial" w:eastAsia="Arial" w:hAnsi="Arial"/>
                <w:sz w:val="14"/>
                <w:szCs w:val="14"/>
                <w:b w:val="1"/>
                <w:bCs w:val="1"/>
                <w:color w:val="auto"/>
              </w:rPr>
              <w:t>Viacom</w:t>
            </w:r>
          </w:p>
        </w:tc>
        <w:tc>
          <w:tcPr>
            <w:tcW w:w="280" w:type="dxa"/>
            <w:vAlign w:val="bottom"/>
          </w:tcPr>
          <w:p>
            <w:pPr>
              <w:spacing w:after="0"/>
              <w:rPr>
                <w:sz w:val="12"/>
                <w:szCs w:val="12"/>
                <w:color w:val="auto"/>
              </w:rPr>
            </w:pPr>
          </w:p>
        </w:tc>
        <w:tc>
          <w:tcPr>
            <w:tcW w:w="1320" w:type="dxa"/>
            <w:vAlign w:val="bottom"/>
          </w:tcPr>
          <w:p>
            <w:pPr>
              <w:jc w:val="right"/>
              <w:ind w:right="514"/>
              <w:spacing w:after="0" w:line="149" w:lineRule="exact"/>
              <w:rPr>
                <w:sz w:val="20"/>
                <w:szCs w:val="20"/>
                <w:color w:val="auto"/>
              </w:rPr>
            </w:pPr>
            <w:r>
              <w:rPr>
                <w:rFonts w:ascii="Arial" w:cs="Arial" w:eastAsia="Arial" w:hAnsi="Arial"/>
                <w:sz w:val="14"/>
                <w:szCs w:val="14"/>
                <w:b w:val="1"/>
                <w:bCs w:val="1"/>
                <w:color w:val="auto"/>
              </w:rPr>
              <w:t>Viacom</w:t>
            </w:r>
          </w:p>
        </w:tc>
        <w:tc>
          <w:tcPr>
            <w:tcW w:w="300" w:type="dxa"/>
            <w:vAlign w:val="bottom"/>
          </w:tcPr>
          <w:p>
            <w:pPr>
              <w:spacing w:after="0"/>
              <w:rPr>
                <w:sz w:val="12"/>
                <w:szCs w:val="12"/>
                <w:color w:val="auto"/>
              </w:rPr>
            </w:pPr>
          </w:p>
        </w:tc>
        <w:tc>
          <w:tcPr>
            <w:tcW w:w="118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1"/>
              </w:rPr>
              <w:t>Guarantor</w:t>
            </w: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Viacom Inc.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513"/>
              <w:spacing w:after="0"/>
              <w:rPr>
                <w:sz w:val="20"/>
                <w:szCs w:val="20"/>
                <w:color w:val="auto"/>
              </w:rPr>
            </w:pPr>
            <w:r>
              <w:rPr>
                <w:rFonts w:ascii="Arial" w:cs="Arial" w:eastAsia="Arial" w:hAnsi="Arial"/>
                <w:sz w:val="14"/>
                <w:szCs w:val="14"/>
                <w:b w:val="1"/>
                <w:bCs w:val="1"/>
                <w:color w:val="auto"/>
              </w:rPr>
              <w:t>Inc.</w:t>
            </w:r>
          </w:p>
        </w:tc>
        <w:tc>
          <w:tcPr>
            <w:tcW w:w="280" w:type="dxa"/>
            <w:vAlign w:val="bottom"/>
          </w:tcPr>
          <w:p>
            <w:pPr>
              <w:spacing w:after="0"/>
              <w:rPr>
                <w:sz w:val="15"/>
                <w:szCs w:val="15"/>
                <w:color w:val="auto"/>
              </w:rPr>
            </w:pPr>
          </w:p>
        </w:tc>
        <w:tc>
          <w:tcPr>
            <w:tcW w:w="1320" w:type="dxa"/>
            <w:vAlign w:val="bottom"/>
          </w:tcPr>
          <w:p>
            <w:pPr>
              <w:jc w:val="right"/>
              <w:ind w:right="354"/>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5"/>
                <w:szCs w:val="15"/>
                <w:color w:val="auto"/>
              </w:rPr>
            </w:pPr>
          </w:p>
        </w:tc>
        <w:tc>
          <w:tcPr>
            <w:tcW w:w="1180" w:type="dxa"/>
            <w:vAlign w:val="bottom"/>
          </w:tcPr>
          <w:p>
            <w:pPr>
              <w:jc w:val="center"/>
              <w:ind w:right="234"/>
              <w:spacing w:after="0"/>
              <w:rPr>
                <w:sz w:val="20"/>
                <w:szCs w:val="20"/>
                <w:color w:val="auto"/>
              </w:rPr>
            </w:pPr>
            <w:r>
              <w:rPr>
                <w:rFonts w:ascii="Arial" w:cs="Arial" w:eastAsia="Arial" w:hAnsi="Arial"/>
                <w:sz w:val="14"/>
                <w:szCs w:val="14"/>
                <w:b w:val="1"/>
                <w:bCs w:val="1"/>
                <w:color w:val="auto"/>
                <w:w w:val="91"/>
              </w:rPr>
              <w:t>Affiliates</w:t>
            </w:r>
          </w:p>
        </w:tc>
        <w:tc>
          <w:tcPr>
            <w:tcW w:w="320" w:type="dxa"/>
            <w:vAlign w:val="bottom"/>
          </w:tcPr>
          <w:p>
            <w:pPr>
              <w:spacing w:after="0"/>
              <w:rPr>
                <w:sz w:val="15"/>
                <w:szCs w:val="15"/>
                <w:color w:val="auto"/>
              </w:rPr>
            </w:pPr>
          </w:p>
        </w:tc>
        <w:tc>
          <w:tcPr>
            <w:tcW w:w="1300" w:type="dxa"/>
            <w:vAlign w:val="bottom"/>
          </w:tcPr>
          <w:p>
            <w:pPr>
              <w:jc w:val="right"/>
              <w:ind w:right="373"/>
              <w:spacing w:after="0"/>
              <w:rPr>
                <w:sz w:val="20"/>
                <w:szCs w:val="20"/>
                <w:color w:val="auto"/>
              </w:rPr>
            </w:pPr>
            <w:r>
              <w:rPr>
                <w:rFonts w:ascii="Arial" w:cs="Arial" w:eastAsia="Arial" w:hAnsi="Arial"/>
                <w:sz w:val="14"/>
                <w:szCs w:val="14"/>
                <w:b w:val="1"/>
                <w:bCs w:val="1"/>
                <w:color w:val="auto"/>
                <w:w w:val="98"/>
              </w:rPr>
              <w:t>Eliminations</w:t>
            </w:r>
          </w:p>
        </w:tc>
        <w:tc>
          <w:tcPr>
            <w:tcW w:w="300" w:type="dxa"/>
            <w:vAlign w:val="bottom"/>
          </w:tcPr>
          <w:p>
            <w:pPr>
              <w:spacing w:after="0"/>
              <w:rPr>
                <w:sz w:val="15"/>
                <w:szCs w:val="15"/>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212.5</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26.8</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378.0</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43.6</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632.9</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3,721.1</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173.7</w:t>
            </w:r>
          </w:p>
        </w:tc>
        <w:tc>
          <w:tcPr>
            <w:tcW w:w="3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910.6</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(89.8)</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85.6</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153.9</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768.8</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Current assets of discontinued operations</w:t>
            </w:r>
          </w:p>
        </w:tc>
        <w:tc>
          <w:tcPr>
            <w:tcW w:w="2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9"/>
                <w:szCs w:val="19"/>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981.3</w:t>
            </w:r>
          </w:p>
        </w:tc>
        <w:tc>
          <w:tcPr>
            <w:tcW w:w="320" w:type="dxa"/>
            <w:vAlign w:val="bottom"/>
          </w:tcPr>
          <w:p>
            <w:pPr>
              <w:spacing w:after="0"/>
              <w:rPr>
                <w:sz w:val="19"/>
                <w:szCs w:val="19"/>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383.0</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987.3</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6,759.8</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78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24"/>
                <w:szCs w:val="24"/>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49.3</w:t>
            </w:r>
          </w:p>
        </w:tc>
        <w:tc>
          <w:tcPr>
            <w:tcW w:w="280" w:type="dxa"/>
            <w:vAlign w:val="bottom"/>
          </w:tcPr>
          <w:p>
            <w:pPr>
              <w:spacing w:after="0"/>
              <w:rPr>
                <w:sz w:val="24"/>
                <w:szCs w:val="24"/>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723.8</w:t>
            </w:r>
          </w:p>
        </w:tc>
        <w:tc>
          <w:tcPr>
            <w:tcW w:w="300" w:type="dxa"/>
            <w:vAlign w:val="bottom"/>
          </w:tcPr>
          <w:p>
            <w:pPr>
              <w:spacing w:after="0"/>
              <w:rPr>
                <w:sz w:val="24"/>
                <w:szCs w:val="24"/>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6,733.4</w:t>
            </w:r>
          </w:p>
        </w:tc>
        <w:tc>
          <w:tcPr>
            <w:tcW w:w="32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accumulated depreciation and</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409.7</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2,451.4</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Net property and equipment</w:t>
            </w:r>
          </w:p>
        </w:tc>
        <w:tc>
          <w:tcPr>
            <w:tcW w:w="240" w:type="dxa"/>
            <w:vAlign w:val="bottom"/>
          </w:tcPr>
          <w:p>
            <w:pPr>
              <w:spacing w:after="0"/>
              <w:rPr>
                <w:sz w:val="24"/>
                <w:szCs w:val="24"/>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39.0</w:t>
            </w:r>
          </w:p>
        </w:tc>
        <w:tc>
          <w:tcPr>
            <w:tcW w:w="280" w:type="dxa"/>
            <w:vAlign w:val="bottom"/>
          </w:tcPr>
          <w:p>
            <w:pPr>
              <w:spacing w:after="0"/>
              <w:rPr>
                <w:sz w:val="24"/>
                <w:szCs w:val="24"/>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314.1</w:t>
            </w:r>
          </w:p>
        </w:tc>
        <w:tc>
          <w:tcPr>
            <w:tcW w:w="300" w:type="dxa"/>
            <w:vAlign w:val="bottom"/>
          </w:tcPr>
          <w:p>
            <w:pPr>
              <w:spacing w:after="0"/>
              <w:rPr>
                <w:sz w:val="24"/>
                <w:szCs w:val="24"/>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4,282.0</w:t>
            </w:r>
          </w:p>
        </w:tc>
        <w:tc>
          <w:tcPr>
            <w:tcW w:w="32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4,635.1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1,130.2</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3,179.2</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100.3</w:t>
            </w:r>
          </w:p>
        </w:tc>
        <w:tc>
          <w:tcPr>
            <w:tcW w:w="28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627.5</w:t>
            </w:r>
          </w:p>
        </w:tc>
        <w:tc>
          <w:tcPr>
            <w:tcW w:w="3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53,717.4</w:t>
            </w:r>
          </w:p>
        </w:tc>
        <w:tc>
          <w:tcPr>
            <w:tcW w:w="32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54,445.2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12,914.4</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Investments in consolidated subsidiaries</w:t>
            </w:r>
          </w:p>
        </w:tc>
        <w:tc>
          <w:tcPr>
            <w:tcW w:w="24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67,753.5</w:t>
            </w:r>
          </w:p>
        </w:tc>
        <w:tc>
          <w:tcPr>
            <w:tcW w:w="28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15,285.7</w:t>
            </w:r>
          </w:p>
        </w:tc>
        <w:tc>
          <w:tcPr>
            <w:tcW w:w="3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(83,039.2)</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177.5</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158.6</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1,911.0</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assets of discontinued operations</w:t>
            </w:r>
          </w:p>
        </w:tc>
        <w:tc>
          <w:tcPr>
            <w:tcW w:w="2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344.9</w:t>
            </w:r>
          </w:p>
        </w:tc>
        <w:tc>
          <w:tcPr>
            <w:tcW w:w="280" w:type="dxa"/>
            <w:vAlign w:val="bottom"/>
          </w:tcPr>
          <w:p>
            <w:pPr>
              <w:spacing w:after="0"/>
              <w:rPr>
                <w:sz w:val="19"/>
                <w:szCs w:val="19"/>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3,877.9</w:t>
            </w:r>
          </w:p>
        </w:tc>
        <w:tc>
          <w:tcPr>
            <w:tcW w:w="320" w:type="dxa"/>
            <w:vAlign w:val="bottom"/>
          </w:tcPr>
          <w:p>
            <w:pPr>
              <w:spacing w:after="0"/>
              <w:rPr>
                <w:sz w:val="19"/>
                <w:szCs w:val="19"/>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68,816.0</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18,507.5</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86,641.7</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(83,739.7)</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42.0</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491.0</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24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601.9</w:t>
            </w:r>
          </w:p>
        </w:tc>
        <w:tc>
          <w:tcPr>
            <w:tcW w:w="28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734.1</w:t>
            </w:r>
          </w:p>
        </w:tc>
        <w:tc>
          <w:tcPr>
            <w:tcW w:w="3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3,390.2</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(171.4)</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2"/>
              </w:rPr>
              <w:t>Participants' share, residuals and royalties payable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40.3</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1,214.3</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42.8</w:t>
            </w:r>
          </w:p>
        </w:tc>
        <w:tc>
          <w:tcPr>
            <w:tcW w:w="32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16.3</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1,276.9</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4"/>
                <w:szCs w:val="24"/>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613.1</w:t>
            </w:r>
          </w:p>
        </w:tc>
        <w:tc>
          <w:tcPr>
            <w:tcW w:w="280" w:type="dxa"/>
            <w:vAlign w:val="bottom"/>
          </w:tcPr>
          <w:p>
            <w:pPr>
              <w:spacing w:after="0"/>
              <w:rPr>
                <w:sz w:val="24"/>
                <w:szCs w:val="24"/>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841.4</w:t>
            </w:r>
          </w:p>
        </w:tc>
        <w:tc>
          <w:tcPr>
            <w:tcW w:w="300" w:type="dxa"/>
            <w:vAlign w:val="bottom"/>
          </w:tcPr>
          <w:p>
            <w:pPr>
              <w:spacing w:after="0"/>
              <w:rPr>
                <w:sz w:val="24"/>
                <w:szCs w:val="24"/>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6,415.2</w:t>
            </w:r>
          </w:p>
        </w:tc>
        <w:tc>
          <w:tcPr>
            <w:tcW w:w="3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(275.0)</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7,594.7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9,293.0</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35.8</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346.5</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(8,666.9)</w:t>
            </w:r>
          </w:p>
        </w:tc>
        <w:tc>
          <w:tcPr>
            <w:tcW w:w="28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9,572.7</w:t>
            </w:r>
          </w:p>
        </w:tc>
        <w:tc>
          <w:tcPr>
            <w:tcW w:w="3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1,258.3</w:t>
            </w:r>
          </w:p>
        </w:tc>
        <w:tc>
          <w:tcPr>
            <w:tcW w:w="32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5,896.0</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of discontinued operations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367.1</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763.5</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Minority interest</w:t>
            </w:r>
          </w:p>
        </w:tc>
        <w:tc>
          <w:tcPr>
            <w:tcW w:w="24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627.0</w:t>
            </w:r>
          </w:p>
        </w:tc>
        <w:tc>
          <w:tcPr>
            <w:tcW w:w="32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24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128.2</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(128.2)</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22.7</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122.8</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1,162.3</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(1,289.2)</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65,836.2</w:t>
            </w:r>
          </w:p>
        </w:tc>
        <w:tc>
          <w:tcPr>
            <w:tcW w:w="28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1,924.1</w:t>
            </w:r>
          </w:p>
        </w:tc>
        <w:tc>
          <w:tcPr>
            <w:tcW w:w="3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92,863.5</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(94,783.5)</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65,840.3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7,183.4</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6,080.1</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5,335.5</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(15,457.1)</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Accumulated other comprehensive</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income (loss)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(388.0)</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(69.4)</w:t>
            </w:r>
          </w:p>
        </w:tc>
        <w:tc>
          <w:tcPr>
            <w:tcW w:w="30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98.0</w:t>
            </w:r>
          </w:p>
        </w:tc>
        <w:tc>
          <w:tcPr>
            <w:tcW w:w="320" w:type="dxa"/>
            <w:vAlign w:val="bottom"/>
          </w:tcPr>
          <w:p>
            <w:pPr>
              <w:spacing w:after="0"/>
              <w:rPr>
                <w:sz w:val="19"/>
                <w:szCs w:val="19"/>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72,654.3</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8,057.6</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99,587.5</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(111,649.8)</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Less treasury stock, at cost</w:t>
            </w:r>
          </w:p>
        </w:tc>
        <w:tc>
          <w:tcPr>
            <w:tcW w:w="2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5,444.6</w:t>
            </w:r>
          </w:p>
        </w:tc>
        <w:tc>
          <w:tcPr>
            <w:tcW w:w="280" w:type="dxa"/>
            <w:vAlign w:val="bottom"/>
          </w:tcPr>
          <w:p>
            <w:pPr>
              <w:spacing w:after="0"/>
              <w:rPr>
                <w:sz w:val="19"/>
                <w:szCs w:val="19"/>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22,356.3</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(22,356.3)</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67,209.7</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8,057.6</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77,231.2</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(89,293.5)</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68,816.0</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18,507.5</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86,641.7</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(83,739.7)</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90,225.5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-7929880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-7929880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-7492365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-7492365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-6514465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-6514465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-6223000</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-6223000</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-5657215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-5657215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-5365750</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-5365750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-4387850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-4387850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-4096385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-4096385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-3118485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-3118485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-2827020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-2827020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-1026160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-597535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-306070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913"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913" w:gutter="0" w:footer="0" w:header="0"/>
          <w:type w:val="continuous"/>
        </w:sectPr>
      </w:pPr>
    </w:p>
    <w:bookmarkStart w:id="115" w:name="page116"/>
    <w:bookmarkEnd w:id="115"/>
    <w:p>
      <w:pPr>
        <w:jc w:val="center"/>
        <w:ind w:right="100"/>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80" w:type="dxa"/>
            <w:vAlign w:val="bottom"/>
            <w:gridSpan w:val="5"/>
          </w:tcPr>
          <w:p>
            <w:pPr>
              <w:ind w:left="120"/>
              <w:spacing w:after="0"/>
              <w:rPr>
                <w:sz w:val="20"/>
                <w:szCs w:val="20"/>
                <w:color w:val="auto"/>
              </w:rPr>
            </w:pPr>
            <w:r>
              <w:rPr>
                <w:rFonts w:ascii="Arial" w:cs="Arial" w:eastAsia="Arial" w:hAnsi="Arial"/>
                <w:sz w:val="14"/>
                <w:szCs w:val="14"/>
                <w:b w:val="1"/>
                <w:bCs w:val="1"/>
                <w:color w:val="auto"/>
                <w:w w:val="90"/>
              </w:rPr>
              <w:t>Statement of Cash Flows for the Year Ended December 31, 2004</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74"/>
              <w:spacing w:after="0"/>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354"/>
              <w:spacing w:after="0" w:line="149" w:lineRule="exact"/>
              <w:rPr>
                <w:sz w:val="20"/>
                <w:szCs w:val="20"/>
                <w:color w:val="auto"/>
              </w:rPr>
            </w:pPr>
            <w:r>
              <w:rPr>
                <w:rFonts w:ascii="Arial" w:cs="Arial" w:eastAsia="Arial" w:hAnsi="Arial"/>
                <w:sz w:val="14"/>
                <w:szCs w:val="14"/>
                <w:b w:val="1"/>
                <w:bCs w:val="1"/>
                <w:color w:val="auto"/>
              </w:rPr>
              <w:t>Viacom</w:t>
            </w:r>
          </w:p>
        </w:tc>
        <w:tc>
          <w:tcPr>
            <w:tcW w:w="360" w:type="dxa"/>
            <w:vAlign w:val="bottom"/>
          </w:tcPr>
          <w:p>
            <w:pPr>
              <w:spacing w:after="0"/>
              <w:rPr>
                <w:sz w:val="12"/>
                <w:szCs w:val="12"/>
                <w:color w:val="auto"/>
              </w:rPr>
            </w:pPr>
          </w:p>
        </w:tc>
        <w:tc>
          <w:tcPr>
            <w:tcW w:w="1160" w:type="dxa"/>
            <w:vAlign w:val="bottom"/>
          </w:tcPr>
          <w:p>
            <w:pPr>
              <w:jc w:val="right"/>
              <w:ind w:right="474"/>
              <w:spacing w:after="0" w:line="149" w:lineRule="exact"/>
              <w:rPr>
                <w:sz w:val="20"/>
                <w:szCs w:val="20"/>
                <w:color w:val="auto"/>
              </w:rPr>
            </w:pPr>
            <w:r>
              <w:rPr>
                <w:rFonts w:ascii="Arial" w:cs="Arial" w:eastAsia="Arial" w:hAnsi="Arial"/>
                <w:sz w:val="14"/>
                <w:szCs w:val="14"/>
                <w:b w:val="1"/>
                <w:bCs w:val="1"/>
                <w:color w:val="auto"/>
              </w:rPr>
              <w:t>Viacom</w:t>
            </w:r>
          </w:p>
        </w:tc>
        <w:tc>
          <w:tcPr>
            <w:tcW w:w="220" w:type="dxa"/>
            <w:vAlign w:val="bottom"/>
          </w:tcPr>
          <w:p>
            <w:pPr>
              <w:spacing w:after="0"/>
              <w:rPr>
                <w:sz w:val="12"/>
                <w:szCs w:val="12"/>
                <w:color w:val="auto"/>
              </w:rPr>
            </w:pPr>
          </w:p>
        </w:tc>
        <w:tc>
          <w:tcPr>
            <w:tcW w:w="1140" w:type="dxa"/>
            <w:vAlign w:val="bottom"/>
          </w:tcPr>
          <w:p>
            <w:pPr>
              <w:jc w:val="center"/>
              <w:ind w:right="194"/>
              <w:spacing w:after="0" w:line="149" w:lineRule="exact"/>
              <w:rPr>
                <w:sz w:val="20"/>
                <w:szCs w:val="20"/>
                <w:color w:val="auto"/>
              </w:rPr>
            </w:pPr>
            <w:r>
              <w:rPr>
                <w:rFonts w:ascii="Arial" w:cs="Arial" w:eastAsia="Arial" w:hAnsi="Arial"/>
                <w:sz w:val="14"/>
                <w:szCs w:val="14"/>
                <w:b w:val="1"/>
                <w:bCs w:val="1"/>
                <w:color w:val="auto"/>
                <w:w w:val="91"/>
              </w:rPr>
              <w:t>Guarantor</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Viacom Inc.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54"/>
              <w:spacing w:after="0"/>
              <w:rPr>
                <w:sz w:val="20"/>
                <w:szCs w:val="20"/>
                <w:color w:val="auto"/>
              </w:rPr>
            </w:pPr>
            <w:r>
              <w:rPr>
                <w:rFonts w:ascii="Arial" w:cs="Arial" w:eastAsia="Arial" w:hAnsi="Arial"/>
                <w:sz w:val="14"/>
                <w:szCs w:val="14"/>
                <w:b w:val="1"/>
                <w:bCs w:val="1"/>
                <w:color w:val="auto"/>
              </w:rPr>
              <w:t>Inc.</w:t>
            </w:r>
          </w:p>
        </w:tc>
        <w:tc>
          <w:tcPr>
            <w:tcW w:w="360" w:type="dxa"/>
            <w:vAlign w:val="bottom"/>
          </w:tcPr>
          <w:p>
            <w:pPr>
              <w:spacing w:after="0"/>
              <w:rPr>
                <w:sz w:val="15"/>
                <w:szCs w:val="15"/>
                <w:color w:val="auto"/>
              </w:rPr>
            </w:pPr>
          </w:p>
        </w:tc>
        <w:tc>
          <w:tcPr>
            <w:tcW w:w="1160" w:type="dxa"/>
            <w:vAlign w:val="bottom"/>
          </w:tcPr>
          <w:p>
            <w:pPr>
              <w:jc w:val="right"/>
              <w:ind w:right="294"/>
              <w:spacing w:after="0"/>
              <w:rPr>
                <w:sz w:val="20"/>
                <w:szCs w:val="20"/>
                <w:color w:val="auto"/>
              </w:rPr>
            </w:pPr>
            <w:r>
              <w:rPr>
                <w:rFonts w:ascii="Arial" w:cs="Arial" w:eastAsia="Arial" w:hAnsi="Arial"/>
                <w:sz w:val="14"/>
                <w:szCs w:val="14"/>
                <w:b w:val="1"/>
                <w:bCs w:val="1"/>
                <w:color w:val="auto"/>
                <w:w w:val="90"/>
              </w:rPr>
              <w:t>International</w:t>
            </w:r>
          </w:p>
        </w:tc>
        <w:tc>
          <w:tcPr>
            <w:tcW w:w="220" w:type="dxa"/>
            <w:vAlign w:val="bottom"/>
          </w:tcPr>
          <w:p>
            <w:pPr>
              <w:spacing w:after="0"/>
              <w:rPr>
                <w:sz w:val="15"/>
                <w:szCs w:val="15"/>
                <w:color w:val="auto"/>
              </w:rPr>
            </w:pPr>
          </w:p>
        </w:tc>
        <w:tc>
          <w:tcPr>
            <w:tcW w:w="1140" w:type="dxa"/>
            <w:vAlign w:val="bottom"/>
          </w:tcPr>
          <w:p>
            <w:pPr>
              <w:jc w:val="center"/>
              <w:ind w:right="174"/>
              <w:spacing w:after="0"/>
              <w:rPr>
                <w:sz w:val="20"/>
                <w:szCs w:val="20"/>
                <w:color w:val="auto"/>
              </w:rPr>
            </w:pPr>
            <w:r>
              <w:rPr>
                <w:rFonts w:ascii="Arial" w:cs="Arial" w:eastAsia="Arial" w:hAnsi="Arial"/>
                <w:sz w:val="14"/>
                <w:szCs w:val="14"/>
                <w:b w:val="1"/>
                <w:bCs w:val="1"/>
                <w:color w:val="auto"/>
                <w:w w:val="87"/>
              </w:rPr>
              <w:t>Affiliates</w:t>
            </w:r>
          </w:p>
        </w:tc>
        <w:tc>
          <w:tcPr>
            <w:tcW w:w="24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5"/>
                <w:szCs w:val="15"/>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provided by (used for) operating</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(1,706.7)</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1,195.4</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4,151.9</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(324.5)</w:t>
            </w:r>
          </w:p>
        </w:tc>
        <w:tc>
          <w:tcPr>
            <w:tcW w:w="24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Investments in and advances to affiliated companies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Special distribution received from Blockbuster</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728.1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sale, net of transaction costs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7"/>
              </w:rPr>
              <w:t>Net cash flow provided by (used for) investing activities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from continuing operations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300" w:type="dxa"/>
            <w:vAlign w:val="bottom"/>
            <w:gridSpan w:val="2"/>
          </w:tcPr>
          <w:p>
            <w:pPr>
              <w:spacing w:after="0"/>
              <w:rPr>
                <w:sz w:val="20"/>
                <w:szCs w:val="20"/>
                <w:color w:val="auto"/>
              </w:rPr>
            </w:pPr>
            <w:r>
              <w:rPr>
                <w:rFonts w:ascii="Arial" w:cs="Arial" w:eastAsia="Arial" w:hAnsi="Arial"/>
                <w:sz w:val="18"/>
                <w:szCs w:val="18"/>
                <w:color w:val="auto"/>
              </w:rPr>
              <w:t>Net cash flow from investing activities attributable to</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Blockbuster</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(421.0)</w:t>
            </w:r>
          </w:p>
        </w:tc>
        <w:tc>
          <w:tcPr>
            <w:tcW w:w="240" w:type="dxa"/>
            <w:vAlign w:val="bottom"/>
          </w:tcPr>
          <w:p>
            <w:pPr>
              <w:spacing w:after="0"/>
              <w:rPr>
                <w:sz w:val="19"/>
                <w:szCs w:val="19"/>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Net cash flow provided by (used for) investing activities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w w:val="91"/>
              </w:rPr>
              <w:t>Repayments to banks, including commercial paper, net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 of notes and debentures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Payment of capital lease obligations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w:t>
            </w:r>
          </w:p>
        </w:tc>
        <w:tc>
          <w:tcPr>
            <w:tcW w:w="24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Company common stock</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(2,503.3)</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Dividends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(415.2)</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(decrease) in intercompany payables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4,854.9</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(3,038.9)</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9"/>
                <w:szCs w:val="19"/>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cash flow provided by (used for) financing activities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from continuing operations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2,011.4</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(2,980.4)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300" w:type="dxa"/>
            <w:vAlign w:val="bottom"/>
            <w:gridSpan w:val="2"/>
          </w:tcPr>
          <w:p>
            <w:pPr>
              <w:spacing w:after="0"/>
              <w:rPr>
                <w:sz w:val="20"/>
                <w:szCs w:val="20"/>
                <w:color w:val="auto"/>
              </w:rPr>
            </w:pPr>
            <w:r>
              <w:rPr>
                <w:rFonts w:ascii="Arial" w:cs="Arial" w:eastAsia="Arial" w:hAnsi="Arial"/>
                <w:sz w:val="18"/>
                <w:szCs w:val="18"/>
                <w:color w:val="auto"/>
              </w:rPr>
              <w:t>Net cash flow from financing activities attributable to</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Blockbuster</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(49.0)</w:t>
            </w:r>
          </w:p>
        </w:tc>
        <w:tc>
          <w:tcPr>
            <w:tcW w:w="240" w:type="dxa"/>
            <w:vAlign w:val="bottom"/>
          </w:tcPr>
          <w:p>
            <w:pPr>
              <w:spacing w:after="0"/>
              <w:rPr>
                <w:sz w:val="19"/>
                <w:szCs w:val="19"/>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Net cash flow provided by (used for) financing activities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2,011.4</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(3,029.4)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00" w:type="dxa"/>
            <w:vAlign w:val="bottom"/>
            <w:gridSpan w:val="2"/>
          </w:tcPr>
          <w:p>
            <w:pPr>
              <w:spacing w:after="0"/>
              <w:rPr>
                <w:sz w:val="20"/>
                <w:szCs w:val="20"/>
                <w:color w:val="auto"/>
              </w:rPr>
            </w:pPr>
            <w:r>
              <w:rPr>
                <w:rFonts w:ascii="Arial" w:cs="Arial" w:eastAsia="Arial" w:hAnsi="Arial"/>
                <w:sz w:val="18"/>
                <w:szCs w:val="18"/>
                <w:color w:val="auto"/>
                <w:w w:val="99"/>
              </w:rPr>
              <w:t>Net increase (decrease) in cash and cash equivalents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356.7</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(263.6)</w:t>
            </w:r>
          </w:p>
        </w:tc>
        <w:tc>
          <w:tcPr>
            <w:tcW w:w="240" w:type="dxa"/>
            <w:vAlign w:val="bottom"/>
          </w:tcPr>
          <w:p>
            <w:pPr>
              <w:spacing w:after="0"/>
              <w:rPr>
                <w:sz w:val="24"/>
                <w:szCs w:val="24"/>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569.2</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347.8</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8"/>
              </w:rPr>
              <w:t>II-80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-6900545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-6900545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-6463030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-6463030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-6034405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-6034405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-4919345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-4919345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-4490720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-4490720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-4062095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-4062095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-3770630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-3770630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-2381250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-1952625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-1952625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-1523365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-1523365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-1231900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20"/>
          </w:cols>
          <w:pgMar w:left="240" w:top="125" w:right="139" w:bottom="1440" w:gutter="0" w:footer="0" w:header="0"/>
        </w:sectPr>
      </w:pPr>
    </w:p>
    <w:bookmarkStart w:id="116" w:name="page117"/>
    <w:bookmarkEnd w:id="116"/>
    <w:p>
      <w:pPr>
        <w:jc w:val="center"/>
        <w:ind w:right="100"/>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80" w:type="dxa"/>
            <w:vAlign w:val="bottom"/>
            <w:gridSpan w:val="5"/>
          </w:tcPr>
          <w:p>
            <w:pPr>
              <w:ind w:left="120"/>
              <w:spacing w:after="0"/>
              <w:rPr>
                <w:sz w:val="20"/>
                <w:szCs w:val="20"/>
                <w:color w:val="auto"/>
              </w:rPr>
            </w:pPr>
            <w:r>
              <w:rPr>
                <w:rFonts w:ascii="Arial" w:cs="Arial" w:eastAsia="Arial" w:hAnsi="Arial"/>
                <w:sz w:val="14"/>
                <w:szCs w:val="14"/>
                <w:b w:val="1"/>
                <w:bCs w:val="1"/>
                <w:color w:val="auto"/>
                <w:w w:val="90"/>
              </w:rPr>
              <w:t>Statement of Cash Flows for the Year Ended December 31, 2003</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74"/>
              <w:spacing w:after="0"/>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354"/>
              <w:spacing w:after="0" w:line="149" w:lineRule="exact"/>
              <w:rPr>
                <w:sz w:val="20"/>
                <w:szCs w:val="20"/>
                <w:color w:val="auto"/>
              </w:rPr>
            </w:pPr>
            <w:r>
              <w:rPr>
                <w:rFonts w:ascii="Arial" w:cs="Arial" w:eastAsia="Arial" w:hAnsi="Arial"/>
                <w:sz w:val="14"/>
                <w:szCs w:val="14"/>
                <w:b w:val="1"/>
                <w:bCs w:val="1"/>
                <w:color w:val="auto"/>
              </w:rPr>
              <w:t>Viacom</w:t>
            </w:r>
          </w:p>
        </w:tc>
        <w:tc>
          <w:tcPr>
            <w:tcW w:w="360" w:type="dxa"/>
            <w:vAlign w:val="bottom"/>
          </w:tcPr>
          <w:p>
            <w:pPr>
              <w:spacing w:after="0"/>
              <w:rPr>
                <w:sz w:val="12"/>
                <w:szCs w:val="12"/>
                <w:color w:val="auto"/>
              </w:rPr>
            </w:pPr>
          </w:p>
        </w:tc>
        <w:tc>
          <w:tcPr>
            <w:tcW w:w="1160" w:type="dxa"/>
            <w:vAlign w:val="bottom"/>
          </w:tcPr>
          <w:p>
            <w:pPr>
              <w:jc w:val="right"/>
              <w:ind w:right="474"/>
              <w:spacing w:after="0" w:line="149" w:lineRule="exact"/>
              <w:rPr>
                <w:sz w:val="20"/>
                <w:szCs w:val="20"/>
                <w:color w:val="auto"/>
              </w:rPr>
            </w:pPr>
            <w:r>
              <w:rPr>
                <w:rFonts w:ascii="Arial" w:cs="Arial" w:eastAsia="Arial" w:hAnsi="Arial"/>
                <w:sz w:val="14"/>
                <w:szCs w:val="14"/>
                <w:b w:val="1"/>
                <w:bCs w:val="1"/>
                <w:color w:val="auto"/>
              </w:rPr>
              <w:t>Viacom</w:t>
            </w:r>
          </w:p>
        </w:tc>
        <w:tc>
          <w:tcPr>
            <w:tcW w:w="220" w:type="dxa"/>
            <w:vAlign w:val="bottom"/>
          </w:tcPr>
          <w:p>
            <w:pPr>
              <w:spacing w:after="0"/>
              <w:rPr>
                <w:sz w:val="12"/>
                <w:szCs w:val="12"/>
                <w:color w:val="auto"/>
              </w:rPr>
            </w:pPr>
          </w:p>
        </w:tc>
        <w:tc>
          <w:tcPr>
            <w:tcW w:w="1140" w:type="dxa"/>
            <w:vAlign w:val="bottom"/>
          </w:tcPr>
          <w:p>
            <w:pPr>
              <w:jc w:val="center"/>
              <w:ind w:right="194"/>
              <w:spacing w:after="0" w:line="149" w:lineRule="exact"/>
              <w:rPr>
                <w:sz w:val="20"/>
                <w:szCs w:val="20"/>
                <w:color w:val="auto"/>
              </w:rPr>
            </w:pPr>
            <w:r>
              <w:rPr>
                <w:rFonts w:ascii="Arial" w:cs="Arial" w:eastAsia="Arial" w:hAnsi="Arial"/>
                <w:sz w:val="14"/>
                <w:szCs w:val="14"/>
                <w:b w:val="1"/>
                <w:bCs w:val="1"/>
                <w:color w:val="auto"/>
                <w:w w:val="91"/>
              </w:rPr>
              <w:t>Guarantor</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Viacom Inc.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54"/>
              <w:spacing w:after="0"/>
              <w:rPr>
                <w:sz w:val="20"/>
                <w:szCs w:val="20"/>
                <w:color w:val="auto"/>
              </w:rPr>
            </w:pPr>
            <w:r>
              <w:rPr>
                <w:rFonts w:ascii="Arial" w:cs="Arial" w:eastAsia="Arial" w:hAnsi="Arial"/>
                <w:sz w:val="14"/>
                <w:szCs w:val="14"/>
                <w:b w:val="1"/>
                <w:bCs w:val="1"/>
                <w:color w:val="auto"/>
              </w:rPr>
              <w:t>Inc.</w:t>
            </w:r>
          </w:p>
        </w:tc>
        <w:tc>
          <w:tcPr>
            <w:tcW w:w="360" w:type="dxa"/>
            <w:vAlign w:val="bottom"/>
          </w:tcPr>
          <w:p>
            <w:pPr>
              <w:spacing w:after="0"/>
              <w:rPr>
                <w:sz w:val="15"/>
                <w:szCs w:val="15"/>
                <w:color w:val="auto"/>
              </w:rPr>
            </w:pPr>
          </w:p>
        </w:tc>
        <w:tc>
          <w:tcPr>
            <w:tcW w:w="1160" w:type="dxa"/>
            <w:vAlign w:val="bottom"/>
          </w:tcPr>
          <w:p>
            <w:pPr>
              <w:jc w:val="right"/>
              <w:ind w:right="294"/>
              <w:spacing w:after="0"/>
              <w:rPr>
                <w:sz w:val="20"/>
                <w:szCs w:val="20"/>
                <w:color w:val="auto"/>
              </w:rPr>
            </w:pPr>
            <w:r>
              <w:rPr>
                <w:rFonts w:ascii="Arial" w:cs="Arial" w:eastAsia="Arial" w:hAnsi="Arial"/>
                <w:sz w:val="14"/>
                <w:szCs w:val="14"/>
                <w:b w:val="1"/>
                <w:bCs w:val="1"/>
                <w:color w:val="auto"/>
                <w:w w:val="90"/>
              </w:rPr>
              <w:t>International</w:t>
            </w:r>
          </w:p>
        </w:tc>
        <w:tc>
          <w:tcPr>
            <w:tcW w:w="220" w:type="dxa"/>
            <w:vAlign w:val="bottom"/>
          </w:tcPr>
          <w:p>
            <w:pPr>
              <w:spacing w:after="0"/>
              <w:rPr>
                <w:sz w:val="15"/>
                <w:szCs w:val="15"/>
                <w:color w:val="auto"/>
              </w:rPr>
            </w:pPr>
          </w:p>
        </w:tc>
        <w:tc>
          <w:tcPr>
            <w:tcW w:w="1140" w:type="dxa"/>
            <w:vAlign w:val="bottom"/>
          </w:tcPr>
          <w:p>
            <w:pPr>
              <w:jc w:val="center"/>
              <w:ind w:right="174"/>
              <w:spacing w:after="0"/>
              <w:rPr>
                <w:sz w:val="20"/>
                <w:szCs w:val="20"/>
                <w:color w:val="auto"/>
              </w:rPr>
            </w:pPr>
            <w:r>
              <w:rPr>
                <w:rFonts w:ascii="Arial" w:cs="Arial" w:eastAsia="Arial" w:hAnsi="Arial"/>
                <w:sz w:val="14"/>
                <w:szCs w:val="14"/>
                <w:b w:val="1"/>
                <w:bCs w:val="1"/>
                <w:color w:val="auto"/>
                <w:w w:val="87"/>
              </w:rPr>
              <w:t>Affiliates</w:t>
            </w:r>
          </w:p>
        </w:tc>
        <w:tc>
          <w:tcPr>
            <w:tcW w:w="24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5"/>
                <w:szCs w:val="15"/>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provided by (used for) operating</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4,002.1</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3,497.4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(293.5)</w:t>
            </w:r>
          </w:p>
        </w:tc>
        <w:tc>
          <w:tcPr>
            <w:tcW w:w="24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Investments in and advances to affiliated companies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Proceeds from sale, net of transaction costs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300" w:type="dxa"/>
            <w:vAlign w:val="bottom"/>
            <w:gridSpan w:val="2"/>
          </w:tcPr>
          <w:p>
            <w:pPr>
              <w:spacing w:after="0"/>
              <w:rPr>
                <w:sz w:val="20"/>
                <w:szCs w:val="20"/>
                <w:color w:val="auto"/>
              </w:rPr>
            </w:pPr>
            <w:r>
              <w:rPr>
                <w:rFonts w:ascii="Arial" w:cs="Arial" w:eastAsia="Arial" w:hAnsi="Arial"/>
                <w:sz w:val="18"/>
                <w:szCs w:val="18"/>
                <w:color w:val="auto"/>
                <w:w w:val="93"/>
              </w:rPr>
              <w:t>Net cash flow used for investing activities from continuing</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(55.7)</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(1,258.3)</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(369.3)</w:t>
            </w:r>
          </w:p>
        </w:tc>
        <w:tc>
          <w:tcPr>
            <w:tcW w:w="240" w:type="dxa"/>
            <w:vAlign w:val="bottom"/>
          </w:tcPr>
          <w:p>
            <w:pPr>
              <w:spacing w:after="0"/>
              <w:rPr>
                <w:sz w:val="19"/>
                <w:szCs w:val="19"/>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(1,683.3)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investing activities attributable to</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Blockbuster</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Net cash flow used for investing activities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(55.7)</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(1,258.3)</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(548.4)</w:t>
            </w:r>
          </w:p>
        </w:tc>
        <w:tc>
          <w:tcPr>
            <w:tcW w:w="240" w:type="dxa"/>
            <w:vAlign w:val="bottom"/>
          </w:tcPr>
          <w:p>
            <w:pPr>
              <w:spacing w:after="0"/>
              <w:rPr>
                <w:sz w:val="24"/>
                <w:szCs w:val="24"/>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(1,862.4)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Proceeds from issuance of notes and debentures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735.3</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w w:val="91"/>
              </w:rPr>
              <w:t>Repayments to banks, including commercial paper, net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(155.8)</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 of notes and debentures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Payment of capital lease obligations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(66.3)</w:t>
            </w:r>
          </w:p>
        </w:tc>
        <w:tc>
          <w:tcPr>
            <w:tcW w:w="24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Company common stock</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Dividends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(104.6)</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(decrease) in intercompany payables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2,315.9</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(2,775.2)</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cash flow provided by (used for) financing activities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from continuing operations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300" w:type="dxa"/>
            <w:vAlign w:val="bottom"/>
            <w:gridSpan w:val="2"/>
          </w:tcPr>
          <w:p>
            <w:pPr>
              <w:spacing w:after="0"/>
              <w:rPr>
                <w:sz w:val="20"/>
                <w:szCs w:val="20"/>
                <w:color w:val="auto"/>
              </w:rPr>
            </w:pPr>
            <w:r>
              <w:rPr>
                <w:rFonts w:ascii="Arial" w:cs="Arial" w:eastAsia="Arial" w:hAnsi="Arial"/>
                <w:sz w:val="18"/>
                <w:szCs w:val="18"/>
                <w:color w:val="auto"/>
              </w:rPr>
              <w:t>Net cash flow from financing activities attributable to</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Blockbuster</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(335.5)</w:t>
            </w:r>
          </w:p>
        </w:tc>
        <w:tc>
          <w:tcPr>
            <w:tcW w:w="240" w:type="dxa"/>
            <w:vAlign w:val="bottom"/>
          </w:tcPr>
          <w:p>
            <w:pPr>
              <w:spacing w:after="0"/>
              <w:rPr>
                <w:sz w:val="19"/>
                <w:szCs w:val="19"/>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Net cash flow provided by (used for) financing activities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1,481.2</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(3,188.4)</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00" w:type="dxa"/>
            <w:vAlign w:val="bottom"/>
            <w:gridSpan w:val="2"/>
          </w:tcPr>
          <w:p>
            <w:pPr>
              <w:spacing w:after="0"/>
              <w:rPr>
                <w:sz w:val="20"/>
                <w:szCs w:val="20"/>
                <w:color w:val="auto"/>
              </w:rPr>
            </w:pPr>
            <w:r>
              <w:rPr>
                <w:rFonts w:ascii="Arial" w:cs="Arial" w:eastAsia="Arial" w:hAnsi="Arial"/>
                <w:sz w:val="18"/>
                <w:szCs w:val="18"/>
                <w:color w:val="auto"/>
                <w:w w:val="99"/>
              </w:rPr>
              <w:t>Net increase (decrease) in cash and cash equivalents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265.3</w:t>
            </w:r>
          </w:p>
        </w:tc>
        <w:tc>
          <w:tcPr>
            <w:tcW w:w="240" w:type="dxa"/>
            <w:vAlign w:val="bottom"/>
          </w:tcPr>
          <w:p>
            <w:pPr>
              <w:spacing w:after="0"/>
              <w:rPr>
                <w:sz w:val="24"/>
                <w:szCs w:val="24"/>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212.5</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611.4</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8"/>
              </w:rPr>
              <w:t>II-81</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-6900545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-6900545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-6463030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-6463030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-6034405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-6034405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-5057140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-5057140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-4627880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-4627880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-4199255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-4199255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-3907790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-3907790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-2381250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-1952625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-1952625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-1523365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-1523365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-1231900</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20"/>
          </w:cols>
          <w:pgMar w:left="240" w:top="125" w:right="139" w:bottom="1440" w:gutter="0" w:footer="0" w:header="0"/>
        </w:sectPr>
      </w:pPr>
    </w:p>
    <w:bookmarkStart w:id="117" w:name="page118"/>
    <w:bookmarkEnd w:id="117"/>
    <w:p>
      <w:pPr>
        <w:jc w:val="center"/>
        <w:ind w:right="100"/>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80" w:type="dxa"/>
            <w:vAlign w:val="bottom"/>
            <w:gridSpan w:val="5"/>
          </w:tcPr>
          <w:p>
            <w:pPr>
              <w:ind w:left="120"/>
              <w:spacing w:after="0"/>
              <w:rPr>
                <w:sz w:val="20"/>
                <w:szCs w:val="20"/>
                <w:color w:val="auto"/>
              </w:rPr>
            </w:pPr>
            <w:r>
              <w:rPr>
                <w:rFonts w:ascii="Arial" w:cs="Arial" w:eastAsia="Arial" w:hAnsi="Arial"/>
                <w:sz w:val="14"/>
                <w:szCs w:val="14"/>
                <w:b w:val="1"/>
                <w:bCs w:val="1"/>
                <w:color w:val="auto"/>
                <w:w w:val="90"/>
              </w:rPr>
              <w:t>Statement of Cash Flows for the Year Ended December 31, 2002</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354"/>
              <w:spacing w:after="0" w:line="149" w:lineRule="exact"/>
              <w:rPr>
                <w:sz w:val="20"/>
                <w:szCs w:val="20"/>
                <w:color w:val="auto"/>
              </w:rPr>
            </w:pPr>
            <w:r>
              <w:rPr>
                <w:rFonts w:ascii="Arial" w:cs="Arial" w:eastAsia="Arial" w:hAnsi="Arial"/>
                <w:sz w:val="14"/>
                <w:szCs w:val="14"/>
                <w:b w:val="1"/>
                <w:bCs w:val="1"/>
                <w:color w:val="auto"/>
              </w:rPr>
              <w:t>Viacom</w:t>
            </w:r>
          </w:p>
        </w:tc>
        <w:tc>
          <w:tcPr>
            <w:tcW w:w="360" w:type="dxa"/>
            <w:vAlign w:val="bottom"/>
          </w:tcPr>
          <w:p>
            <w:pPr>
              <w:spacing w:after="0"/>
              <w:rPr>
                <w:sz w:val="12"/>
                <w:szCs w:val="12"/>
                <w:color w:val="auto"/>
              </w:rPr>
            </w:pPr>
          </w:p>
        </w:tc>
        <w:tc>
          <w:tcPr>
            <w:tcW w:w="1160" w:type="dxa"/>
            <w:vAlign w:val="bottom"/>
          </w:tcPr>
          <w:p>
            <w:pPr>
              <w:jc w:val="right"/>
              <w:ind w:right="475"/>
              <w:spacing w:after="0" w:line="149" w:lineRule="exact"/>
              <w:rPr>
                <w:sz w:val="20"/>
                <w:szCs w:val="20"/>
                <w:color w:val="auto"/>
              </w:rPr>
            </w:pPr>
            <w:r>
              <w:rPr>
                <w:rFonts w:ascii="Arial" w:cs="Arial" w:eastAsia="Arial" w:hAnsi="Arial"/>
                <w:sz w:val="14"/>
                <w:szCs w:val="14"/>
                <w:b w:val="1"/>
                <w:bCs w:val="1"/>
                <w:color w:val="auto"/>
              </w:rPr>
              <w:t>Viacom</w:t>
            </w:r>
          </w:p>
        </w:tc>
        <w:tc>
          <w:tcPr>
            <w:tcW w:w="220" w:type="dxa"/>
            <w:vAlign w:val="bottom"/>
          </w:tcPr>
          <w:p>
            <w:pPr>
              <w:spacing w:after="0"/>
              <w:rPr>
                <w:sz w:val="12"/>
                <w:szCs w:val="12"/>
                <w:color w:val="auto"/>
              </w:rPr>
            </w:pPr>
          </w:p>
        </w:tc>
        <w:tc>
          <w:tcPr>
            <w:tcW w:w="114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1"/>
              </w:rPr>
              <w:t>Guarantor</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Viacom Inc.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54"/>
              <w:spacing w:after="0"/>
              <w:rPr>
                <w:sz w:val="20"/>
                <w:szCs w:val="20"/>
                <w:color w:val="auto"/>
              </w:rPr>
            </w:pPr>
            <w:r>
              <w:rPr>
                <w:rFonts w:ascii="Arial" w:cs="Arial" w:eastAsia="Arial" w:hAnsi="Arial"/>
                <w:sz w:val="14"/>
                <w:szCs w:val="14"/>
                <w:b w:val="1"/>
                <w:bCs w:val="1"/>
                <w:color w:val="auto"/>
              </w:rPr>
              <w:t>Inc.</w:t>
            </w:r>
          </w:p>
        </w:tc>
        <w:tc>
          <w:tcPr>
            <w:tcW w:w="360" w:type="dxa"/>
            <w:vAlign w:val="bottom"/>
          </w:tcPr>
          <w:p>
            <w:pPr>
              <w:spacing w:after="0"/>
              <w:rPr>
                <w:sz w:val="15"/>
                <w:szCs w:val="15"/>
                <w:color w:val="auto"/>
              </w:rPr>
            </w:pPr>
          </w:p>
        </w:tc>
        <w:tc>
          <w:tcPr>
            <w:tcW w:w="1160" w:type="dxa"/>
            <w:vAlign w:val="bottom"/>
          </w:tcPr>
          <w:p>
            <w:pPr>
              <w:jc w:val="right"/>
              <w:ind w:right="295"/>
              <w:spacing w:after="0"/>
              <w:rPr>
                <w:sz w:val="20"/>
                <w:szCs w:val="20"/>
                <w:color w:val="auto"/>
              </w:rPr>
            </w:pPr>
            <w:r>
              <w:rPr>
                <w:rFonts w:ascii="Arial" w:cs="Arial" w:eastAsia="Arial" w:hAnsi="Arial"/>
                <w:sz w:val="14"/>
                <w:szCs w:val="14"/>
                <w:b w:val="1"/>
                <w:bCs w:val="1"/>
                <w:color w:val="auto"/>
                <w:w w:val="90"/>
              </w:rPr>
              <w:t>International</w:t>
            </w:r>
          </w:p>
        </w:tc>
        <w:tc>
          <w:tcPr>
            <w:tcW w:w="220" w:type="dxa"/>
            <w:vAlign w:val="bottom"/>
          </w:tcPr>
          <w:p>
            <w:pPr>
              <w:spacing w:after="0"/>
              <w:rPr>
                <w:sz w:val="15"/>
                <w:szCs w:val="15"/>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w w:val="87"/>
              </w:rPr>
              <w:t>Affiliates</w:t>
            </w:r>
          </w:p>
        </w:tc>
        <w:tc>
          <w:tcPr>
            <w:tcW w:w="24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5"/>
                <w:szCs w:val="15"/>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provided by (used for) operating</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3,152.7</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3,124.4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(326.2)</w:t>
            </w:r>
          </w:p>
        </w:tc>
        <w:tc>
          <w:tcPr>
            <w:tcW w:w="24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Investments in and advances to affiliated companies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Proceeds from sale, net of transaction costs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60.2</w:t>
            </w:r>
          </w:p>
        </w:tc>
        <w:tc>
          <w:tcPr>
            <w:tcW w:w="24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300" w:type="dxa"/>
            <w:vAlign w:val="bottom"/>
            <w:gridSpan w:val="2"/>
          </w:tcPr>
          <w:p>
            <w:pPr>
              <w:spacing w:after="0"/>
              <w:rPr>
                <w:sz w:val="20"/>
                <w:szCs w:val="20"/>
                <w:color w:val="auto"/>
              </w:rPr>
            </w:pPr>
            <w:r>
              <w:rPr>
                <w:rFonts w:ascii="Arial" w:cs="Arial" w:eastAsia="Arial" w:hAnsi="Arial"/>
                <w:sz w:val="18"/>
                <w:szCs w:val="18"/>
                <w:color w:val="auto"/>
                <w:w w:val="93"/>
              </w:rPr>
              <w:t>Net cash flow used for investing activities from continuing</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(198.9)</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(993.5)</w:t>
            </w:r>
          </w:p>
        </w:tc>
        <w:tc>
          <w:tcPr>
            <w:tcW w:w="240" w:type="dxa"/>
            <w:vAlign w:val="bottom"/>
          </w:tcPr>
          <w:p>
            <w:pPr>
              <w:spacing w:after="0"/>
              <w:rPr>
                <w:sz w:val="19"/>
                <w:szCs w:val="19"/>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(1,193.4)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investing activities attributable to</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Blockbuster</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Net cash flow used for investing activities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(198.9)</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(1,242.3)</w:t>
            </w:r>
          </w:p>
        </w:tc>
        <w:tc>
          <w:tcPr>
            <w:tcW w:w="240" w:type="dxa"/>
            <w:vAlign w:val="bottom"/>
          </w:tcPr>
          <w:p>
            <w:pPr>
              <w:spacing w:after="0"/>
              <w:rPr>
                <w:sz w:val="24"/>
                <w:szCs w:val="24"/>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(1,442.2)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Proceeds from issuance of notes and debentures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1,298.0</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w w:val="91"/>
              </w:rPr>
              <w:t>Repayments to banks, including commercial paper, net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(959.7)</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 of notes and debentures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Payment of capital lease obligations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(79.1)</w:t>
            </w:r>
          </w:p>
        </w:tc>
        <w:tc>
          <w:tcPr>
            <w:tcW w:w="24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Company common stock</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Increase (decrease) in intercompany payables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1,382.2</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(1,617.8)</w:t>
            </w:r>
          </w:p>
        </w:tc>
        <w:tc>
          <w:tcPr>
            <w:tcW w:w="24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300" w:type="dxa"/>
            <w:vAlign w:val="bottom"/>
            <w:gridSpan w:val="2"/>
          </w:tcPr>
          <w:p>
            <w:pPr>
              <w:spacing w:after="0"/>
              <w:rPr>
                <w:sz w:val="20"/>
                <w:szCs w:val="20"/>
                <w:color w:val="auto"/>
              </w:rPr>
            </w:pPr>
            <w:r>
              <w:rPr>
                <w:rFonts w:ascii="Arial" w:cs="Arial" w:eastAsia="Arial" w:hAnsi="Arial"/>
                <w:sz w:val="18"/>
                <w:szCs w:val="18"/>
                <w:color w:val="auto"/>
                <w:w w:val="97"/>
              </w:rPr>
              <w:t>Net cash flow provided by (used for) financing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from continuing operations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(264.9)</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(1,726.7)</w:t>
            </w:r>
          </w:p>
        </w:tc>
        <w:tc>
          <w:tcPr>
            <w:tcW w:w="240" w:type="dxa"/>
            <w:vAlign w:val="bottom"/>
          </w:tcPr>
          <w:p>
            <w:pPr>
              <w:spacing w:after="0"/>
              <w:rPr>
                <w:sz w:val="19"/>
                <w:szCs w:val="19"/>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(1,583.6)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financing activities attributable to</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Blockbuster</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w w:val="89"/>
              </w:rPr>
              <w:t>Net cash flow provided by (used for) financing activities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408.0</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(264.9)</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(1,921.3)</w:t>
            </w:r>
          </w:p>
        </w:tc>
        <w:tc>
          <w:tcPr>
            <w:tcW w:w="240" w:type="dxa"/>
            <w:vAlign w:val="bottom"/>
          </w:tcPr>
          <w:p>
            <w:pPr>
              <w:spacing w:after="0"/>
              <w:rPr>
                <w:sz w:val="24"/>
                <w:szCs w:val="24"/>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(1,778.2)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increase (decrease) in cash and cash equivalents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367.7</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357.0</w:t>
            </w:r>
          </w:p>
        </w:tc>
        <w:tc>
          <w:tcPr>
            <w:tcW w:w="240" w:type="dxa"/>
            <w:vAlign w:val="bottom"/>
          </w:tcPr>
          <w:p>
            <w:pPr>
              <w:spacing w:after="0"/>
              <w:rPr>
                <w:sz w:val="19"/>
                <w:szCs w:val="19"/>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727.4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8"/>
              </w:rPr>
              <w:t>II-82</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-6763385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-6763385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-6325870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-6325870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-5897245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-5897245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-4919345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-4919345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-4490720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-4490720</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-4062095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-4062095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-3770630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-3770630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-2381250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-1952625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-1952625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-1523365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-1523365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-1231900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20"/>
          </w:cols>
          <w:pgMar w:left="240" w:top="125" w:right="139" w:bottom="1440" w:gutter="0" w:footer="0" w:header="0"/>
        </w:sectPr>
      </w:pPr>
    </w:p>
    <w:bookmarkStart w:id="118" w:name="page119"/>
    <w:bookmarkEnd w:id="118"/>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Company's chief executive officer and chief financial officer have concluded that, as of the end of the period covered by this report, the Company's disclosure controls and procedures (as defined in Rule 13a-15(e) or 15d-15(e) of the Securities Exchange Act of 1934, as amended ("Exchange Act")) were effective, based on the evaluation of these controls and procedures required by Rule 13a-15(b) or 15d-15(b) of the Exchange Act. No change in the Company's internal control over financial reporting occurred during the Company's last fiscal quarter that has materially affected, or is reasonably likely to materially affect, the Company's internal control over financial reporting.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Management's Statement of Responsibility For Financial Reporting is incorporated herein by reference to Item 8 on page II-31 of this report.</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information required by this item with respect to the Company's directors is contained in the Viacom Inc. Proxy Statement for the Company's 2005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Annual Meeting of Stockholders (the "Proxy Statement") under the headings "Viacom's Board of Directors," "Item 1—Election of Directors," and "Section 16(a)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Ownership Reporting Compliance," which information is incorporated herein by reference.</w:t>
      </w:r>
    </w:p>
    <w:p>
      <w:pPr>
        <w:spacing w:after="0" w:line="219"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information required by this item with respect to the Company's executive officers is (i) contained in the Proxy Statement under the headings "Corporate Governance" and "Section 16(a) Beneficial Ownership Reporting Compliance" and (ii) included in Part I of this Form 10-K under the caption "Executive Officers of the Company," which information is incorporated herein by reference.</w:t>
      </w:r>
    </w:p>
    <w:p>
      <w:pPr>
        <w:spacing w:after="0" w:line="1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headings "Director Compensation" and "Executive Compensation," which information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231"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The information required by this item is contained in the Proxy Statement under the headings "Security Ownership of Certain Beneficial Owners and Management" and "Equity Compensation Plan Information," which information is incorporated herein by reference.</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31"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information required by this item is contained in the Proxy Statement under the headings "Executive Compensation—Compensation Committee Interlocks and Insider Participation" and "Related Party Transactions," which information is incorporated herein by reference.</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 "Services Provided by the Independent Auditor and Fees Paid," which information is incorporated herein by reference.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w:t>
      </w:r>
    </w:p>
    <w:p>
      <w:pPr>
        <w:spacing w:after="0" w:line="239" w:lineRule="exact"/>
        <w:rPr>
          <w:sz w:val="20"/>
          <w:szCs w:val="20"/>
          <w:color w:val="auto"/>
        </w:rPr>
      </w:pPr>
    </w:p>
    <w:p>
      <w:pPr>
        <w:ind w:left="1620" w:hanging="532"/>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620" w:hanging="532"/>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20" w:hanging="532"/>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exhibits listed in Item 15(b) of this Part IV are filed or incorporated by reference as part of this Form 10-K. The Index to Exhibits is on page E-1.</w:t>
      </w:r>
    </w:p>
    <w:p>
      <w:pPr>
        <w:spacing w:after="0" w:line="262"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5560" w:hanging="4659"/>
        <w:spacing w:after="0" w:line="519" w:lineRule="auto"/>
        <w:rPr>
          <w:sz w:val="20"/>
          <w:szCs w:val="20"/>
          <w:color w:val="auto"/>
        </w:rPr>
      </w:pPr>
      <w:r>
        <w:rPr>
          <w:rFonts w:ascii="Arial" w:cs="Arial" w:eastAsia="Arial" w:hAnsi="Arial"/>
          <w:sz w:val="18"/>
          <w:szCs w:val="18"/>
          <w:color w:val="auto"/>
        </w:rPr>
        <w:t>The exhibits listed in Item 15(b) of this Part IV are filed or incorporated by reference as part of this Form 10-K. The Index to Exhibits is on page E-1.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1" w:name="page122"/>
    <w:bookmarkEnd w:id="121"/>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Viacom Inc. has duly caused this report to be signed on its behalf by the undersigned, thereto duly authorized.</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VIACOM INC.</w:t>
      </w:r>
    </w:p>
    <w:p>
      <w:pPr>
        <w:spacing w:after="0" w:line="252" w:lineRule="exact"/>
        <w:rPr>
          <w:sz w:val="20"/>
          <w:szCs w:val="20"/>
          <w:color w:val="auto"/>
        </w:rPr>
      </w:pPr>
    </w:p>
    <w:p>
      <w:pPr>
        <w:ind w:left="4420"/>
        <w:spacing w:after="0"/>
        <w:tabs>
          <w:tab w:leader="none" w:pos="5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81280</wp:posOffset>
            </wp:positionV>
            <wp:extent cx="2508250" cy="215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2508250" cy="21590"/>
                    </a:xfrm>
                    <a:prstGeom prst="rect">
                      <a:avLst/>
                    </a:prstGeom>
                    <a:noFill/>
                  </pic:spPr>
                </pic:pic>
              </a:graphicData>
            </a:graphic>
          </wp:anchor>
        </w:drawing>
      </w:r>
    </w:p>
    <w:p>
      <w:pPr>
        <w:spacing w:after="0" w:line="238" w:lineRule="exact"/>
        <w:rPr>
          <w:sz w:val="20"/>
          <w:szCs w:val="20"/>
          <w:color w:val="auto"/>
        </w:rPr>
      </w:pPr>
    </w:p>
    <w:p>
      <w:pPr>
        <w:jc w:val="center"/>
        <w:ind w:left="2220"/>
        <w:spacing w:after="0"/>
        <w:rPr>
          <w:sz w:val="20"/>
          <w:szCs w:val="20"/>
          <w:color w:val="auto"/>
        </w:rPr>
      </w:pPr>
      <w:r>
        <w:rPr>
          <w:rFonts w:ascii="Arial" w:cs="Arial" w:eastAsia="Arial" w:hAnsi="Arial"/>
          <w:sz w:val="18"/>
          <w:szCs w:val="18"/>
          <w:color w:val="auto"/>
        </w:rPr>
        <w:t>Sumner M. Redstone</w:t>
      </w:r>
    </w:p>
    <w:p>
      <w:pPr>
        <w:spacing w:after="0" w:line="15" w:lineRule="exact"/>
        <w:rPr>
          <w:sz w:val="20"/>
          <w:szCs w:val="20"/>
          <w:color w:val="auto"/>
        </w:rPr>
      </w:pPr>
    </w:p>
    <w:p>
      <w:pPr>
        <w:jc w:val="center"/>
        <w:ind w:left="2220"/>
        <w:spacing w:after="0"/>
        <w:rPr>
          <w:sz w:val="20"/>
          <w:szCs w:val="20"/>
          <w:color w:val="auto"/>
        </w:rPr>
      </w:pPr>
      <w:r>
        <w:rPr>
          <w:rFonts w:ascii="Arial" w:cs="Arial" w:eastAsia="Arial" w:hAnsi="Arial"/>
          <w:sz w:val="18"/>
          <w:szCs w:val="18"/>
          <w:i w:val="1"/>
          <w:iCs w:val="1"/>
          <w:color w:val="auto"/>
        </w:rPr>
        <w:t>Chairman of the Board of Directors</w:t>
      </w:r>
    </w:p>
    <w:p>
      <w:pPr>
        <w:spacing w:after="0" w:line="9" w:lineRule="exact"/>
        <w:rPr>
          <w:sz w:val="20"/>
          <w:szCs w:val="20"/>
          <w:color w:val="auto"/>
        </w:rPr>
      </w:pPr>
    </w:p>
    <w:p>
      <w:pPr>
        <w:jc w:val="center"/>
        <w:ind w:left="222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2005</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Viacom Inc. and in the capacities and on the dates indicated:</w:t>
      </w:r>
    </w:p>
    <w:p>
      <w:pPr>
        <w:sectPr>
          <w:pgSz w:w="11900" w:h="16838" w:orient="portrait"/>
          <w:cols w:equalWidth="0" w:num="1">
            <w:col w:w="11200"/>
          </w:cols>
          <w:pgMar w:left="240" w:top="125" w:right="459" w:bottom="1440" w:gutter="0" w:footer="0" w:header="0"/>
        </w:sectPr>
      </w:pPr>
    </w:p>
    <w:p>
      <w:pPr>
        <w:spacing w:after="0" w:line="182" w:lineRule="exact"/>
        <w:rPr>
          <w:sz w:val="20"/>
          <w:szCs w:val="20"/>
          <w:color w:val="auto"/>
        </w:rPr>
      </w:pPr>
    </w:p>
    <w:p>
      <w:pPr>
        <w:ind w:left="232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 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3305810" cy="215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3305810" cy="21590"/>
                    </a:xfrm>
                    <a:prstGeom prst="rect">
                      <a:avLst/>
                    </a:prstGeom>
                    <a:noFill/>
                  </pic:spPr>
                </pic:pic>
              </a:graphicData>
            </a:graphic>
          </wp:anchor>
        </w:drawing>
      </w: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Sumner M. Redstone</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 RICHARD J. BRESSLER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3305810" cy="215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3305810" cy="21590"/>
                    </a:xfrm>
                    <a:prstGeom prst="rect">
                      <a:avLst/>
                    </a:prstGeom>
                    <a:noFill/>
                  </pic:spPr>
                </pic:pic>
              </a:graphicData>
            </a:graphic>
          </wp:anchor>
        </w:drawing>
      </w: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Richard J. Bressler</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 SUSAN C.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3305810" cy="215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3305810" cy="21590"/>
                    </a:xfrm>
                    <a:prstGeom prst="rect">
                      <a:avLst/>
                    </a:prstGeom>
                    <a:noFill/>
                  </pic:spPr>
                </pic:pic>
              </a:graphicData>
            </a:graphic>
          </wp:anchor>
        </w:drawing>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Susan C. Gordon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305810" cy="215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3305810" cy="21590"/>
                    </a:xfrm>
                    <a:prstGeom prst="rect">
                      <a:avLst/>
                    </a:prstGeom>
                    <a:noFill/>
                  </pic:spPr>
                </pic:pic>
              </a:graphicData>
            </a:graphic>
          </wp:anchor>
        </w:drawing>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George S. Abrams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305810" cy="215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3305810" cy="21590"/>
                    </a:xfrm>
                    <a:prstGeom prst="rect">
                      <a:avLst/>
                    </a:prstGeom>
                    <a:noFill/>
                  </pic:spPr>
                </pic:pic>
              </a:graphicData>
            </a:graphic>
          </wp:anchor>
        </w:drawing>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David R. Andelman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305810" cy="215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3305810" cy="21590"/>
                    </a:xfrm>
                    <a:prstGeom prst="rect">
                      <a:avLst/>
                    </a:prstGeom>
                    <a:noFill/>
                  </pic:spPr>
                </pic:pic>
              </a:graphicData>
            </a:graphic>
          </wp:anchor>
        </w:drawing>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Joseph A. Califano, Jr.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305810" cy="215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3305810" cy="21590"/>
                    </a:xfrm>
                    <a:prstGeom prst="rect">
                      <a:avLst/>
                    </a:prstGeom>
                    <a:noFill/>
                  </pic:spPr>
                </pic:pic>
              </a:graphicData>
            </a:graphic>
          </wp:anchor>
        </w:drawing>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William S. Cohen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305810" cy="215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3305810" cy="21590"/>
                    </a:xfrm>
                    <a:prstGeom prst="rect">
                      <a:avLst/>
                    </a:prstGeom>
                    <a:noFill/>
                  </pic:spPr>
                </pic:pic>
              </a:graphicData>
            </a:graphic>
          </wp:anchor>
        </w:drawing>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Philippe P. Dauman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305810" cy="215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3305810" cy="21590"/>
                    </a:xfrm>
                    <a:prstGeom prst="rect">
                      <a:avLst/>
                    </a:prstGeom>
                    <a:noFill/>
                  </pic:spPr>
                </pic:pic>
              </a:graphicData>
            </a:graphic>
          </wp:anchor>
        </w:drawing>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Alan C. Greenberg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305810" cy="215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3305810" cy="21590"/>
                    </a:xfrm>
                    <a:prstGeom prst="rect">
                      <a:avLst/>
                    </a:prstGeom>
                    <a:noFill/>
                  </pic:spPr>
                </pic:pic>
              </a:graphicData>
            </a:graphic>
          </wp:anchor>
        </w:drawing>
      </w:r>
    </w:p>
    <w:p>
      <w:pPr>
        <w:spacing w:after="0" w:line="23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Jan Leschly</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04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0"/>
              </w:rPr>
              <w:t>Title</w:t>
            </w:r>
          </w:p>
        </w:tc>
        <w:tc>
          <w:tcPr>
            <w:tcW w:w="176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7"/>
        </w:trPr>
        <w:tc>
          <w:tcPr>
            <w:tcW w:w="3160" w:type="dxa"/>
            <w:vAlign w:val="bottom"/>
            <w:gridSpan w:val="3"/>
          </w:tcPr>
          <w:p>
            <w:pPr>
              <w:jc w:val="center"/>
              <w:ind w:right="660"/>
              <w:spacing w:after="0"/>
              <w:rPr>
                <w:sz w:val="20"/>
                <w:szCs w:val="20"/>
                <w:color w:val="auto"/>
              </w:rPr>
            </w:pPr>
            <w:r>
              <w:rPr>
                <w:rFonts w:ascii="Arial" w:cs="Arial" w:eastAsia="Arial" w:hAnsi="Arial"/>
                <w:sz w:val="18"/>
                <w:szCs w:val="18"/>
                <w:color w:val="auto"/>
                <w:w w:val="89"/>
              </w:rPr>
              <w:t>Chairman of the Board of Directors</w:t>
            </w:r>
          </w:p>
        </w:tc>
        <w:tc>
          <w:tcPr>
            <w:tcW w:w="1760" w:type="dxa"/>
            <w:vAlign w:val="bottom"/>
            <w:gridSpan w:val="3"/>
          </w:tcPr>
          <w:p>
            <w:pPr>
              <w:jc w:val="center"/>
              <w:ind w:left="554"/>
              <w:spacing w:after="0"/>
              <w:rPr>
                <w:sz w:val="20"/>
                <w:szCs w:val="20"/>
                <w:color w:val="auto"/>
              </w:rPr>
            </w:pPr>
            <w:r>
              <w:rPr>
                <w:rFonts w:ascii="Arial" w:cs="Arial" w:eastAsia="Arial" w:hAnsi="Arial"/>
                <w:sz w:val="18"/>
                <w:szCs w:val="18"/>
                <w:color w:val="auto"/>
                <w:w w:val="89"/>
              </w:rPr>
              <w:t>March 16, 2005</w:t>
            </w:r>
          </w:p>
        </w:tc>
      </w:tr>
      <w:tr>
        <w:trPr>
          <w:trHeight w:val="222"/>
        </w:trPr>
        <w:tc>
          <w:tcPr>
            <w:tcW w:w="3160" w:type="dxa"/>
            <w:vAlign w:val="bottom"/>
            <w:gridSpan w:val="3"/>
          </w:tcPr>
          <w:p>
            <w:pPr>
              <w:jc w:val="center"/>
              <w:ind w:right="640"/>
              <w:spacing w:after="0"/>
              <w:rPr>
                <w:sz w:val="20"/>
                <w:szCs w:val="20"/>
                <w:color w:val="auto"/>
              </w:rPr>
            </w:pPr>
            <w:r>
              <w:rPr>
                <w:rFonts w:ascii="Arial" w:cs="Arial" w:eastAsia="Arial" w:hAnsi="Arial"/>
                <w:sz w:val="18"/>
                <w:szCs w:val="18"/>
                <w:color w:val="auto"/>
                <w:w w:val="91"/>
              </w:rPr>
              <w:t>Chief Executive Officer</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696"/>
        </w:trPr>
        <w:tc>
          <w:tcPr>
            <w:tcW w:w="3160" w:type="dxa"/>
            <w:vAlign w:val="bottom"/>
            <w:gridSpan w:val="3"/>
          </w:tcPr>
          <w:p>
            <w:pPr>
              <w:jc w:val="center"/>
              <w:ind w:right="660"/>
              <w:spacing w:after="0"/>
              <w:rPr>
                <w:sz w:val="20"/>
                <w:szCs w:val="20"/>
                <w:color w:val="auto"/>
              </w:rPr>
            </w:pPr>
            <w:r>
              <w:rPr>
                <w:rFonts w:ascii="Arial" w:cs="Arial" w:eastAsia="Arial" w:hAnsi="Arial"/>
                <w:sz w:val="18"/>
                <w:szCs w:val="18"/>
                <w:color w:val="auto"/>
                <w:w w:val="88"/>
              </w:rPr>
              <w:t>Senior Executive Vice President</w:t>
            </w:r>
          </w:p>
        </w:tc>
        <w:tc>
          <w:tcPr>
            <w:tcW w:w="1760" w:type="dxa"/>
            <w:vAlign w:val="bottom"/>
            <w:gridSpan w:val="3"/>
          </w:tcPr>
          <w:p>
            <w:pPr>
              <w:jc w:val="center"/>
              <w:ind w:left="554"/>
              <w:spacing w:after="0"/>
              <w:rPr>
                <w:sz w:val="20"/>
                <w:szCs w:val="20"/>
                <w:color w:val="auto"/>
              </w:rPr>
            </w:pPr>
            <w:r>
              <w:rPr>
                <w:rFonts w:ascii="Arial" w:cs="Arial" w:eastAsia="Arial" w:hAnsi="Arial"/>
                <w:sz w:val="18"/>
                <w:szCs w:val="18"/>
                <w:color w:val="auto"/>
                <w:w w:val="89"/>
              </w:rPr>
              <w:t>March 16, 2005</w:t>
            </w:r>
          </w:p>
        </w:tc>
      </w:tr>
      <w:tr>
        <w:trPr>
          <w:trHeight w:val="222"/>
        </w:trPr>
        <w:tc>
          <w:tcPr>
            <w:tcW w:w="3160" w:type="dxa"/>
            <w:vAlign w:val="bottom"/>
            <w:gridSpan w:val="3"/>
          </w:tcPr>
          <w:p>
            <w:pPr>
              <w:jc w:val="center"/>
              <w:ind w:right="640"/>
              <w:spacing w:after="0"/>
              <w:rPr>
                <w:sz w:val="20"/>
                <w:szCs w:val="20"/>
                <w:color w:val="auto"/>
              </w:rPr>
            </w:pPr>
            <w:r>
              <w:rPr>
                <w:rFonts w:ascii="Arial" w:cs="Arial" w:eastAsia="Arial" w:hAnsi="Arial"/>
                <w:sz w:val="18"/>
                <w:szCs w:val="18"/>
                <w:color w:val="auto"/>
                <w:w w:val="92"/>
              </w:rPr>
              <w:t>Chief Financial Officer</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696"/>
        </w:trPr>
        <w:tc>
          <w:tcPr>
            <w:tcW w:w="3160" w:type="dxa"/>
            <w:vAlign w:val="bottom"/>
            <w:gridSpan w:val="3"/>
          </w:tcPr>
          <w:p>
            <w:pPr>
              <w:jc w:val="center"/>
              <w:ind w:right="640"/>
              <w:spacing w:after="0"/>
              <w:rPr>
                <w:sz w:val="20"/>
                <w:szCs w:val="20"/>
                <w:color w:val="auto"/>
              </w:rPr>
            </w:pPr>
            <w:r>
              <w:rPr>
                <w:rFonts w:ascii="Arial" w:cs="Arial" w:eastAsia="Arial" w:hAnsi="Arial"/>
                <w:sz w:val="18"/>
                <w:szCs w:val="18"/>
                <w:color w:val="auto"/>
                <w:w w:val="87"/>
              </w:rPr>
              <w:t>Senior Vice President</w:t>
            </w:r>
          </w:p>
        </w:tc>
        <w:tc>
          <w:tcPr>
            <w:tcW w:w="1760" w:type="dxa"/>
            <w:vAlign w:val="bottom"/>
            <w:gridSpan w:val="3"/>
          </w:tcPr>
          <w:p>
            <w:pPr>
              <w:jc w:val="center"/>
              <w:ind w:left="554"/>
              <w:spacing w:after="0"/>
              <w:rPr>
                <w:sz w:val="20"/>
                <w:szCs w:val="20"/>
                <w:color w:val="auto"/>
              </w:rPr>
            </w:pPr>
            <w:r>
              <w:rPr>
                <w:rFonts w:ascii="Arial" w:cs="Arial" w:eastAsia="Arial" w:hAnsi="Arial"/>
                <w:sz w:val="18"/>
                <w:szCs w:val="18"/>
                <w:color w:val="auto"/>
                <w:w w:val="89"/>
              </w:rPr>
              <w:t>March 16, 2005</w:t>
            </w:r>
          </w:p>
        </w:tc>
      </w:tr>
      <w:tr>
        <w:trPr>
          <w:trHeight w:val="216"/>
        </w:trPr>
        <w:tc>
          <w:tcPr>
            <w:tcW w:w="3160" w:type="dxa"/>
            <w:vAlign w:val="bottom"/>
            <w:gridSpan w:val="3"/>
          </w:tcPr>
          <w:p>
            <w:pPr>
              <w:jc w:val="center"/>
              <w:ind w:right="640"/>
              <w:spacing w:after="0"/>
              <w:rPr>
                <w:sz w:val="20"/>
                <w:szCs w:val="20"/>
                <w:color w:val="auto"/>
              </w:rPr>
            </w:pPr>
            <w:r>
              <w:rPr>
                <w:rFonts w:ascii="Arial" w:cs="Arial" w:eastAsia="Arial" w:hAnsi="Arial"/>
                <w:sz w:val="18"/>
                <w:szCs w:val="18"/>
                <w:color w:val="auto"/>
                <w:w w:val="92"/>
              </w:rPr>
              <w:t>Controller</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2"/>
        </w:trPr>
        <w:tc>
          <w:tcPr>
            <w:tcW w:w="3160" w:type="dxa"/>
            <w:vAlign w:val="bottom"/>
            <w:gridSpan w:val="3"/>
          </w:tcPr>
          <w:p>
            <w:pPr>
              <w:jc w:val="center"/>
              <w:ind w:right="640"/>
              <w:spacing w:after="0"/>
              <w:rPr>
                <w:sz w:val="20"/>
                <w:szCs w:val="20"/>
                <w:color w:val="auto"/>
              </w:rPr>
            </w:pPr>
            <w:r>
              <w:rPr>
                <w:rFonts w:ascii="Arial" w:cs="Arial" w:eastAsia="Arial" w:hAnsi="Arial"/>
                <w:sz w:val="18"/>
                <w:szCs w:val="18"/>
                <w:color w:val="auto"/>
                <w:w w:val="92"/>
              </w:rPr>
              <w:t>Chief Accounting Officer</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945"/>
        </w:trPr>
        <w:tc>
          <w:tcPr>
            <w:tcW w:w="3160" w:type="dxa"/>
            <w:vAlign w:val="bottom"/>
            <w:gridSpan w:val="3"/>
          </w:tcPr>
          <w:p>
            <w:pPr>
              <w:jc w:val="center"/>
              <w:ind w:right="660"/>
              <w:spacing w:after="0"/>
              <w:rPr>
                <w:sz w:val="20"/>
                <w:szCs w:val="20"/>
                <w:color w:val="auto"/>
              </w:rPr>
            </w:pPr>
            <w:r>
              <w:rPr>
                <w:rFonts w:ascii="Arial" w:cs="Arial" w:eastAsia="Arial" w:hAnsi="Arial"/>
                <w:sz w:val="18"/>
                <w:szCs w:val="18"/>
                <w:color w:val="auto"/>
                <w:w w:val="91"/>
              </w:rPr>
              <w:t>Director</w:t>
            </w:r>
          </w:p>
        </w:tc>
        <w:tc>
          <w:tcPr>
            <w:tcW w:w="1760" w:type="dxa"/>
            <w:vAlign w:val="bottom"/>
            <w:gridSpan w:val="3"/>
          </w:tcPr>
          <w:p>
            <w:pPr>
              <w:jc w:val="center"/>
              <w:ind w:left="554"/>
              <w:spacing w:after="0"/>
              <w:rPr>
                <w:sz w:val="20"/>
                <w:szCs w:val="20"/>
                <w:color w:val="auto"/>
              </w:rPr>
            </w:pPr>
            <w:r>
              <w:rPr>
                <w:rFonts w:ascii="Arial" w:cs="Arial" w:eastAsia="Arial" w:hAnsi="Arial"/>
                <w:sz w:val="18"/>
                <w:szCs w:val="18"/>
                <w:color w:val="auto"/>
                <w:w w:val="89"/>
              </w:rPr>
              <w:t>March 16, 2005</w:t>
            </w:r>
          </w:p>
        </w:tc>
      </w:tr>
      <w:tr>
        <w:trPr>
          <w:trHeight w:val="891"/>
        </w:trPr>
        <w:tc>
          <w:tcPr>
            <w:tcW w:w="3160" w:type="dxa"/>
            <w:vAlign w:val="bottom"/>
            <w:gridSpan w:val="3"/>
          </w:tcPr>
          <w:p>
            <w:pPr>
              <w:jc w:val="center"/>
              <w:ind w:right="660"/>
              <w:spacing w:after="0"/>
              <w:rPr>
                <w:sz w:val="20"/>
                <w:szCs w:val="20"/>
                <w:color w:val="auto"/>
              </w:rPr>
            </w:pPr>
            <w:r>
              <w:rPr>
                <w:rFonts w:ascii="Arial" w:cs="Arial" w:eastAsia="Arial" w:hAnsi="Arial"/>
                <w:sz w:val="18"/>
                <w:szCs w:val="18"/>
                <w:color w:val="auto"/>
                <w:w w:val="91"/>
              </w:rPr>
              <w:t>Director</w:t>
            </w:r>
          </w:p>
        </w:tc>
        <w:tc>
          <w:tcPr>
            <w:tcW w:w="1760" w:type="dxa"/>
            <w:vAlign w:val="bottom"/>
            <w:gridSpan w:val="3"/>
          </w:tcPr>
          <w:p>
            <w:pPr>
              <w:jc w:val="center"/>
              <w:ind w:left="554"/>
              <w:spacing w:after="0"/>
              <w:rPr>
                <w:sz w:val="20"/>
                <w:szCs w:val="20"/>
                <w:color w:val="auto"/>
              </w:rPr>
            </w:pPr>
            <w:r>
              <w:rPr>
                <w:rFonts w:ascii="Arial" w:cs="Arial" w:eastAsia="Arial" w:hAnsi="Arial"/>
                <w:sz w:val="18"/>
                <w:szCs w:val="18"/>
                <w:color w:val="auto"/>
                <w:w w:val="89"/>
              </w:rPr>
              <w:t>March 16, 2005</w:t>
            </w:r>
          </w:p>
        </w:tc>
      </w:tr>
      <w:tr>
        <w:trPr>
          <w:trHeight w:val="891"/>
        </w:trPr>
        <w:tc>
          <w:tcPr>
            <w:tcW w:w="3160" w:type="dxa"/>
            <w:vAlign w:val="bottom"/>
            <w:gridSpan w:val="3"/>
          </w:tcPr>
          <w:p>
            <w:pPr>
              <w:jc w:val="center"/>
              <w:ind w:right="660"/>
              <w:spacing w:after="0"/>
              <w:rPr>
                <w:sz w:val="20"/>
                <w:szCs w:val="20"/>
                <w:color w:val="auto"/>
              </w:rPr>
            </w:pPr>
            <w:r>
              <w:rPr>
                <w:rFonts w:ascii="Arial" w:cs="Arial" w:eastAsia="Arial" w:hAnsi="Arial"/>
                <w:sz w:val="18"/>
                <w:szCs w:val="18"/>
                <w:color w:val="auto"/>
                <w:w w:val="91"/>
              </w:rPr>
              <w:t>Director</w:t>
            </w:r>
          </w:p>
        </w:tc>
        <w:tc>
          <w:tcPr>
            <w:tcW w:w="1760" w:type="dxa"/>
            <w:vAlign w:val="bottom"/>
            <w:gridSpan w:val="3"/>
          </w:tcPr>
          <w:p>
            <w:pPr>
              <w:jc w:val="center"/>
              <w:ind w:left="554"/>
              <w:spacing w:after="0"/>
              <w:rPr>
                <w:sz w:val="20"/>
                <w:szCs w:val="20"/>
                <w:color w:val="auto"/>
              </w:rPr>
            </w:pPr>
            <w:r>
              <w:rPr>
                <w:rFonts w:ascii="Arial" w:cs="Arial" w:eastAsia="Arial" w:hAnsi="Arial"/>
                <w:sz w:val="18"/>
                <w:szCs w:val="18"/>
                <w:color w:val="auto"/>
                <w:w w:val="89"/>
              </w:rPr>
              <w:t>March 16, 2005</w:t>
            </w:r>
          </w:p>
        </w:tc>
      </w:tr>
      <w:tr>
        <w:trPr>
          <w:trHeight w:val="891"/>
        </w:trPr>
        <w:tc>
          <w:tcPr>
            <w:tcW w:w="3160" w:type="dxa"/>
            <w:vAlign w:val="bottom"/>
            <w:gridSpan w:val="3"/>
          </w:tcPr>
          <w:p>
            <w:pPr>
              <w:jc w:val="center"/>
              <w:ind w:right="660"/>
              <w:spacing w:after="0"/>
              <w:rPr>
                <w:sz w:val="20"/>
                <w:szCs w:val="20"/>
                <w:color w:val="auto"/>
              </w:rPr>
            </w:pPr>
            <w:r>
              <w:rPr>
                <w:rFonts w:ascii="Arial" w:cs="Arial" w:eastAsia="Arial" w:hAnsi="Arial"/>
                <w:sz w:val="18"/>
                <w:szCs w:val="18"/>
                <w:color w:val="auto"/>
                <w:w w:val="91"/>
              </w:rPr>
              <w:t>Director</w:t>
            </w:r>
          </w:p>
        </w:tc>
        <w:tc>
          <w:tcPr>
            <w:tcW w:w="1760" w:type="dxa"/>
            <w:vAlign w:val="bottom"/>
            <w:gridSpan w:val="3"/>
          </w:tcPr>
          <w:p>
            <w:pPr>
              <w:jc w:val="center"/>
              <w:ind w:left="554"/>
              <w:spacing w:after="0"/>
              <w:rPr>
                <w:sz w:val="20"/>
                <w:szCs w:val="20"/>
                <w:color w:val="auto"/>
              </w:rPr>
            </w:pPr>
            <w:r>
              <w:rPr>
                <w:rFonts w:ascii="Arial" w:cs="Arial" w:eastAsia="Arial" w:hAnsi="Arial"/>
                <w:sz w:val="18"/>
                <w:szCs w:val="18"/>
                <w:color w:val="auto"/>
                <w:w w:val="89"/>
              </w:rPr>
              <w:t>March 16, 2005</w:t>
            </w:r>
          </w:p>
        </w:tc>
      </w:tr>
      <w:tr>
        <w:trPr>
          <w:trHeight w:val="891"/>
        </w:trPr>
        <w:tc>
          <w:tcPr>
            <w:tcW w:w="3160" w:type="dxa"/>
            <w:vAlign w:val="bottom"/>
            <w:gridSpan w:val="3"/>
          </w:tcPr>
          <w:p>
            <w:pPr>
              <w:jc w:val="center"/>
              <w:ind w:right="660"/>
              <w:spacing w:after="0"/>
              <w:rPr>
                <w:sz w:val="20"/>
                <w:szCs w:val="20"/>
                <w:color w:val="auto"/>
              </w:rPr>
            </w:pPr>
            <w:r>
              <w:rPr>
                <w:rFonts w:ascii="Arial" w:cs="Arial" w:eastAsia="Arial" w:hAnsi="Arial"/>
                <w:sz w:val="18"/>
                <w:szCs w:val="18"/>
                <w:color w:val="auto"/>
                <w:w w:val="91"/>
              </w:rPr>
              <w:t>Director</w:t>
            </w:r>
          </w:p>
        </w:tc>
        <w:tc>
          <w:tcPr>
            <w:tcW w:w="1760" w:type="dxa"/>
            <w:vAlign w:val="bottom"/>
            <w:gridSpan w:val="3"/>
          </w:tcPr>
          <w:p>
            <w:pPr>
              <w:jc w:val="center"/>
              <w:ind w:left="554"/>
              <w:spacing w:after="0"/>
              <w:rPr>
                <w:sz w:val="20"/>
                <w:szCs w:val="20"/>
                <w:color w:val="auto"/>
              </w:rPr>
            </w:pPr>
            <w:r>
              <w:rPr>
                <w:rFonts w:ascii="Arial" w:cs="Arial" w:eastAsia="Arial" w:hAnsi="Arial"/>
                <w:sz w:val="18"/>
                <w:szCs w:val="18"/>
                <w:color w:val="auto"/>
                <w:w w:val="89"/>
              </w:rPr>
              <w:t>March 16, 2005</w:t>
            </w:r>
          </w:p>
        </w:tc>
      </w:tr>
      <w:tr>
        <w:trPr>
          <w:trHeight w:val="891"/>
        </w:trPr>
        <w:tc>
          <w:tcPr>
            <w:tcW w:w="3160" w:type="dxa"/>
            <w:vAlign w:val="bottom"/>
            <w:gridSpan w:val="3"/>
          </w:tcPr>
          <w:p>
            <w:pPr>
              <w:jc w:val="center"/>
              <w:ind w:right="660"/>
              <w:spacing w:after="0"/>
              <w:rPr>
                <w:sz w:val="20"/>
                <w:szCs w:val="20"/>
                <w:color w:val="auto"/>
              </w:rPr>
            </w:pPr>
            <w:r>
              <w:rPr>
                <w:rFonts w:ascii="Arial" w:cs="Arial" w:eastAsia="Arial" w:hAnsi="Arial"/>
                <w:sz w:val="18"/>
                <w:szCs w:val="18"/>
                <w:color w:val="auto"/>
                <w:w w:val="91"/>
              </w:rPr>
              <w:t>Director</w:t>
            </w:r>
          </w:p>
        </w:tc>
        <w:tc>
          <w:tcPr>
            <w:tcW w:w="1760" w:type="dxa"/>
            <w:vAlign w:val="bottom"/>
            <w:gridSpan w:val="3"/>
          </w:tcPr>
          <w:p>
            <w:pPr>
              <w:jc w:val="center"/>
              <w:ind w:left="554"/>
              <w:spacing w:after="0"/>
              <w:rPr>
                <w:sz w:val="20"/>
                <w:szCs w:val="20"/>
                <w:color w:val="auto"/>
              </w:rPr>
            </w:pPr>
            <w:r>
              <w:rPr>
                <w:rFonts w:ascii="Arial" w:cs="Arial" w:eastAsia="Arial" w:hAnsi="Arial"/>
                <w:sz w:val="18"/>
                <w:szCs w:val="18"/>
                <w:color w:val="auto"/>
                <w:w w:val="89"/>
              </w:rPr>
              <w:t>March 16, 2005</w:t>
            </w:r>
          </w:p>
        </w:tc>
      </w:tr>
      <w:tr>
        <w:trPr>
          <w:trHeight w:val="891"/>
        </w:trPr>
        <w:tc>
          <w:tcPr>
            <w:tcW w:w="3160" w:type="dxa"/>
            <w:vAlign w:val="bottom"/>
            <w:gridSpan w:val="3"/>
          </w:tcPr>
          <w:p>
            <w:pPr>
              <w:jc w:val="center"/>
              <w:ind w:right="660"/>
              <w:spacing w:after="0"/>
              <w:rPr>
                <w:sz w:val="20"/>
                <w:szCs w:val="20"/>
                <w:color w:val="auto"/>
              </w:rPr>
            </w:pPr>
            <w:r>
              <w:rPr>
                <w:rFonts w:ascii="Arial" w:cs="Arial" w:eastAsia="Arial" w:hAnsi="Arial"/>
                <w:sz w:val="18"/>
                <w:szCs w:val="18"/>
                <w:color w:val="auto"/>
                <w:w w:val="91"/>
              </w:rPr>
              <w:t>Director</w:t>
            </w:r>
          </w:p>
        </w:tc>
        <w:tc>
          <w:tcPr>
            <w:tcW w:w="1760" w:type="dxa"/>
            <w:vAlign w:val="bottom"/>
            <w:gridSpan w:val="3"/>
          </w:tcPr>
          <w:p>
            <w:pPr>
              <w:jc w:val="center"/>
              <w:ind w:left="554"/>
              <w:spacing w:after="0"/>
              <w:rPr>
                <w:sz w:val="20"/>
                <w:szCs w:val="20"/>
                <w:color w:val="auto"/>
              </w:rPr>
            </w:pPr>
            <w:r>
              <w:rPr>
                <w:rFonts w:ascii="Arial" w:cs="Arial" w:eastAsia="Arial" w:hAnsi="Arial"/>
                <w:sz w:val="18"/>
                <w:szCs w:val="18"/>
                <w:color w:val="auto"/>
                <w:w w:val="89"/>
              </w:rPr>
              <w:t>March 16 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67945</wp:posOffset>
            </wp:positionV>
            <wp:extent cx="7250430" cy="215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240" w:space="720"/>
            <w:col w:w="5240"/>
          </w:cols>
          <w:pgMar w:left="240" w:top="125" w:right="45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22"/>
        </w:trPr>
        <w:tc>
          <w:tcPr>
            <w:tcW w:w="680" w:type="dxa"/>
            <w:vAlign w:val="bottom"/>
          </w:tcPr>
          <w:p>
            <w:pPr>
              <w:spacing w:after="0"/>
              <w:rPr>
                <w:sz w:val="19"/>
                <w:szCs w:val="19"/>
                <w:color w:val="auto"/>
              </w:rPr>
            </w:pPr>
          </w:p>
        </w:tc>
        <w:tc>
          <w:tcPr>
            <w:tcW w:w="4520" w:type="dxa"/>
            <w:vAlign w:val="bottom"/>
          </w:tcPr>
          <w:p>
            <w:pPr>
              <w:jc w:val="center"/>
              <w:ind w:right="5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78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4520" w:type="dxa"/>
            <w:vAlign w:val="bottom"/>
          </w:tcPr>
          <w:p>
            <w:pPr>
              <w:jc w:val="center"/>
              <w:ind w:right="592"/>
              <w:spacing w:after="0"/>
              <w:rPr>
                <w:sz w:val="20"/>
                <w:szCs w:val="20"/>
                <w:color w:val="auto"/>
              </w:rPr>
            </w:pPr>
            <w:r>
              <w:rPr>
                <w:rFonts w:ascii="Arial" w:cs="Arial" w:eastAsia="Arial" w:hAnsi="Arial"/>
                <w:sz w:val="18"/>
                <w:szCs w:val="18"/>
                <w:color w:val="auto"/>
                <w:w w:val="88"/>
              </w:rPr>
              <w:t>Charles E. Phillips, Jr.</w:t>
            </w:r>
          </w:p>
        </w:tc>
        <w:tc>
          <w:tcPr>
            <w:tcW w:w="120" w:type="dxa"/>
            <w:vAlign w:val="bottom"/>
          </w:tcPr>
          <w:p>
            <w:pPr>
              <w:spacing w:after="0"/>
              <w:rPr>
                <w:sz w:val="24"/>
                <w:szCs w:val="24"/>
                <w:color w:val="auto"/>
              </w:rPr>
            </w:pPr>
          </w:p>
        </w:tc>
        <w:tc>
          <w:tcPr>
            <w:tcW w:w="3320" w:type="dxa"/>
            <w:vAlign w:val="bottom"/>
          </w:tcPr>
          <w:p>
            <w:pPr>
              <w:ind w:left="1600"/>
              <w:spacing w:after="0"/>
              <w:rPr>
                <w:sz w:val="20"/>
                <w:szCs w:val="20"/>
                <w:color w:val="auto"/>
              </w:rPr>
            </w:pPr>
            <w:r>
              <w:rPr>
                <w:rFonts w:ascii="Arial" w:cs="Arial" w:eastAsia="Arial" w:hAnsi="Arial"/>
                <w:sz w:val="18"/>
                <w:szCs w:val="18"/>
                <w:color w:val="auto"/>
              </w:rPr>
              <w:t>Director</w:t>
            </w:r>
          </w:p>
        </w:tc>
        <w:tc>
          <w:tcPr>
            <w:tcW w:w="2780" w:type="dxa"/>
            <w:vAlign w:val="bottom"/>
          </w:tcPr>
          <w:p>
            <w:pPr>
              <w:ind w:left="1120"/>
              <w:spacing w:after="0"/>
              <w:rPr>
                <w:sz w:val="20"/>
                <w:szCs w:val="20"/>
                <w:color w:val="auto"/>
              </w:rPr>
            </w:pPr>
            <w:r>
              <w:rPr>
                <w:rFonts w:ascii="Arial" w:cs="Arial" w:eastAsia="Arial" w:hAnsi="Arial"/>
                <w:sz w:val="18"/>
                <w:szCs w:val="18"/>
                <w:color w:val="auto"/>
              </w:rPr>
              <w:t>March 16, 2005</w:t>
            </w:r>
          </w:p>
        </w:tc>
      </w:tr>
      <w:tr>
        <w:trPr>
          <w:trHeight w:val="432"/>
        </w:trPr>
        <w:tc>
          <w:tcPr>
            <w:tcW w:w="680" w:type="dxa"/>
            <w:vAlign w:val="bottom"/>
          </w:tcPr>
          <w:p>
            <w:pPr>
              <w:spacing w:after="0"/>
              <w:rPr>
                <w:sz w:val="24"/>
                <w:szCs w:val="24"/>
                <w:color w:val="auto"/>
              </w:rPr>
            </w:pPr>
          </w:p>
        </w:tc>
        <w:tc>
          <w:tcPr>
            <w:tcW w:w="4520" w:type="dxa"/>
            <w:vAlign w:val="bottom"/>
          </w:tcPr>
          <w:p>
            <w:pPr>
              <w:jc w:val="center"/>
              <w:ind w:right="5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78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4520" w:type="dxa"/>
            <w:vAlign w:val="bottom"/>
          </w:tcPr>
          <w:p>
            <w:pPr>
              <w:jc w:val="center"/>
              <w:ind w:right="572"/>
              <w:spacing w:after="0"/>
              <w:rPr>
                <w:sz w:val="20"/>
                <w:szCs w:val="20"/>
                <w:color w:val="auto"/>
              </w:rPr>
            </w:pPr>
            <w:r>
              <w:rPr>
                <w:rFonts w:ascii="Arial" w:cs="Arial" w:eastAsia="Arial" w:hAnsi="Arial"/>
                <w:sz w:val="18"/>
                <w:szCs w:val="18"/>
                <w:color w:val="auto"/>
                <w:w w:val="85"/>
              </w:rPr>
              <w:t>Shari Redstone</w:t>
            </w:r>
          </w:p>
        </w:tc>
        <w:tc>
          <w:tcPr>
            <w:tcW w:w="120" w:type="dxa"/>
            <w:vAlign w:val="bottom"/>
          </w:tcPr>
          <w:p>
            <w:pPr>
              <w:spacing w:after="0"/>
              <w:rPr>
                <w:sz w:val="24"/>
                <w:szCs w:val="24"/>
                <w:color w:val="auto"/>
              </w:rPr>
            </w:pPr>
          </w:p>
        </w:tc>
        <w:tc>
          <w:tcPr>
            <w:tcW w:w="3320" w:type="dxa"/>
            <w:vAlign w:val="bottom"/>
          </w:tcPr>
          <w:p>
            <w:pPr>
              <w:ind w:left="1600"/>
              <w:spacing w:after="0"/>
              <w:rPr>
                <w:sz w:val="20"/>
                <w:szCs w:val="20"/>
                <w:color w:val="auto"/>
              </w:rPr>
            </w:pPr>
            <w:r>
              <w:rPr>
                <w:rFonts w:ascii="Arial" w:cs="Arial" w:eastAsia="Arial" w:hAnsi="Arial"/>
                <w:sz w:val="18"/>
                <w:szCs w:val="18"/>
                <w:color w:val="auto"/>
              </w:rPr>
              <w:t>Director</w:t>
            </w:r>
          </w:p>
        </w:tc>
        <w:tc>
          <w:tcPr>
            <w:tcW w:w="2780" w:type="dxa"/>
            <w:vAlign w:val="bottom"/>
          </w:tcPr>
          <w:p>
            <w:pPr>
              <w:ind w:left="1120"/>
              <w:spacing w:after="0"/>
              <w:rPr>
                <w:sz w:val="20"/>
                <w:szCs w:val="20"/>
                <w:color w:val="auto"/>
              </w:rPr>
            </w:pPr>
            <w:r>
              <w:rPr>
                <w:rFonts w:ascii="Arial" w:cs="Arial" w:eastAsia="Arial" w:hAnsi="Arial"/>
                <w:sz w:val="18"/>
                <w:szCs w:val="18"/>
                <w:color w:val="auto"/>
              </w:rPr>
              <w:t>March 16, 2005</w:t>
            </w:r>
          </w:p>
        </w:tc>
      </w:tr>
      <w:tr>
        <w:trPr>
          <w:trHeight w:val="432"/>
        </w:trPr>
        <w:tc>
          <w:tcPr>
            <w:tcW w:w="680" w:type="dxa"/>
            <w:vAlign w:val="bottom"/>
          </w:tcPr>
          <w:p>
            <w:pPr>
              <w:spacing w:after="0"/>
              <w:rPr>
                <w:sz w:val="24"/>
                <w:szCs w:val="24"/>
                <w:color w:val="auto"/>
              </w:rPr>
            </w:pPr>
          </w:p>
        </w:tc>
        <w:tc>
          <w:tcPr>
            <w:tcW w:w="4520" w:type="dxa"/>
            <w:vAlign w:val="bottom"/>
          </w:tcPr>
          <w:p>
            <w:pPr>
              <w:jc w:val="center"/>
              <w:ind w:right="5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78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4520" w:type="dxa"/>
            <w:vAlign w:val="bottom"/>
          </w:tcPr>
          <w:p>
            <w:pPr>
              <w:jc w:val="center"/>
              <w:ind w:right="592"/>
              <w:spacing w:after="0"/>
              <w:rPr>
                <w:sz w:val="20"/>
                <w:szCs w:val="20"/>
                <w:color w:val="auto"/>
              </w:rPr>
            </w:pPr>
            <w:r>
              <w:rPr>
                <w:rFonts w:ascii="Arial" w:cs="Arial" w:eastAsia="Arial" w:hAnsi="Arial"/>
                <w:sz w:val="18"/>
                <w:szCs w:val="18"/>
                <w:color w:val="auto"/>
                <w:w w:val="87"/>
              </w:rPr>
              <w:t>Frederic V. Salerno</w:t>
            </w:r>
          </w:p>
        </w:tc>
        <w:tc>
          <w:tcPr>
            <w:tcW w:w="120" w:type="dxa"/>
            <w:vAlign w:val="bottom"/>
          </w:tcPr>
          <w:p>
            <w:pPr>
              <w:spacing w:after="0"/>
              <w:rPr>
                <w:sz w:val="24"/>
                <w:szCs w:val="24"/>
                <w:color w:val="auto"/>
              </w:rPr>
            </w:pPr>
          </w:p>
        </w:tc>
        <w:tc>
          <w:tcPr>
            <w:tcW w:w="3320" w:type="dxa"/>
            <w:vAlign w:val="bottom"/>
          </w:tcPr>
          <w:p>
            <w:pPr>
              <w:ind w:left="1600"/>
              <w:spacing w:after="0"/>
              <w:rPr>
                <w:sz w:val="20"/>
                <w:szCs w:val="20"/>
                <w:color w:val="auto"/>
              </w:rPr>
            </w:pPr>
            <w:r>
              <w:rPr>
                <w:rFonts w:ascii="Arial" w:cs="Arial" w:eastAsia="Arial" w:hAnsi="Arial"/>
                <w:sz w:val="18"/>
                <w:szCs w:val="18"/>
                <w:color w:val="auto"/>
              </w:rPr>
              <w:t>Director</w:t>
            </w:r>
          </w:p>
        </w:tc>
        <w:tc>
          <w:tcPr>
            <w:tcW w:w="2780" w:type="dxa"/>
            <w:vAlign w:val="bottom"/>
          </w:tcPr>
          <w:p>
            <w:pPr>
              <w:ind w:left="1120"/>
              <w:spacing w:after="0"/>
              <w:rPr>
                <w:sz w:val="20"/>
                <w:szCs w:val="20"/>
                <w:color w:val="auto"/>
              </w:rPr>
            </w:pPr>
            <w:r>
              <w:rPr>
                <w:rFonts w:ascii="Arial" w:cs="Arial" w:eastAsia="Arial" w:hAnsi="Arial"/>
                <w:sz w:val="18"/>
                <w:szCs w:val="18"/>
                <w:color w:val="auto"/>
              </w:rPr>
              <w:t>March 16, 2005</w:t>
            </w:r>
          </w:p>
        </w:tc>
      </w:tr>
      <w:tr>
        <w:trPr>
          <w:trHeight w:val="432"/>
        </w:trPr>
        <w:tc>
          <w:tcPr>
            <w:tcW w:w="680" w:type="dxa"/>
            <w:vAlign w:val="bottom"/>
          </w:tcPr>
          <w:p>
            <w:pPr>
              <w:spacing w:after="0"/>
              <w:rPr>
                <w:sz w:val="24"/>
                <w:szCs w:val="24"/>
                <w:color w:val="auto"/>
              </w:rPr>
            </w:pPr>
          </w:p>
        </w:tc>
        <w:tc>
          <w:tcPr>
            <w:tcW w:w="4520" w:type="dxa"/>
            <w:vAlign w:val="bottom"/>
          </w:tcPr>
          <w:p>
            <w:pPr>
              <w:jc w:val="center"/>
              <w:ind w:right="5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78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4520" w:type="dxa"/>
            <w:vAlign w:val="bottom"/>
          </w:tcPr>
          <w:p>
            <w:pPr>
              <w:jc w:val="center"/>
              <w:ind w:right="572"/>
              <w:spacing w:after="0"/>
              <w:rPr>
                <w:sz w:val="20"/>
                <w:szCs w:val="20"/>
                <w:color w:val="auto"/>
              </w:rPr>
            </w:pPr>
            <w:r>
              <w:rPr>
                <w:rFonts w:ascii="Arial" w:cs="Arial" w:eastAsia="Arial" w:hAnsi="Arial"/>
                <w:sz w:val="18"/>
                <w:szCs w:val="18"/>
                <w:color w:val="auto"/>
                <w:w w:val="91"/>
              </w:rPr>
              <w:t>William Schwartz</w:t>
            </w:r>
          </w:p>
        </w:tc>
        <w:tc>
          <w:tcPr>
            <w:tcW w:w="120" w:type="dxa"/>
            <w:vAlign w:val="bottom"/>
          </w:tcPr>
          <w:p>
            <w:pPr>
              <w:spacing w:after="0"/>
              <w:rPr>
                <w:sz w:val="24"/>
                <w:szCs w:val="24"/>
                <w:color w:val="auto"/>
              </w:rPr>
            </w:pPr>
          </w:p>
        </w:tc>
        <w:tc>
          <w:tcPr>
            <w:tcW w:w="3320" w:type="dxa"/>
            <w:vAlign w:val="bottom"/>
          </w:tcPr>
          <w:p>
            <w:pPr>
              <w:ind w:left="1600"/>
              <w:spacing w:after="0"/>
              <w:rPr>
                <w:sz w:val="20"/>
                <w:szCs w:val="20"/>
                <w:color w:val="auto"/>
              </w:rPr>
            </w:pPr>
            <w:r>
              <w:rPr>
                <w:rFonts w:ascii="Arial" w:cs="Arial" w:eastAsia="Arial" w:hAnsi="Arial"/>
                <w:sz w:val="18"/>
                <w:szCs w:val="18"/>
                <w:color w:val="auto"/>
              </w:rPr>
              <w:t>Director</w:t>
            </w:r>
          </w:p>
        </w:tc>
        <w:tc>
          <w:tcPr>
            <w:tcW w:w="2780" w:type="dxa"/>
            <w:vAlign w:val="bottom"/>
          </w:tcPr>
          <w:p>
            <w:pPr>
              <w:ind w:left="1120"/>
              <w:spacing w:after="0"/>
              <w:rPr>
                <w:sz w:val="20"/>
                <w:szCs w:val="20"/>
                <w:color w:val="auto"/>
              </w:rPr>
            </w:pPr>
            <w:r>
              <w:rPr>
                <w:rFonts w:ascii="Arial" w:cs="Arial" w:eastAsia="Arial" w:hAnsi="Arial"/>
                <w:sz w:val="18"/>
                <w:szCs w:val="18"/>
                <w:color w:val="auto"/>
              </w:rPr>
              <w:t>March 16, 2005</w:t>
            </w:r>
          </w:p>
        </w:tc>
      </w:tr>
      <w:tr>
        <w:trPr>
          <w:trHeight w:val="432"/>
        </w:trPr>
        <w:tc>
          <w:tcPr>
            <w:tcW w:w="680" w:type="dxa"/>
            <w:vAlign w:val="bottom"/>
          </w:tcPr>
          <w:p>
            <w:pPr>
              <w:spacing w:after="0"/>
              <w:rPr>
                <w:sz w:val="24"/>
                <w:szCs w:val="24"/>
                <w:color w:val="auto"/>
              </w:rPr>
            </w:pPr>
          </w:p>
        </w:tc>
        <w:tc>
          <w:tcPr>
            <w:tcW w:w="4520" w:type="dxa"/>
            <w:vAlign w:val="bottom"/>
          </w:tcPr>
          <w:p>
            <w:pPr>
              <w:jc w:val="center"/>
              <w:ind w:right="5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78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4520" w:type="dxa"/>
            <w:vAlign w:val="bottom"/>
          </w:tcPr>
          <w:p>
            <w:pPr>
              <w:jc w:val="center"/>
              <w:ind w:right="592"/>
              <w:spacing w:after="0"/>
              <w:rPr>
                <w:sz w:val="20"/>
                <w:szCs w:val="20"/>
                <w:color w:val="auto"/>
              </w:rPr>
            </w:pPr>
            <w:r>
              <w:rPr>
                <w:rFonts w:ascii="Arial" w:cs="Arial" w:eastAsia="Arial" w:hAnsi="Arial"/>
                <w:sz w:val="18"/>
                <w:szCs w:val="18"/>
                <w:color w:val="auto"/>
                <w:w w:val="88"/>
              </w:rPr>
              <w:t>Patty Stonesifer</w:t>
            </w:r>
          </w:p>
        </w:tc>
        <w:tc>
          <w:tcPr>
            <w:tcW w:w="120" w:type="dxa"/>
            <w:vAlign w:val="bottom"/>
          </w:tcPr>
          <w:p>
            <w:pPr>
              <w:spacing w:after="0"/>
              <w:rPr>
                <w:sz w:val="24"/>
                <w:szCs w:val="24"/>
                <w:color w:val="auto"/>
              </w:rPr>
            </w:pPr>
          </w:p>
        </w:tc>
        <w:tc>
          <w:tcPr>
            <w:tcW w:w="3320" w:type="dxa"/>
            <w:vAlign w:val="bottom"/>
          </w:tcPr>
          <w:p>
            <w:pPr>
              <w:ind w:left="1600"/>
              <w:spacing w:after="0"/>
              <w:rPr>
                <w:sz w:val="20"/>
                <w:szCs w:val="20"/>
                <w:color w:val="auto"/>
              </w:rPr>
            </w:pPr>
            <w:r>
              <w:rPr>
                <w:rFonts w:ascii="Arial" w:cs="Arial" w:eastAsia="Arial" w:hAnsi="Arial"/>
                <w:sz w:val="18"/>
                <w:szCs w:val="18"/>
                <w:color w:val="auto"/>
              </w:rPr>
              <w:t>Director</w:t>
            </w:r>
          </w:p>
        </w:tc>
        <w:tc>
          <w:tcPr>
            <w:tcW w:w="2780" w:type="dxa"/>
            <w:vAlign w:val="bottom"/>
          </w:tcPr>
          <w:p>
            <w:pPr>
              <w:ind w:left="1120"/>
              <w:spacing w:after="0"/>
              <w:rPr>
                <w:sz w:val="20"/>
                <w:szCs w:val="20"/>
                <w:color w:val="auto"/>
              </w:rPr>
            </w:pPr>
            <w:r>
              <w:rPr>
                <w:rFonts w:ascii="Arial" w:cs="Arial" w:eastAsia="Arial" w:hAnsi="Arial"/>
                <w:sz w:val="18"/>
                <w:szCs w:val="18"/>
                <w:color w:val="auto"/>
              </w:rPr>
              <w:t>March 16, 2005</w:t>
            </w:r>
          </w:p>
        </w:tc>
      </w:tr>
      <w:tr>
        <w:trPr>
          <w:trHeight w:val="432"/>
        </w:trPr>
        <w:tc>
          <w:tcPr>
            <w:tcW w:w="680" w:type="dxa"/>
            <w:vAlign w:val="bottom"/>
          </w:tcPr>
          <w:p>
            <w:pPr>
              <w:spacing w:after="0"/>
              <w:rPr>
                <w:sz w:val="24"/>
                <w:szCs w:val="24"/>
                <w:color w:val="auto"/>
              </w:rPr>
            </w:pPr>
          </w:p>
        </w:tc>
        <w:tc>
          <w:tcPr>
            <w:tcW w:w="4520" w:type="dxa"/>
            <w:vAlign w:val="bottom"/>
          </w:tcPr>
          <w:p>
            <w:pPr>
              <w:jc w:val="center"/>
              <w:ind w:right="5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78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4520" w:type="dxa"/>
            <w:vAlign w:val="bottom"/>
          </w:tcPr>
          <w:p>
            <w:pPr>
              <w:jc w:val="center"/>
              <w:ind w:right="592"/>
              <w:spacing w:after="0"/>
              <w:rPr>
                <w:sz w:val="20"/>
                <w:szCs w:val="20"/>
                <w:color w:val="auto"/>
              </w:rPr>
            </w:pPr>
            <w:r>
              <w:rPr>
                <w:rFonts w:ascii="Arial" w:cs="Arial" w:eastAsia="Arial" w:hAnsi="Arial"/>
                <w:sz w:val="18"/>
                <w:szCs w:val="18"/>
                <w:color w:val="auto"/>
                <w:w w:val="89"/>
              </w:rPr>
              <w:t>Robert D. Walter</w:t>
            </w:r>
          </w:p>
        </w:tc>
        <w:tc>
          <w:tcPr>
            <w:tcW w:w="120" w:type="dxa"/>
            <w:vAlign w:val="bottom"/>
          </w:tcPr>
          <w:p>
            <w:pPr>
              <w:spacing w:after="0"/>
              <w:rPr>
                <w:sz w:val="24"/>
                <w:szCs w:val="24"/>
                <w:color w:val="auto"/>
              </w:rPr>
            </w:pPr>
          </w:p>
        </w:tc>
        <w:tc>
          <w:tcPr>
            <w:tcW w:w="3320" w:type="dxa"/>
            <w:vAlign w:val="bottom"/>
          </w:tcPr>
          <w:p>
            <w:pPr>
              <w:ind w:left="1600"/>
              <w:spacing w:after="0"/>
              <w:rPr>
                <w:sz w:val="20"/>
                <w:szCs w:val="20"/>
                <w:color w:val="auto"/>
              </w:rPr>
            </w:pPr>
            <w:r>
              <w:rPr>
                <w:rFonts w:ascii="Arial" w:cs="Arial" w:eastAsia="Arial" w:hAnsi="Arial"/>
                <w:sz w:val="18"/>
                <w:szCs w:val="18"/>
                <w:color w:val="auto"/>
              </w:rPr>
              <w:t>Director</w:t>
            </w:r>
          </w:p>
        </w:tc>
        <w:tc>
          <w:tcPr>
            <w:tcW w:w="2780" w:type="dxa"/>
            <w:vAlign w:val="bottom"/>
          </w:tcPr>
          <w:p>
            <w:pPr>
              <w:ind w:left="1120"/>
              <w:spacing w:after="0"/>
              <w:rPr>
                <w:sz w:val="20"/>
                <w:szCs w:val="20"/>
                <w:color w:val="auto"/>
              </w:rPr>
            </w:pPr>
            <w:r>
              <w:rPr>
                <w:rFonts w:ascii="Arial" w:cs="Arial" w:eastAsia="Arial" w:hAnsi="Arial"/>
                <w:sz w:val="18"/>
                <w:szCs w:val="18"/>
                <w:color w:val="auto"/>
              </w:rPr>
              <w:t>March 16, 2005</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Pr>
          <w:p>
            <w:pPr>
              <w:jc w:val="center"/>
              <w:ind w:left="32"/>
              <w:spacing w:after="0"/>
              <w:rPr>
                <w:sz w:val="20"/>
                <w:szCs w:val="20"/>
                <w:color w:val="auto"/>
              </w:rPr>
            </w:pPr>
            <w:r>
              <w:rPr>
                <w:rFonts w:ascii="Arial" w:cs="Arial" w:eastAsia="Arial" w:hAnsi="Arial"/>
                <w:sz w:val="18"/>
                <w:szCs w:val="18"/>
                <w:b w:val="1"/>
                <w:bCs w:val="1"/>
                <w:color w:val="auto"/>
                <w:w w:val="99"/>
              </w:rPr>
              <w:t>/s/ MICHAEL D. FRICKLAS</w:t>
            </w: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780" w:type="dxa"/>
            <w:vAlign w:val="bottom"/>
          </w:tcPr>
          <w:p>
            <w:pPr>
              <w:ind w:left="1120"/>
              <w:spacing w:after="0"/>
              <w:rPr>
                <w:sz w:val="20"/>
                <w:szCs w:val="20"/>
                <w:color w:val="auto"/>
              </w:rPr>
            </w:pPr>
            <w:r>
              <w:rPr>
                <w:rFonts w:ascii="Arial" w:cs="Arial" w:eastAsia="Arial" w:hAnsi="Arial"/>
                <w:sz w:val="18"/>
                <w:szCs w:val="18"/>
                <w:color w:val="auto"/>
              </w:rPr>
              <w:t>March 16, 2005</w:t>
            </w:r>
          </w:p>
        </w:tc>
      </w:tr>
      <w:tr>
        <w:trPr>
          <w:trHeight w:val="120"/>
        </w:trPr>
        <w:tc>
          <w:tcPr>
            <w:tcW w:w="680" w:type="dxa"/>
            <w:vAlign w:val="bottom"/>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320" w:type="dxa"/>
            <w:vAlign w:val="bottom"/>
          </w:tcPr>
          <w:p>
            <w:pPr>
              <w:spacing w:after="0"/>
              <w:rPr>
                <w:sz w:val="10"/>
                <w:szCs w:val="10"/>
                <w:color w:val="auto"/>
              </w:rPr>
            </w:pPr>
          </w:p>
        </w:tc>
        <w:tc>
          <w:tcPr>
            <w:tcW w:w="2780" w:type="dxa"/>
            <w:vAlign w:val="bottom"/>
          </w:tcPr>
          <w:p>
            <w:pPr>
              <w:spacing w:after="0"/>
              <w:rPr>
                <w:sz w:val="10"/>
                <w:szCs w:val="10"/>
                <w:color w:val="auto"/>
              </w:rPr>
            </w:pPr>
          </w:p>
        </w:tc>
      </w:tr>
      <w:tr>
        <w:trPr>
          <w:trHeight w:val="313"/>
        </w:trPr>
        <w:tc>
          <w:tcPr>
            <w:tcW w:w="680" w:type="dxa"/>
            <w:vAlign w:val="bottom"/>
          </w:tcPr>
          <w:p>
            <w:pPr>
              <w:spacing w:after="0"/>
              <w:rPr>
                <w:sz w:val="24"/>
                <w:szCs w:val="24"/>
                <w:color w:val="auto"/>
              </w:rPr>
            </w:pPr>
          </w:p>
        </w:tc>
        <w:tc>
          <w:tcPr>
            <w:tcW w:w="4520" w:type="dxa"/>
            <w:vAlign w:val="bottom"/>
          </w:tcPr>
          <w:p>
            <w:pPr>
              <w:jc w:val="center"/>
              <w:ind w:left="32"/>
              <w:spacing w:after="0"/>
              <w:rPr>
                <w:sz w:val="20"/>
                <w:szCs w:val="20"/>
                <w:color w:val="auto"/>
              </w:rPr>
            </w:pPr>
            <w:r>
              <w:rPr>
                <w:rFonts w:ascii="Arial" w:cs="Arial" w:eastAsia="Arial" w:hAnsi="Arial"/>
                <w:sz w:val="18"/>
                <w:szCs w:val="18"/>
                <w:color w:val="auto"/>
                <w:w w:val="92"/>
              </w:rPr>
              <w:t>Michael D. Fricklas</w:t>
            </w: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4520" w:type="dxa"/>
            <w:vAlign w:val="bottom"/>
          </w:tcPr>
          <w:p>
            <w:pPr>
              <w:jc w:val="center"/>
              <w:ind w:left="12"/>
              <w:spacing w:after="0"/>
              <w:rPr>
                <w:sz w:val="20"/>
                <w:szCs w:val="20"/>
                <w:color w:val="auto"/>
              </w:rPr>
            </w:pPr>
            <w:r>
              <w:rPr>
                <w:rFonts w:ascii="Arial" w:cs="Arial" w:eastAsia="Arial" w:hAnsi="Arial"/>
                <w:sz w:val="18"/>
                <w:szCs w:val="18"/>
                <w:i w:val="1"/>
                <w:iCs w:val="1"/>
                <w:color w:val="auto"/>
                <w:w w:val="92"/>
              </w:rPr>
              <w:t>Attorney-in-Fact</w:t>
            </w: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4520" w:type="dxa"/>
            <w:vAlign w:val="bottom"/>
          </w:tcPr>
          <w:p>
            <w:pPr>
              <w:jc w:val="center"/>
              <w:ind w:left="32"/>
              <w:spacing w:after="0"/>
              <w:rPr>
                <w:sz w:val="20"/>
                <w:szCs w:val="20"/>
                <w:color w:val="auto"/>
              </w:rPr>
            </w:pPr>
            <w:r>
              <w:rPr>
                <w:rFonts w:ascii="Arial" w:cs="Arial" w:eastAsia="Arial" w:hAnsi="Arial"/>
                <w:sz w:val="18"/>
                <w:szCs w:val="18"/>
                <w:i w:val="1"/>
                <w:iCs w:val="1"/>
                <w:color w:val="auto"/>
                <w:w w:val="90"/>
              </w:rPr>
              <w:t>for the Directors</w:t>
            </w:r>
          </w:p>
        </w:tc>
        <w:tc>
          <w:tcPr>
            <w:tcW w:w="1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-3993515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-3993515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-3427730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-3427730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-2861310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-2861310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-2295525</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-2295525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-1729740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-1729740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-1163320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-580390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-580390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80" w:type="dxa"/>
            <w:vAlign w:val="bottom"/>
          </w:tcPr>
          <w:p>
            <w:pPr>
              <w:ind w:left="3220"/>
              <w:spacing w:after="0"/>
              <w:rPr>
                <w:sz w:val="20"/>
                <w:szCs w:val="20"/>
                <w:color w:val="auto"/>
              </w:rPr>
            </w:pPr>
            <w:r>
              <w:rPr>
                <w:rFonts w:ascii="Arial" w:cs="Arial" w:eastAsia="Arial" w:hAnsi="Arial"/>
                <w:sz w:val="18"/>
                <w:szCs w:val="18"/>
                <w:b w:val="1"/>
                <w:bCs w:val="1"/>
                <w:color w:val="auto"/>
              </w:rPr>
              <w:t>INDEX TO EXHIBITS</w:t>
            </w:r>
          </w:p>
        </w:tc>
      </w:tr>
      <w:tr>
        <w:trPr>
          <w:trHeight w:val="228"/>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780" w:type="dxa"/>
            <w:vAlign w:val="bottom"/>
          </w:tcPr>
          <w:p>
            <w:pPr>
              <w:ind w:left="3640"/>
              <w:spacing w:after="0"/>
              <w:rPr>
                <w:sz w:val="20"/>
                <w:szCs w:val="20"/>
                <w:color w:val="auto"/>
              </w:rPr>
            </w:pPr>
            <w:r>
              <w:rPr>
                <w:rFonts w:ascii="Arial" w:cs="Arial" w:eastAsia="Arial" w:hAnsi="Arial"/>
                <w:sz w:val="18"/>
                <w:szCs w:val="18"/>
                <w:b w:val="1"/>
                <w:bCs w:val="1"/>
                <w:color w:val="auto"/>
              </w:rPr>
              <w:t>ITEM 15(b)</w:t>
            </w:r>
          </w:p>
        </w:tc>
      </w:tr>
      <w:tr>
        <w:trPr>
          <w:trHeight w:val="380"/>
        </w:trPr>
        <w:tc>
          <w:tcPr>
            <w:tcW w:w="1300" w:type="dxa"/>
            <w:vAlign w:val="bottom"/>
          </w:tcPr>
          <w:p>
            <w:pPr>
              <w:jc w:val="right"/>
              <w:ind w:right="242"/>
              <w:spacing w:after="0"/>
              <w:rPr>
                <w:sz w:val="20"/>
                <w:szCs w:val="20"/>
                <w:color w:val="auto"/>
              </w:rPr>
            </w:pPr>
            <w:r>
              <w:rPr>
                <w:rFonts w:ascii="Arial" w:cs="Arial" w:eastAsia="Arial" w:hAnsi="Arial"/>
                <w:sz w:val="14"/>
                <w:szCs w:val="14"/>
                <w:b w:val="1"/>
                <w:bCs w:val="1"/>
                <w:color w:val="auto"/>
              </w:rPr>
              <w:t>Exhibit No.</w:t>
            </w:r>
          </w:p>
        </w:tc>
        <w:tc>
          <w:tcPr>
            <w:tcW w:w="320" w:type="dxa"/>
            <w:vAlign w:val="bottom"/>
          </w:tcPr>
          <w:p>
            <w:pPr>
              <w:spacing w:after="0"/>
              <w:rPr>
                <w:sz w:val="24"/>
                <w:szCs w:val="24"/>
                <w:color w:val="auto"/>
              </w:rPr>
            </w:pPr>
          </w:p>
        </w:tc>
        <w:tc>
          <w:tcPr>
            <w:tcW w:w="8780" w:type="dxa"/>
            <w:vAlign w:val="bottom"/>
          </w:tcPr>
          <w:p>
            <w:pPr>
              <w:ind w:left="3680"/>
              <w:spacing w:after="0"/>
              <w:rPr>
                <w:sz w:val="20"/>
                <w:szCs w:val="20"/>
                <w:color w:val="auto"/>
              </w:rPr>
            </w:pPr>
            <w:r>
              <w:rPr>
                <w:rFonts w:ascii="Arial" w:cs="Arial" w:eastAsia="Arial" w:hAnsi="Arial"/>
                <w:sz w:val="14"/>
                <w:szCs w:val="14"/>
                <w:b w:val="1"/>
                <w:bCs w:val="1"/>
                <w:color w:val="auto"/>
              </w:rPr>
              <w:t>Description of Document</w:t>
            </w:r>
          </w:p>
        </w:tc>
      </w:tr>
      <w:tr>
        <w:trPr>
          <w:trHeight w:val="105"/>
        </w:trPr>
        <w:tc>
          <w:tcPr>
            <w:tcW w:w="1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780" w:type="dxa"/>
            <w:vAlign w:val="bottom"/>
            <w:tcBorders>
              <w:bottom w:val="single" w:sz="8" w:color="808080"/>
            </w:tcBorders>
          </w:tcPr>
          <w:p>
            <w:pPr>
              <w:spacing w:after="0"/>
              <w:rPr>
                <w:sz w:val="9"/>
                <w:szCs w:val="9"/>
                <w:color w:val="auto"/>
              </w:rPr>
            </w:pPr>
          </w:p>
        </w:tc>
      </w:tr>
      <w:tr>
        <w:trPr>
          <w:trHeight w:val="319"/>
        </w:trPr>
        <w:tc>
          <w:tcPr>
            <w:tcW w:w="1300" w:type="dxa"/>
            <w:vAlign w:val="bottom"/>
          </w:tcPr>
          <w:p>
            <w:pPr>
              <w:jc w:val="right"/>
              <w:ind w:right="1002"/>
              <w:spacing w:after="0"/>
              <w:rPr>
                <w:sz w:val="20"/>
                <w:szCs w:val="20"/>
                <w:color w:val="auto"/>
              </w:rPr>
            </w:pPr>
            <w:r>
              <w:rPr>
                <w:rFonts w:ascii="Arial" w:cs="Arial" w:eastAsia="Arial" w:hAnsi="Arial"/>
                <w:sz w:val="18"/>
                <w:szCs w:val="18"/>
                <w:color w:val="auto"/>
                <w:w w:val="90"/>
              </w:rPr>
              <w:t>(3)</w:t>
            </w:r>
          </w:p>
        </w:tc>
        <w:tc>
          <w:tcPr>
            <w:tcW w:w="9100" w:type="dxa"/>
            <w:vAlign w:val="bottom"/>
            <w:gridSpan w:val="2"/>
          </w:tcPr>
          <w:p>
            <w:pPr>
              <w:ind w:left="320"/>
              <w:spacing w:after="0"/>
              <w:rPr>
                <w:sz w:val="20"/>
                <w:szCs w:val="20"/>
                <w:color w:val="auto"/>
              </w:rPr>
            </w:pPr>
            <w:r>
              <w:rPr>
                <w:rFonts w:ascii="Arial" w:cs="Arial" w:eastAsia="Arial" w:hAnsi="Arial"/>
                <w:sz w:val="18"/>
                <w:szCs w:val="18"/>
                <w:b w:val="1"/>
                <w:bCs w:val="1"/>
                <w:color w:val="auto"/>
              </w:rPr>
              <w:t>Articles of Incorporation and By-laws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808990</wp:posOffset>
            </wp:positionH>
            <wp:positionV relativeFrom="paragraph">
              <wp:posOffset>-216535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-216535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-216535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1620" w:hanging="910"/>
        <w:spacing w:after="0"/>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Amended and Restated Certificate of Incorporation of Viacom Inc. effective December 9, 2004 (filed herewith).</w:t>
      </w:r>
    </w:p>
    <w:p>
      <w:pPr>
        <w:spacing w:after="0" w:line="9" w:lineRule="exact"/>
        <w:rPr>
          <w:rFonts w:ascii="Arial" w:cs="Arial" w:eastAsia="Arial" w:hAnsi="Arial"/>
          <w:sz w:val="18"/>
          <w:szCs w:val="18"/>
          <w:color w:val="auto"/>
        </w:rPr>
      </w:pPr>
    </w:p>
    <w:p>
      <w:pPr>
        <w:ind w:left="1620" w:hanging="910"/>
        <w:spacing w:after="0"/>
        <w:tabs>
          <w:tab w:leader="none" w:pos="1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Amended and Restated By-laws of Viacom Inc. adopted June 1, 2004 (incorporated by reference to Exhibit 3.1 to the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6700" w:type="dxa"/>
            <w:vAlign w:val="bottom"/>
          </w:tcPr>
          <w:p>
            <w:pPr>
              <w:ind w:left="700"/>
              <w:spacing w:after="0"/>
              <w:rPr>
                <w:sz w:val="20"/>
                <w:szCs w:val="20"/>
                <w:color w:val="auto"/>
              </w:rPr>
            </w:pPr>
            <w:r>
              <w:rPr>
                <w:rFonts w:ascii="Arial" w:cs="Arial" w:eastAsia="Arial" w:hAnsi="Arial"/>
                <w:sz w:val="18"/>
                <w:szCs w:val="18"/>
                <w:color w:val="auto"/>
                <w:w w:val="89"/>
              </w:rPr>
              <w:t>Current Report on Form 8-K of Viacom Inc. filed June 1, 2004 (File No. 001-09553).</w:t>
            </w:r>
          </w:p>
        </w:tc>
      </w:tr>
      <w:tr>
        <w:trPr>
          <w:trHeight w:val="228"/>
        </w:trPr>
        <w:tc>
          <w:tcPr>
            <w:tcW w:w="920" w:type="dxa"/>
            <w:vAlign w:val="bottom"/>
          </w:tcPr>
          <w:p>
            <w:pPr>
              <w:jc w:val="right"/>
              <w:ind w:right="612"/>
              <w:spacing w:after="0"/>
              <w:rPr>
                <w:sz w:val="20"/>
                <w:szCs w:val="20"/>
                <w:color w:val="auto"/>
              </w:rPr>
            </w:pPr>
            <w:r>
              <w:rPr>
                <w:rFonts w:ascii="Arial" w:cs="Arial" w:eastAsia="Arial" w:hAnsi="Arial"/>
                <w:sz w:val="18"/>
                <w:szCs w:val="18"/>
                <w:color w:val="auto"/>
                <w:w w:val="90"/>
              </w:rPr>
              <w:t>(4)</w:t>
            </w:r>
          </w:p>
        </w:tc>
        <w:tc>
          <w:tcPr>
            <w:tcW w:w="6700" w:type="dxa"/>
            <w:vAlign w:val="bottom"/>
          </w:tcPr>
          <w:p>
            <w:pPr>
              <w:ind w:left="700"/>
              <w:spacing w:after="0"/>
              <w:rPr>
                <w:sz w:val="20"/>
                <w:szCs w:val="20"/>
                <w:color w:val="auto"/>
              </w:rPr>
            </w:pPr>
            <w:r>
              <w:rPr>
                <w:rFonts w:ascii="Arial" w:cs="Arial" w:eastAsia="Arial" w:hAnsi="Arial"/>
                <w:sz w:val="18"/>
                <w:szCs w:val="18"/>
                <w:b w:val="1"/>
                <w:bCs w:val="1"/>
                <w:color w:val="auto"/>
                <w:w w:val="96"/>
              </w:rPr>
              <w:t>Instruments defining the rights of security holders, including indentures</w:t>
            </w:r>
          </w:p>
        </w:tc>
      </w:tr>
    </w:tbl>
    <w:p>
      <w:pPr>
        <w:ind w:left="1620" w:right="380" w:hanging="910"/>
        <w:spacing w:after="0" w:line="281" w:lineRule="auto"/>
        <w:tabs>
          <w:tab w:leader="none" w:pos="1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Specimen certificate representing Viacom Inc. Class A Common Stock (incorporated by reference to Exhibit 4(a) to the Annual Report on Form 10-K of Viacom Inc. for the fiscal year ended December 31, 2002) (File No. 001-09553).</w:t>
      </w:r>
    </w:p>
    <w:p>
      <w:pPr>
        <w:spacing w:after="0" w:line="1" w:lineRule="exact"/>
        <w:rPr>
          <w:rFonts w:ascii="Arial" w:cs="Arial" w:eastAsia="Arial" w:hAnsi="Arial"/>
          <w:sz w:val="16"/>
          <w:szCs w:val="16"/>
          <w:color w:val="auto"/>
        </w:rPr>
      </w:pPr>
    </w:p>
    <w:p>
      <w:pPr>
        <w:ind w:left="1620" w:right="380" w:hanging="910"/>
        <w:spacing w:after="0" w:line="281" w:lineRule="auto"/>
        <w:tabs>
          <w:tab w:leader="none" w:pos="1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Specimen certificate representing Viacom Inc. Class B Common Stock (incorporated by reference to Exhibit 4(b) to the Annual Report on Form 10-K of Viacom Inc. for the fiscal year ended December 31, 2002) (File No. 001-09553).</w:t>
      </w:r>
    </w:p>
    <w:p>
      <w:pPr>
        <w:spacing w:after="0" w:line="1" w:lineRule="exact"/>
        <w:rPr>
          <w:rFonts w:ascii="Arial" w:cs="Arial" w:eastAsia="Arial" w:hAnsi="Arial"/>
          <w:sz w:val="16"/>
          <w:szCs w:val="16"/>
          <w:color w:val="auto"/>
        </w:rPr>
      </w:pPr>
    </w:p>
    <w:p>
      <w:pPr>
        <w:ind w:left="1620" w:right="340" w:hanging="910"/>
        <w:spacing w:after="0" w:line="281" w:lineRule="auto"/>
        <w:tabs>
          <w:tab w:leader="none" w:pos="1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instruments defining the rights of holders of the long-term debt securities of Viacom Inc. and its subsidiaries are omitted pursuant to section (b)(4)(iii)(A) of Item 601 of Regulation S-K. Viacom Inc. hereby agrees to furnish copies of these instruments to the Securities and Exchange Commission upon request.</w:t>
      </w:r>
    </w:p>
    <w:p>
      <w:pPr>
        <w:spacing w:after="0" w:line="2" w:lineRule="exact"/>
        <w:rPr>
          <w:sz w:val="20"/>
          <w:szCs w:val="20"/>
          <w:color w:val="auto"/>
        </w:rPr>
      </w:pPr>
    </w:p>
    <w:p>
      <w:pPr>
        <w:ind w:left="1620" w:hanging="1612"/>
        <w:spacing w:after="0"/>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Material Contracts</w:t>
      </w:r>
    </w:p>
    <w:p>
      <w:pPr>
        <w:spacing w:after="0" w:line="9" w:lineRule="exact"/>
        <w:rPr>
          <w:rFonts w:ascii="Arial" w:cs="Arial" w:eastAsia="Arial" w:hAnsi="Arial"/>
          <w:sz w:val="18"/>
          <w:szCs w:val="18"/>
          <w:color w:val="auto"/>
        </w:rPr>
      </w:pPr>
    </w:p>
    <w:p>
      <w:pPr>
        <w:ind w:left="1620" w:right="40" w:hanging="910"/>
        <w:spacing w:after="0" w:line="250" w:lineRule="auto"/>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Viacom Inc. 1994 Long-Term Management Incentive Plan (as amended and restated through November 1, 1996) (incorporated by reference to Exhibit 10(b) to the Annual Report on Form 10-K of Viacom Inc. for the fiscal year ended December 31, 1996) (File No. 001-09553) (as amended effective October 10, 2002 by the Amendment to Viacom Stock Option Plans) (incorporated by reference to Exhibit 10(bb) to the Annual Report on Form 10-K of Viacom Inc. for the fiscal year ended December 31, 2002) (File No. 001-09553).*</w:t>
      </w:r>
    </w:p>
    <w:p>
      <w:pPr>
        <w:spacing w:after="0" w:line="2" w:lineRule="exact"/>
        <w:rPr>
          <w:rFonts w:ascii="Arial" w:cs="Arial" w:eastAsia="Arial" w:hAnsi="Arial"/>
          <w:sz w:val="18"/>
          <w:szCs w:val="18"/>
          <w:color w:val="auto"/>
        </w:rPr>
      </w:pPr>
    </w:p>
    <w:p>
      <w:pPr>
        <w:ind w:left="1620" w:right="60" w:hanging="910"/>
        <w:spacing w:after="0" w:line="281" w:lineRule="auto"/>
        <w:tabs>
          <w:tab w:leader="none" w:pos="16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Viacom Inc. 1997 Long-Term Management Incentive Plan (as amended and restated through May 25, 2000) (incorporated by reference to Exhibit B to Viacom Inc.'s Proxy Statement dated June 5, 2000) (File No. 001-09553) (as amended effective October 10, 2002 by the Amendment to Viacom Stock Option Plans) (incorporated by reference to Exhibit 10(bb) to the Annual Report on Form 10-K of Viacom Inc. for the fiscal year ended December 31, 2002) (File No. 001-09553).*</w:t>
      </w:r>
    </w:p>
    <w:p>
      <w:pPr>
        <w:spacing w:after="0" w:line="2" w:lineRule="exact"/>
        <w:rPr>
          <w:rFonts w:ascii="Arial" w:cs="Arial" w:eastAsia="Arial" w:hAnsi="Arial"/>
          <w:sz w:val="16"/>
          <w:szCs w:val="16"/>
          <w:color w:val="auto"/>
        </w:rPr>
      </w:pPr>
    </w:p>
    <w:p>
      <w:pPr>
        <w:ind w:left="2420" w:right="300" w:hanging="791"/>
        <w:spacing w:after="0" w:line="250" w:lineRule="auto"/>
        <w:tabs>
          <w:tab w:leader="none" w:pos="24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Form of Agreement for Stock Options granted under the 1997 Long-Term Management Incentive Plan (incorporated by reference to Exhibit 10.1 to the Current Report on Form 8-K of Viacom Inc. filed March 14, 2005) (File No. 001-09553).*</w:t>
      </w:r>
    </w:p>
    <w:p>
      <w:pPr>
        <w:spacing w:after="0" w:line="1" w:lineRule="exact"/>
        <w:rPr>
          <w:rFonts w:ascii="Arial" w:cs="Arial" w:eastAsia="Arial" w:hAnsi="Arial"/>
          <w:sz w:val="18"/>
          <w:szCs w:val="18"/>
          <w:color w:val="auto"/>
        </w:rPr>
      </w:pPr>
    </w:p>
    <w:p>
      <w:pPr>
        <w:ind w:left="2420" w:right="140" w:hanging="791"/>
        <w:spacing w:after="0" w:line="250" w:lineRule="auto"/>
        <w:tabs>
          <w:tab w:leader="none" w:pos="24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Form of Notice to Executive Officers regarding Acceleration of Vesting of "Underwater" Options (incorporated by reference to Exhibit 10.3 to the Current Report on Form 8-K of Viacom Inc. filed March 14, 2005) (File No. 001-09553).*</w:t>
      </w:r>
    </w:p>
    <w:p>
      <w:pPr>
        <w:spacing w:after="0" w:line="1" w:lineRule="exact"/>
        <w:rPr>
          <w:rFonts w:ascii="Arial" w:cs="Arial" w:eastAsia="Arial" w:hAnsi="Arial"/>
          <w:sz w:val="18"/>
          <w:szCs w:val="18"/>
          <w:color w:val="auto"/>
        </w:rPr>
      </w:pPr>
    </w:p>
    <w:p>
      <w:pPr>
        <w:ind w:left="1620" w:right="40" w:hanging="910"/>
        <w:spacing w:after="0" w:line="253" w:lineRule="auto"/>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Viacom Inc. 2000 Long-Term Management Incentive Plan (as amended and restated through January 31, 2001) (incorporated by reference to Exhibit 10(d) to the Annual Report on Form 10-K of Viacom Inc. for the fiscal year ended December 31, 2001) (File No. 001-09553) (as amended effective October 10, 2002 by the Amendment to Viacom Stock Option Plans) (incorporated by reference to Exhibit 10(bb) to the Annual Report on Form 10-K of Viacom Inc. for the fiscal year ended December 31, 2002) (File No. 001-09553).*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wp:posOffset>
            </wp:positionV>
            <wp:extent cx="1050290" cy="215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28" w:lineRule="exact"/>
        <w:rPr>
          <w:sz w:val="20"/>
          <w:szCs w:val="20"/>
          <w:color w:val="auto"/>
        </w:rPr>
      </w:pPr>
    </w:p>
    <w:p>
      <w:pPr>
        <w:ind w:left="5580" w:right="1920" w:hanging="5572"/>
        <w:spacing w:after="0" w:line="519" w:lineRule="auto"/>
        <w:tabs>
          <w:tab w:leader="none" w:pos="541"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as an exhibit to this form pursuant to Item 15(b).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25" w:right="1259" w:bottom="1440" w:gutter="0" w:footer="0" w:header="0"/>
        </w:sectPr>
      </w:pPr>
    </w:p>
    <w:bookmarkStart w:id="124" w:name="page125"/>
    <w:bookmarkEnd w:id="124"/>
    <w:p>
      <w:pPr>
        <w:ind w:left="260"/>
        <w:spacing w:after="0"/>
        <w:tabs>
          <w:tab w:leader="none" w:pos="52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6598920" cy="215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6598920" cy="21590"/>
                    </a:xfrm>
                    <a:prstGeom prst="rect">
                      <a:avLst/>
                    </a:prstGeom>
                    <a:noFill/>
                  </pic:spPr>
                </pic:pic>
              </a:graphicData>
            </a:graphic>
          </wp:anchor>
        </w:drawing>
      </w:r>
    </w:p>
    <w:p>
      <w:pPr>
        <w:spacing w:after="0" w:line="215" w:lineRule="exact"/>
        <w:rPr>
          <w:sz w:val="20"/>
          <w:szCs w:val="20"/>
          <w:color w:val="auto"/>
        </w:rPr>
      </w:pPr>
    </w:p>
    <w:p>
      <w:pPr>
        <w:jc w:val="both"/>
        <w:ind w:left="2300" w:right="40" w:hanging="779"/>
        <w:spacing w:after="0" w:line="253" w:lineRule="auto"/>
        <w:tabs>
          <w:tab w:leader="none" w:pos="23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Form of Certificate and Terms and Conditions for Stock Options granted under the 2000 Long-Term Management Incentive Plan (incorporated by reference to Exhibit 10.2 to the Current Report on Form 8-K of Viacom Inc. filed March 14, 2005) (File No. 001-09553).*</w:t>
      </w:r>
    </w:p>
    <w:p>
      <w:pPr>
        <w:ind w:left="2300" w:hanging="779"/>
        <w:spacing w:after="0" w:line="250" w:lineRule="auto"/>
        <w:tabs>
          <w:tab w:leader="none" w:pos="23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Form of Notice to Executive Officers regarding Acceleration of Vesting of "Underwater" Options (incorporated by reference to Exhibit 10.3 to the Current Report on Form 8-K of Viacom Inc. filed March 14, 2005) (File No. 001-09553).*</w:t>
      </w:r>
    </w:p>
    <w:p>
      <w:pPr>
        <w:spacing w:after="0" w:line="1" w:lineRule="exact"/>
        <w:rPr>
          <w:rFonts w:ascii="Arial" w:cs="Arial" w:eastAsia="Arial" w:hAnsi="Arial"/>
          <w:sz w:val="18"/>
          <w:szCs w:val="18"/>
          <w:color w:val="auto"/>
        </w:rPr>
      </w:pPr>
    </w:p>
    <w:p>
      <w:pPr>
        <w:ind w:left="1520" w:right="320" w:hanging="931"/>
        <w:spacing w:after="0" w:line="250" w:lineRule="auto"/>
        <w:tabs>
          <w:tab w:leader="none" w:pos="15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Viacom Inc. 2004 Long-Term Management Incentive Plan (incorporated by reference to Annex B to Viacom Inc.'s Proxy Statement dated April 15, 2004) (File No. 001-09553).*</w:t>
      </w:r>
    </w:p>
    <w:p>
      <w:pPr>
        <w:ind w:left="2300" w:right="400" w:hanging="779"/>
        <w:spacing w:after="0" w:line="250" w:lineRule="auto"/>
        <w:tabs>
          <w:tab w:leader="none" w:pos="23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Form of Certificate and Terms and Conditions for Stock Options under the Viacom Inc. 2004 Long-Term Management Incentive Plan (incorporated by reference to Exhibit 10.3 to the Current Report on Form 8-K of Viacom Inc. filed February 1, 2005) (File No. 001-09553).*</w:t>
      </w:r>
    </w:p>
    <w:p>
      <w:pPr>
        <w:spacing w:after="0" w:line="1" w:lineRule="exact"/>
        <w:rPr>
          <w:rFonts w:ascii="Arial" w:cs="Arial" w:eastAsia="Arial" w:hAnsi="Arial"/>
          <w:sz w:val="18"/>
          <w:szCs w:val="18"/>
          <w:color w:val="auto"/>
        </w:rPr>
      </w:pPr>
    </w:p>
    <w:p>
      <w:pPr>
        <w:jc w:val="both"/>
        <w:ind w:left="2300" w:right="520" w:hanging="779"/>
        <w:spacing w:after="0" w:line="281" w:lineRule="auto"/>
        <w:tabs>
          <w:tab w:leader="none" w:pos="2300" w:val="left"/>
        </w:tabs>
        <w:numPr>
          <w:ilvl w:val="2"/>
          <w:numId w:val="43"/>
        </w:numPr>
        <w:rPr>
          <w:rFonts w:ascii="Arial" w:cs="Arial" w:eastAsia="Arial" w:hAnsi="Arial"/>
          <w:sz w:val="16"/>
          <w:szCs w:val="16"/>
          <w:color w:val="auto"/>
        </w:rPr>
      </w:pPr>
      <w:r>
        <w:rPr>
          <w:rFonts w:ascii="Arial" w:cs="Arial" w:eastAsia="Arial" w:hAnsi="Arial"/>
          <w:sz w:val="16"/>
          <w:szCs w:val="16"/>
          <w:color w:val="auto"/>
        </w:rPr>
        <w:t>Form of Certificate and Terms and Conditions for the Performance-Based Restricted Share Units under the Viacom Inc. 2004 Long-Term Management Incentive Plan (incorporated by reference to Exhibit 10.1 to the Current Report on Form 8-K of Viacom Inc. filed February 1, 2005) (File No. 001-09553).*</w:t>
      </w:r>
    </w:p>
    <w:p>
      <w:pPr>
        <w:spacing w:after="0" w:line="2" w:lineRule="exact"/>
        <w:rPr>
          <w:rFonts w:ascii="Arial" w:cs="Arial" w:eastAsia="Arial" w:hAnsi="Arial"/>
          <w:sz w:val="16"/>
          <w:szCs w:val="16"/>
          <w:color w:val="auto"/>
        </w:rPr>
      </w:pPr>
    </w:p>
    <w:p>
      <w:pPr>
        <w:ind w:left="2300" w:right="20" w:hanging="779"/>
        <w:spacing w:after="0" w:line="281" w:lineRule="auto"/>
        <w:tabs>
          <w:tab w:leader="none" w:pos="2300" w:val="left"/>
        </w:tabs>
        <w:numPr>
          <w:ilvl w:val="2"/>
          <w:numId w:val="43"/>
        </w:numPr>
        <w:rPr>
          <w:rFonts w:ascii="Arial" w:cs="Arial" w:eastAsia="Arial" w:hAnsi="Arial"/>
          <w:sz w:val="16"/>
          <w:szCs w:val="16"/>
          <w:color w:val="auto"/>
        </w:rPr>
      </w:pPr>
      <w:r>
        <w:rPr>
          <w:rFonts w:ascii="Arial" w:cs="Arial" w:eastAsia="Arial" w:hAnsi="Arial"/>
          <w:sz w:val="16"/>
          <w:szCs w:val="16"/>
          <w:color w:val="auto"/>
        </w:rPr>
        <w:t>Form of Certificate and Terms and Conditions for the Performance-Based Restricted Share Units with Time Vesting under the Viacom Inc. 2004 Long-Term Management Incentive Plan (incorporated by reference to Exhibit 10.2 to the Current Report on Form 8-K of Viacom Inc. filed February 1, 2005) (File No. 001-09553).*</w:t>
      </w:r>
    </w:p>
    <w:p>
      <w:pPr>
        <w:spacing w:after="0" w:line="2" w:lineRule="exact"/>
        <w:rPr>
          <w:rFonts w:ascii="Arial" w:cs="Arial" w:eastAsia="Arial" w:hAnsi="Arial"/>
          <w:sz w:val="16"/>
          <w:szCs w:val="16"/>
          <w:color w:val="auto"/>
        </w:rPr>
      </w:pPr>
    </w:p>
    <w:p>
      <w:pPr>
        <w:ind w:left="2300" w:right="20" w:hanging="779"/>
        <w:spacing w:after="0" w:line="250" w:lineRule="auto"/>
        <w:tabs>
          <w:tab w:leader="none" w:pos="23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Form of Deferral Elections for Performance-Based Restricted Share Units under the Viacom Inc. 2004 Long-Term Management Incentive Plan (incorporated by reference to Exhibit 10.4 to the Current Report on Form 8-K of Viacom Inc. filed February 1, 2005) (File No. 001-09553).*</w:t>
      </w:r>
    </w:p>
    <w:p>
      <w:pPr>
        <w:spacing w:after="0" w:line="1" w:lineRule="exact"/>
        <w:rPr>
          <w:rFonts w:ascii="Arial" w:cs="Arial" w:eastAsia="Arial" w:hAnsi="Arial"/>
          <w:sz w:val="18"/>
          <w:szCs w:val="18"/>
          <w:color w:val="auto"/>
        </w:rPr>
      </w:pPr>
    </w:p>
    <w:p>
      <w:pPr>
        <w:ind w:left="2300" w:hanging="779"/>
        <w:spacing w:after="0" w:line="250" w:lineRule="auto"/>
        <w:tabs>
          <w:tab w:leader="none" w:pos="23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Form of Deferral Elections for Performance-Based Restricted Share Units with Time Vesting under the Viacom Inc. 2004 Long-Term Management Incentive Plan (incorporated by reference to Exhibit 10.5 to the Current Report on Form 8-K of Viacom Inc. filed February 1, 2005) (File No. 001-09553).*</w:t>
      </w:r>
    </w:p>
    <w:p>
      <w:pPr>
        <w:spacing w:after="0" w:line="1" w:lineRule="exact"/>
        <w:rPr>
          <w:rFonts w:ascii="Arial" w:cs="Arial" w:eastAsia="Arial" w:hAnsi="Arial"/>
          <w:sz w:val="18"/>
          <w:szCs w:val="18"/>
          <w:color w:val="auto"/>
        </w:rPr>
      </w:pPr>
    </w:p>
    <w:p>
      <w:pPr>
        <w:ind w:left="1520" w:hanging="931"/>
        <w:spacing w:after="0" w:line="281" w:lineRule="auto"/>
        <w:tabs>
          <w:tab w:leader="none" w:pos="15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Viacom Inc. Senior Executive Short-Term Incentive Plan (as amended and restated through March 20, 2003) (incorporated by reference to Exhibit C to Viacom Inc.'s Proxy Statement dated April 21, 2003) (File No. 001-09553).*</w:t>
      </w:r>
    </w:p>
    <w:p>
      <w:pPr>
        <w:spacing w:after="0" w:line="1" w:lineRule="exact"/>
        <w:rPr>
          <w:rFonts w:ascii="Arial" w:cs="Arial" w:eastAsia="Arial" w:hAnsi="Arial"/>
          <w:sz w:val="16"/>
          <w:szCs w:val="16"/>
          <w:color w:val="auto"/>
        </w:rPr>
      </w:pPr>
    </w:p>
    <w:p>
      <w:pPr>
        <w:ind w:left="1520" w:hanging="931"/>
        <w:spacing w:after="0"/>
        <w:tabs>
          <w:tab w:leader="none" w:pos="15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Summary of Viacom Inc. Compensation for Outside Directors (filed herewith).*</w:t>
      </w:r>
    </w:p>
    <w:p>
      <w:pPr>
        <w:spacing w:after="0" w:line="9" w:lineRule="exact"/>
        <w:rPr>
          <w:rFonts w:ascii="Arial" w:cs="Arial" w:eastAsia="Arial" w:hAnsi="Arial"/>
          <w:sz w:val="18"/>
          <w:szCs w:val="18"/>
          <w:color w:val="auto"/>
        </w:rPr>
      </w:pPr>
    </w:p>
    <w:p>
      <w:pPr>
        <w:ind w:left="1520" w:right="320" w:hanging="931"/>
        <w:spacing w:after="0" w:line="250" w:lineRule="auto"/>
        <w:tabs>
          <w:tab w:leader="none" w:pos="15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Viacom Inc. Deferred Compensation Plan for Non-Employee Directors (as amended and restated as of October 14, 2003) (incorporated by reference to Exhibit 10(e) to the Annual Report on Form 10-K of Viacom Inc. for the fiscal year ended December 31, 2003) (File No. 001-09553).*</w:t>
      </w:r>
    </w:p>
    <w:p>
      <w:pPr>
        <w:spacing w:after="0" w:line="1" w:lineRule="exact"/>
        <w:rPr>
          <w:rFonts w:ascii="Arial" w:cs="Arial" w:eastAsia="Arial" w:hAnsi="Arial"/>
          <w:sz w:val="18"/>
          <w:szCs w:val="18"/>
          <w:color w:val="auto"/>
        </w:rPr>
      </w:pPr>
    </w:p>
    <w:p>
      <w:pPr>
        <w:jc w:val="both"/>
        <w:ind w:left="2300" w:right="100" w:hanging="779"/>
        <w:spacing w:after="0" w:line="255" w:lineRule="auto"/>
        <w:tabs>
          <w:tab w:leader="none" w:pos="23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Form of Election Form for Viacom Inc. Deferred Compensation Plan for Non-Employee Directors (incorporated by reference to Exhibit 10 to the Current Report on Form 8-K of Viacom Inc. filed December 15, 2004) (File No. 001-09533).*</w:t>
      </w:r>
    </w:p>
    <w:p>
      <w:pPr>
        <w:spacing w:after="0" w:line="33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Management contract or compensatory plan required to be filed as an exhibit to this form pursuant to Item 15(b).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1050290" cy="215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240" w:top="127" w:right="1299" w:bottom="1440" w:gutter="0" w:footer="0" w:header="0"/>
        </w:sectPr>
      </w:pPr>
    </w:p>
    <w:bookmarkStart w:id="125" w:name="page126"/>
    <w:bookmarkEnd w:id="125"/>
    <w:p>
      <w:pPr>
        <w:ind w:left="260"/>
        <w:spacing w:after="0"/>
        <w:tabs>
          <w:tab w:leader="none" w:pos="52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6598920" cy="215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6598920" cy="21590"/>
                    </a:xfrm>
                    <a:prstGeom prst="rect">
                      <a:avLst/>
                    </a:prstGeom>
                    <a:noFill/>
                  </pic:spPr>
                </pic:pic>
              </a:graphicData>
            </a:graphic>
          </wp:anchor>
        </w:drawing>
      </w:r>
    </w:p>
    <w:p>
      <w:pPr>
        <w:spacing w:after="0" w:line="215" w:lineRule="exact"/>
        <w:rPr>
          <w:sz w:val="20"/>
          <w:szCs w:val="20"/>
          <w:color w:val="auto"/>
        </w:rPr>
      </w:pPr>
    </w:p>
    <w:p>
      <w:pPr>
        <w:ind w:left="1520" w:right="460" w:hanging="931"/>
        <w:spacing w:after="0" w:line="253" w:lineRule="auto"/>
        <w:tabs>
          <w:tab w:leader="none" w:pos="15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Viacom Inc. Retirement Income Plan for Non-Employee Directors (as amended and restated as of October 14, 2003) (incorporated by reference to Exhibit 10(f) to the Annual Report on Form 10-K of Viacom Inc. for the fiscal year ended December 31, 2003) (File No. 001-09553).*</w:t>
      </w:r>
    </w:p>
    <w:p>
      <w:pPr>
        <w:ind w:left="1520" w:hanging="931"/>
        <w:spacing w:after="0" w:line="281" w:lineRule="auto"/>
        <w:tabs>
          <w:tab w:leader="none" w:pos="15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Viacom Inc. Stock Option Plan for Outside Directors (incorporated by reference to Exhibit 10.2 to the Quarterly Report on Form 10-Q of Viacom Inc. for the quarter ended June 30, 1993) (File No. 001-09553) (as amended effective October 10, 2002 by the Amendment to Viacom Stock Option Plans) (incorporated by reference to Exhibit 10(bb) to the Annual Report on Form 10-K of Viacom Inc. for the fiscal year ended December 31, 2002) (File No. 001-09553).*</w:t>
      </w:r>
    </w:p>
    <w:p>
      <w:pPr>
        <w:spacing w:after="0" w:line="2" w:lineRule="exact"/>
        <w:rPr>
          <w:rFonts w:ascii="Arial" w:cs="Arial" w:eastAsia="Arial" w:hAnsi="Arial"/>
          <w:sz w:val="16"/>
          <w:szCs w:val="16"/>
          <w:color w:val="auto"/>
        </w:rPr>
      </w:pPr>
    </w:p>
    <w:p>
      <w:pPr>
        <w:ind w:left="1520" w:right="60" w:hanging="931"/>
        <w:spacing w:after="0" w:line="250" w:lineRule="auto"/>
        <w:tabs>
          <w:tab w:leader="none" w:pos="15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Viacom Inc. 1994 Stock Option Plan for Outside Directors (incorporated by reference to Exhibit B to Viacom Inc.'s Proxy Statement dated April 28, 1995) (File No. 001-09553) (as amended effective October 10, 2002 by the Amendment to Viacom Stock Option Plans) (incorporated by reference to Exhibit 10(bb) to the Annual Report on Form 10-K of Viacom Inc. for the fiscal year ended December 31, 2002) (File No. 001-09553).*</w:t>
      </w:r>
    </w:p>
    <w:p>
      <w:pPr>
        <w:spacing w:after="0" w:line="1" w:lineRule="exact"/>
        <w:rPr>
          <w:rFonts w:ascii="Arial" w:cs="Arial" w:eastAsia="Arial" w:hAnsi="Arial"/>
          <w:sz w:val="18"/>
          <w:szCs w:val="18"/>
          <w:color w:val="auto"/>
        </w:rPr>
      </w:pPr>
    </w:p>
    <w:p>
      <w:pPr>
        <w:ind w:left="1520" w:right="120" w:hanging="931"/>
        <w:spacing w:after="0" w:line="281" w:lineRule="auto"/>
        <w:tabs>
          <w:tab w:leader="none" w:pos="15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Viacom Inc. 2000 Stock Option Plan for Outside Directors (as amended and restated through March 10, 2004) (incorporated by reference to Annex C to Viacom Inc.'s Proxy Statement dated April 15, 2004) (File No. 001-09553).*</w:t>
      </w:r>
    </w:p>
    <w:p>
      <w:pPr>
        <w:spacing w:after="0" w:line="1" w:lineRule="exact"/>
        <w:rPr>
          <w:rFonts w:ascii="Arial" w:cs="Arial" w:eastAsia="Arial" w:hAnsi="Arial"/>
          <w:sz w:val="16"/>
          <w:szCs w:val="16"/>
          <w:color w:val="auto"/>
        </w:rPr>
      </w:pPr>
    </w:p>
    <w:p>
      <w:pPr>
        <w:ind w:left="2300" w:right="100" w:hanging="779"/>
        <w:spacing w:after="0" w:line="250" w:lineRule="auto"/>
        <w:tabs>
          <w:tab w:leader="none" w:pos="2300" w:val="left"/>
        </w:tabs>
        <w:numPr>
          <w:ilvl w:val="2"/>
          <w:numId w:val="44"/>
        </w:numPr>
        <w:rPr>
          <w:rFonts w:ascii="Arial" w:cs="Arial" w:eastAsia="Arial" w:hAnsi="Arial"/>
          <w:sz w:val="18"/>
          <w:szCs w:val="18"/>
          <w:color w:val="auto"/>
        </w:rPr>
      </w:pPr>
      <w:r>
        <w:rPr>
          <w:rFonts w:ascii="Arial" w:cs="Arial" w:eastAsia="Arial" w:hAnsi="Arial"/>
          <w:sz w:val="18"/>
          <w:szCs w:val="18"/>
          <w:color w:val="auto"/>
        </w:rPr>
        <w:t>Form of Stock Option Certificate for Stock Option Grants under the Viacom Inc. 2000 Stock Option Plan for Outside Directors (initial grant form) (incorporated by reference to Exhibit 10.1 to the Current Report on Form 8-K of Viacom Inc. filed January 27, 2005) (File No. 001-09533).*</w:t>
      </w:r>
    </w:p>
    <w:p>
      <w:pPr>
        <w:spacing w:after="0" w:line="1" w:lineRule="exact"/>
        <w:rPr>
          <w:rFonts w:ascii="Arial" w:cs="Arial" w:eastAsia="Arial" w:hAnsi="Arial"/>
          <w:sz w:val="18"/>
          <w:szCs w:val="18"/>
          <w:color w:val="auto"/>
        </w:rPr>
      </w:pPr>
    </w:p>
    <w:p>
      <w:pPr>
        <w:ind w:left="2300" w:right="40" w:hanging="779"/>
        <w:spacing w:after="0" w:line="250" w:lineRule="auto"/>
        <w:tabs>
          <w:tab w:leader="none" w:pos="2300" w:val="left"/>
        </w:tabs>
        <w:numPr>
          <w:ilvl w:val="2"/>
          <w:numId w:val="44"/>
        </w:numPr>
        <w:rPr>
          <w:rFonts w:ascii="Arial" w:cs="Arial" w:eastAsia="Arial" w:hAnsi="Arial"/>
          <w:sz w:val="18"/>
          <w:szCs w:val="18"/>
          <w:color w:val="auto"/>
        </w:rPr>
      </w:pPr>
      <w:r>
        <w:rPr>
          <w:rFonts w:ascii="Arial" w:cs="Arial" w:eastAsia="Arial" w:hAnsi="Arial"/>
          <w:sz w:val="18"/>
          <w:szCs w:val="18"/>
          <w:color w:val="auto"/>
        </w:rPr>
        <w:t>Form of Stock Option Certificate for Stock Option Grants under the Viacom Inc. 2000 Stock Option Plan for Outside Directors (annual grant form) (incorporated by reference to Exhibit 10.2 to the Current Report on Form 8-K of Viacom Inc. filed January 27, 2005) (File No. 001-09533).*</w:t>
      </w:r>
    </w:p>
    <w:p>
      <w:pPr>
        <w:spacing w:after="0" w:line="1" w:lineRule="exact"/>
        <w:rPr>
          <w:rFonts w:ascii="Arial" w:cs="Arial" w:eastAsia="Arial" w:hAnsi="Arial"/>
          <w:sz w:val="18"/>
          <w:szCs w:val="18"/>
          <w:color w:val="auto"/>
        </w:rPr>
      </w:pPr>
    </w:p>
    <w:p>
      <w:pPr>
        <w:ind w:left="1520" w:right="140" w:hanging="931"/>
        <w:spacing w:after="0" w:line="250" w:lineRule="auto"/>
        <w:tabs>
          <w:tab w:leader="none" w:pos="15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Amendment to Viacom Stock Option Plans referred to above in Exhibits 10(a) through 10(c), 10(i) and (10)(j) (incorporated by reference to Exhibit 10(bb) to the Annual Report on Form 10-K of Viacom Inc. for the fiscal year ended December 31, 2002) (File No. 001-09553).*</w:t>
      </w:r>
    </w:p>
    <w:p>
      <w:pPr>
        <w:spacing w:after="0" w:line="1" w:lineRule="exact"/>
        <w:rPr>
          <w:rFonts w:ascii="Arial" w:cs="Arial" w:eastAsia="Arial" w:hAnsi="Arial"/>
          <w:sz w:val="18"/>
          <w:szCs w:val="18"/>
          <w:color w:val="auto"/>
        </w:rPr>
      </w:pPr>
    </w:p>
    <w:p>
      <w:pPr>
        <w:ind w:left="1520" w:right="140" w:hanging="931"/>
        <w:spacing w:after="0" w:line="250" w:lineRule="auto"/>
        <w:tabs>
          <w:tab w:leader="none" w:pos="15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Viacom Excess 401(k) Plan (Effective April 1, 1984, Restated as of December 1, 1999, amended effective January 1, 2002 and August 28, 2002) (incorporated by reference to Exhibit 10(j) to the Annual Report on Form 10-K of Viacom Inc. for the fiscal year ended December 31, 2003) (File No. 001-09553).*</w:t>
      </w:r>
    </w:p>
    <w:p>
      <w:pPr>
        <w:spacing w:after="0" w:line="1" w:lineRule="exact"/>
        <w:rPr>
          <w:rFonts w:ascii="Arial" w:cs="Arial" w:eastAsia="Arial" w:hAnsi="Arial"/>
          <w:sz w:val="18"/>
          <w:szCs w:val="18"/>
          <w:color w:val="auto"/>
        </w:rPr>
      </w:pPr>
    </w:p>
    <w:p>
      <w:pPr>
        <w:ind w:left="1520" w:right="80" w:hanging="931"/>
        <w:spacing w:after="0" w:line="250" w:lineRule="auto"/>
        <w:tabs>
          <w:tab w:leader="none" w:pos="15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Excess Pension Plan for Certain Employees of Viacom International Inc. restated as of January 1, 2003 (as amended October 27, 2003) (incorporated by reference to Exhibit 10(k) to the Annual Report on Form 10-K of Viacom Inc. for the fiscal year ended December 31, 2003) (File No. 001-09553).*</w:t>
      </w:r>
    </w:p>
    <w:p>
      <w:pPr>
        <w:spacing w:after="0" w:line="1" w:lineRule="exact"/>
        <w:rPr>
          <w:rFonts w:ascii="Arial" w:cs="Arial" w:eastAsia="Arial" w:hAnsi="Arial"/>
          <w:sz w:val="18"/>
          <w:szCs w:val="18"/>
          <w:color w:val="auto"/>
        </w:rPr>
      </w:pPr>
    </w:p>
    <w:p>
      <w:pPr>
        <w:ind w:left="1520" w:right="20" w:hanging="931"/>
        <w:spacing w:after="0" w:line="250" w:lineRule="auto"/>
        <w:tabs>
          <w:tab w:leader="none" w:pos="15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Viacom Excess 401(k) Plan for Designated Senior Executives (as amended October 27, 2003) (incorporated by reference to Exhibit 10(l) to the Annual Report on Form 10-K of Viacom Inc. for the fiscal year ended December 31, 2003) (File No. 001-09553).*</w:t>
      </w:r>
    </w:p>
    <w:p>
      <w:pPr>
        <w:spacing w:after="0" w:line="1" w:lineRule="exact"/>
        <w:rPr>
          <w:rFonts w:ascii="Arial" w:cs="Arial" w:eastAsia="Arial" w:hAnsi="Arial"/>
          <w:sz w:val="18"/>
          <w:szCs w:val="18"/>
          <w:color w:val="auto"/>
        </w:rPr>
      </w:pPr>
    </w:p>
    <w:p>
      <w:pPr>
        <w:ind w:left="1520" w:hanging="931"/>
        <w:spacing w:after="0" w:line="255" w:lineRule="auto"/>
        <w:tabs>
          <w:tab w:leader="none" w:pos="15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Viacom Bonus Deferral Plan for Designated Senior Executives (as amended October 27, 2003) incorporated by reference to Exhibit 10(m) to the Annual Report on Form 10-K of Viacom Inc. for the fiscal year ended December 31, 2003) File No. 001-09553).*</w:t>
      </w:r>
    </w:p>
    <w:p>
      <w:pPr>
        <w:spacing w:after="0" w:line="33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Management contract or compensatory plan required to be filed as an exhibit to this form pursuant to Item 15(b).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1050290" cy="215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127" w:right="1279" w:bottom="1440" w:gutter="0" w:footer="0" w:header="0"/>
        </w:sectPr>
      </w:pPr>
    </w:p>
    <w:bookmarkStart w:id="126" w:name="page127"/>
    <w:bookmarkEnd w:id="126"/>
    <w:p>
      <w:pPr>
        <w:ind w:left="260"/>
        <w:spacing w:after="0"/>
        <w:tabs>
          <w:tab w:leader="none" w:pos="52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6598920" cy="215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6598920" cy="21590"/>
                    </a:xfrm>
                    <a:prstGeom prst="rect">
                      <a:avLst/>
                    </a:prstGeom>
                    <a:noFill/>
                  </pic:spPr>
                </pic:pic>
              </a:graphicData>
            </a:graphic>
          </wp:anchor>
        </w:drawing>
      </w:r>
    </w:p>
    <w:p>
      <w:pPr>
        <w:spacing w:after="0" w:line="215" w:lineRule="exact"/>
        <w:rPr>
          <w:sz w:val="20"/>
          <w:szCs w:val="20"/>
          <w:color w:val="auto"/>
        </w:rPr>
      </w:pPr>
    </w:p>
    <w:p>
      <w:pPr>
        <w:ind w:left="1520" w:right="260" w:hanging="931"/>
        <w:spacing w:after="0" w:line="286" w:lineRule="auto"/>
        <w:tabs>
          <w:tab w:leader="none" w:pos="15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Employment Agreement, dated July 1, 2004, between Viacom Inc. and Sumner M. Redstone (incorporated by reference to Exhibit 10.1 to the Current Report on Form 8-K of Viacom Inc. filed July 22, 2004) (File No. 001-09553).*</w:t>
      </w:r>
    </w:p>
    <w:p>
      <w:pPr>
        <w:ind w:left="1520" w:right="420" w:hanging="931"/>
        <w:spacing w:after="0" w:line="281" w:lineRule="auto"/>
        <w:tabs>
          <w:tab w:leader="none" w:pos="15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Employment Agreement, dated July 1, 2004, between Viacom Inc. and Thomas E. Freston (incorporated by reference to Exhibit 10.2 to the Current Report on Form 8-K of Viacom Inc. filed July 22, 2004) (File No. 001-09553).*</w:t>
      </w:r>
    </w:p>
    <w:p>
      <w:pPr>
        <w:spacing w:after="0" w:line="1" w:lineRule="exact"/>
        <w:rPr>
          <w:rFonts w:ascii="Arial" w:cs="Arial" w:eastAsia="Arial" w:hAnsi="Arial"/>
          <w:sz w:val="16"/>
          <w:szCs w:val="16"/>
          <w:color w:val="auto"/>
        </w:rPr>
      </w:pPr>
    </w:p>
    <w:p>
      <w:pPr>
        <w:ind w:left="1520" w:right="160" w:hanging="931"/>
        <w:spacing w:after="0" w:line="281" w:lineRule="auto"/>
        <w:tabs>
          <w:tab w:leader="none" w:pos="15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Employment Agreement dated July 1, 2004 between Viacom Inc. and Leslie Moonves (incorporated by reference to Exhibit 10.3 to the Current Report on Form 8-K of Viacom Inc. filed July 22, 2004) (File No. 001-09553).*</w:t>
      </w:r>
    </w:p>
    <w:p>
      <w:pPr>
        <w:spacing w:after="0" w:line="1" w:lineRule="exact"/>
        <w:rPr>
          <w:rFonts w:ascii="Arial" w:cs="Arial" w:eastAsia="Arial" w:hAnsi="Arial"/>
          <w:sz w:val="16"/>
          <w:szCs w:val="16"/>
          <w:color w:val="auto"/>
        </w:rPr>
      </w:pPr>
    </w:p>
    <w:p>
      <w:pPr>
        <w:ind w:left="1520" w:right="140" w:hanging="931"/>
        <w:spacing w:after="0" w:line="250" w:lineRule="auto"/>
        <w:tabs>
          <w:tab w:leader="none" w:pos="15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Agreement, dated March 22, 2001, between Viacom Inc. and Richard J. Bressler (incorporated by reference to Exhibit 10(q) to the Annual Report on Form 10-K of Viacom Inc. for the fiscal year ended December 31, 2001), as amended by a Letter Agreement dated as of January 31, 2005 (incorporated by reference to Exhibit 10.1 to the Current Report on Form 8-K of Viacom Inc. filed February 11, 2005) (File No. 001-09553).*</w:t>
      </w:r>
    </w:p>
    <w:p>
      <w:pPr>
        <w:spacing w:after="0" w:line="1" w:lineRule="exact"/>
        <w:rPr>
          <w:rFonts w:ascii="Arial" w:cs="Arial" w:eastAsia="Arial" w:hAnsi="Arial"/>
          <w:sz w:val="18"/>
          <w:szCs w:val="18"/>
          <w:color w:val="auto"/>
        </w:rPr>
      </w:pPr>
    </w:p>
    <w:p>
      <w:pPr>
        <w:ind w:left="1520" w:right="340" w:hanging="931"/>
        <w:spacing w:after="0" w:line="250" w:lineRule="auto"/>
        <w:tabs>
          <w:tab w:leader="none" w:pos="15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Agreement, dated as of May 1, 2000, between Viacom Inc. and Michael D. Fricklas (incorporated by reference to Exhibit 10.3 to the Quarterly Report on Form 10-Q of Viacom Inc. for the quarter ended September 30, 2000), as amended by Agreement dated April 1, 2003 (incorporated by reference to Exhibit 10(a) to the Quarterly Report of Viacom Inc. for the quarter ended March 31, 2003) (File No. 001-09553).*</w:t>
      </w:r>
    </w:p>
    <w:p>
      <w:pPr>
        <w:spacing w:after="0" w:line="1" w:lineRule="exact"/>
        <w:rPr>
          <w:rFonts w:ascii="Arial" w:cs="Arial" w:eastAsia="Arial" w:hAnsi="Arial"/>
          <w:sz w:val="18"/>
          <w:szCs w:val="18"/>
          <w:color w:val="auto"/>
        </w:rPr>
      </w:pPr>
    </w:p>
    <w:p>
      <w:pPr>
        <w:ind w:left="1520" w:hanging="931"/>
        <w:spacing w:after="0" w:line="250" w:lineRule="auto"/>
        <w:tabs>
          <w:tab w:leader="none" w:pos="15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Service Agreement, dated as of March 1, 1994, between George S. Abrams and Viacom Inc. (incorporated by reference to Exhibit 10(q) to the Annual Report on Form 10-K of Viacom Inc. for the fiscal year ended December 31, 1994) (File No. 001-09553).*</w:t>
      </w:r>
    </w:p>
    <w:p>
      <w:pPr>
        <w:spacing w:after="0" w:line="1" w:lineRule="exact"/>
        <w:rPr>
          <w:rFonts w:ascii="Arial" w:cs="Arial" w:eastAsia="Arial" w:hAnsi="Arial"/>
          <w:sz w:val="18"/>
          <w:szCs w:val="18"/>
          <w:color w:val="auto"/>
        </w:rPr>
      </w:pPr>
    </w:p>
    <w:p>
      <w:pPr>
        <w:ind w:left="1520" w:hanging="931"/>
        <w:spacing w:after="0"/>
        <w:tabs>
          <w:tab w:leader="none" w:pos="15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CBS Corporation ("CBS") plans assumed by Viacom Inc. after the merger with CBS, consisting of the following:</w:t>
      </w:r>
    </w:p>
    <w:p>
      <w:pPr>
        <w:spacing w:after="0" w:line="9" w:lineRule="exact"/>
        <w:rPr>
          <w:rFonts w:ascii="Arial" w:cs="Arial" w:eastAsia="Arial" w:hAnsi="Arial"/>
          <w:sz w:val="18"/>
          <w:szCs w:val="18"/>
          <w:color w:val="auto"/>
        </w:rPr>
      </w:pPr>
    </w:p>
    <w:p>
      <w:pPr>
        <w:ind w:left="2300" w:hanging="779"/>
        <w:spacing w:after="0" w:line="250" w:lineRule="auto"/>
        <w:tabs>
          <w:tab w:leader="none" w:pos="23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CBS 1991 Long-Term Incentive Plan (as amended as of July 28, 1999) (incorporated by reference to Exhibit 10.15 to the Quarterly Report on Form 10-Q of Infinity Broadcasting Corporation for the quarter ended September 30, 1999) (File No. 001-14599).*</w:t>
      </w:r>
    </w:p>
    <w:p>
      <w:pPr>
        <w:spacing w:after="0" w:line="1" w:lineRule="exact"/>
        <w:rPr>
          <w:rFonts w:ascii="Arial" w:cs="Arial" w:eastAsia="Arial" w:hAnsi="Arial"/>
          <w:sz w:val="18"/>
          <w:szCs w:val="18"/>
          <w:color w:val="auto"/>
        </w:rPr>
      </w:pPr>
    </w:p>
    <w:p>
      <w:pPr>
        <w:ind w:left="2300" w:hanging="779"/>
        <w:spacing w:after="0" w:line="250" w:lineRule="auto"/>
        <w:tabs>
          <w:tab w:leader="none" w:pos="23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CBS 1993 Long-Term Incentive Plan (as amended as of July 28, 1999) (incorporated by reference to Exhibit 10.16 to the Quarterly Report on Form 10-Q of Infinity Broadcasting Corporation for the quarter ended September 30, 1999) (File No. 001-14599).*</w:t>
      </w:r>
    </w:p>
    <w:p>
      <w:pPr>
        <w:spacing w:after="0" w:line="1" w:lineRule="exact"/>
        <w:rPr>
          <w:rFonts w:ascii="Arial" w:cs="Arial" w:eastAsia="Arial" w:hAnsi="Arial"/>
          <w:sz w:val="18"/>
          <w:szCs w:val="18"/>
          <w:color w:val="auto"/>
        </w:rPr>
      </w:pPr>
    </w:p>
    <w:p>
      <w:pPr>
        <w:ind w:left="2300" w:right="380" w:hanging="779"/>
        <w:spacing w:after="0" w:line="250" w:lineRule="auto"/>
        <w:tabs>
          <w:tab w:leader="none" w:pos="23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CBS Supplemental Executive Retirement Plan (as amended as of April 1, 1999) (incorporated by reference to Exhibit 10(h) to the Quarterly Report on Form 10-Q of CBS for the quarter ended September 30, 1999) (File No. 001-00977).*</w:t>
      </w:r>
    </w:p>
    <w:p>
      <w:pPr>
        <w:spacing w:after="0" w:line="1" w:lineRule="exact"/>
        <w:rPr>
          <w:rFonts w:ascii="Arial" w:cs="Arial" w:eastAsia="Arial" w:hAnsi="Arial"/>
          <w:sz w:val="18"/>
          <w:szCs w:val="18"/>
          <w:color w:val="auto"/>
        </w:rPr>
      </w:pPr>
    </w:p>
    <w:p>
      <w:pPr>
        <w:ind w:left="2300" w:right="60" w:hanging="779"/>
        <w:spacing w:after="0" w:line="250" w:lineRule="auto"/>
        <w:tabs>
          <w:tab w:leader="none" w:pos="23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CBS Bonus Supplemental Executive Retirement Plan (as amended as of April 1, 1999) (incorporated by reference to Exhibit 10(i) to the Quarterly Report on Form 10-Q of CBS for the quarter ended September 30, 1999) (File No. 001-00977).*</w:t>
      </w:r>
    </w:p>
    <w:p>
      <w:pPr>
        <w:spacing w:after="0" w:line="1" w:lineRule="exact"/>
        <w:rPr>
          <w:rFonts w:ascii="Arial" w:cs="Arial" w:eastAsia="Arial" w:hAnsi="Arial"/>
          <w:sz w:val="18"/>
          <w:szCs w:val="18"/>
          <w:color w:val="auto"/>
        </w:rPr>
      </w:pPr>
    </w:p>
    <w:p>
      <w:pPr>
        <w:ind w:left="2300" w:right="200" w:hanging="779"/>
        <w:spacing w:after="0" w:line="250" w:lineRule="auto"/>
        <w:tabs>
          <w:tab w:leader="none" w:pos="23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CBS Supplemental Employee Investment Fund (as amended as of January 1, 1998 (incorporated by reference to Exhibit 10(j) to the Quarterly Report on Form 10-Q of CBS for the quarter ended September 30, 1999) (File No. 001-00977).*</w:t>
      </w:r>
    </w:p>
    <w:p>
      <w:pPr>
        <w:spacing w:after="0" w:line="1" w:lineRule="exact"/>
        <w:rPr>
          <w:rFonts w:ascii="Arial" w:cs="Arial" w:eastAsia="Arial" w:hAnsi="Arial"/>
          <w:sz w:val="18"/>
          <w:szCs w:val="18"/>
          <w:color w:val="auto"/>
        </w:rPr>
      </w:pPr>
    </w:p>
    <w:p>
      <w:pPr>
        <w:ind w:left="2300" w:right="80" w:hanging="779"/>
        <w:spacing w:after="0" w:line="255" w:lineRule="auto"/>
        <w:tabs>
          <w:tab w:leader="none" w:pos="23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Director's Charitable Giving Program (as amended effective April 30, 1996) (incorporated by reference to Exhibit 10(g) to the Quarterly Report on Form 10-Q of CBS (f/k/a Westinghouse Electric Corporation) for the quarter ended June 30, 1996) (File No. 001-00977).*</w:t>
      </w:r>
    </w:p>
    <w:p>
      <w:pPr>
        <w:spacing w:after="0" w:line="33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Management contract or compensatory plan required to be filed as an exhibit to this form pursuant to Item 15(b).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1050290" cy="215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127" w:right="1279" w:bottom="1440" w:gutter="0" w:footer="0" w:header="0"/>
        </w:sectPr>
      </w:pPr>
    </w:p>
    <w:bookmarkStart w:id="127" w:name="page128"/>
    <w:bookmarkEnd w:id="127"/>
    <w:p>
      <w:pPr>
        <w:ind w:left="260"/>
        <w:spacing w:after="0"/>
        <w:tabs>
          <w:tab w:leader="none" w:pos="52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6667500" cy="215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6667500" cy="21590"/>
                    </a:xfrm>
                    <a:prstGeom prst="rect">
                      <a:avLst/>
                    </a:prstGeom>
                    <a:noFill/>
                  </pic:spPr>
                </pic:pic>
              </a:graphicData>
            </a:graphic>
          </wp:anchor>
        </w:drawing>
      </w:r>
    </w:p>
    <w:p>
      <w:pPr>
        <w:spacing w:after="0" w:line="215" w:lineRule="exact"/>
        <w:rPr>
          <w:sz w:val="20"/>
          <w:szCs w:val="20"/>
          <w:color w:val="auto"/>
        </w:rPr>
      </w:pPr>
    </w:p>
    <w:p>
      <w:pPr>
        <w:ind w:left="2420" w:right="80" w:hanging="913"/>
        <w:spacing w:after="0" w:line="253" w:lineRule="auto"/>
        <w:tabs>
          <w:tab w:leader="none" w:pos="24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CBS Deferred Compensation and Stock Plan for Directors (as amended as of February 24, 2000) (incorporated by reference to Exhibit 10(y)(ix) to the Annual Report on Form 10-K of Viacom Inc. for the fiscal year ended December 31, 2000) (File No. 001- 09553).*</w:t>
      </w:r>
    </w:p>
    <w:p>
      <w:pPr>
        <w:ind w:left="2420" w:right="20" w:hanging="913"/>
        <w:spacing w:after="0" w:line="281" w:lineRule="auto"/>
        <w:tabs>
          <w:tab w:leader="none" w:pos="24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Advisory Director's Plan Termination Fee Deferral Terms and Conditions, Effective April 30, 1996 (As Revised Effective February 24, 2000) (incorporated by reference to Exhibit 10(y)(x) to the Annual Report on Form 10-K of Viacom Inc. for the fiscal year ended December 31, 2000) (File No. 001-09553).*</w:t>
      </w:r>
    </w:p>
    <w:p>
      <w:pPr>
        <w:spacing w:after="0" w:line="2" w:lineRule="exact"/>
        <w:rPr>
          <w:rFonts w:ascii="Arial" w:cs="Arial" w:eastAsia="Arial" w:hAnsi="Arial"/>
          <w:sz w:val="16"/>
          <w:szCs w:val="16"/>
          <w:color w:val="auto"/>
        </w:rPr>
      </w:pPr>
    </w:p>
    <w:p>
      <w:pPr>
        <w:ind w:left="1500" w:right="160" w:hanging="911"/>
        <w:spacing w:after="0" w:line="250" w:lineRule="auto"/>
        <w:tabs>
          <w:tab w:leader="none" w:pos="1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Infinity Broadcasting Corporation ("Infinity") Stock Plan for Directors assumed by Viacom Inc. after the merger with Infinity (Effective as of February 24, 2000) (incorporated by reference to Exhibit 10(aa)(ii) to the Annual Report on Form 10-K of Viacom Inc. for the fiscal year ended December 31, 2002) (File No. 001-09553).*</w:t>
      </w:r>
    </w:p>
    <w:p>
      <w:pPr>
        <w:spacing w:after="0" w:line="1" w:lineRule="exact"/>
        <w:rPr>
          <w:rFonts w:ascii="Arial" w:cs="Arial" w:eastAsia="Arial" w:hAnsi="Arial"/>
          <w:sz w:val="18"/>
          <w:szCs w:val="18"/>
          <w:color w:val="auto"/>
        </w:rPr>
      </w:pPr>
    </w:p>
    <w:p>
      <w:pPr>
        <w:ind w:left="1500" w:hanging="911"/>
        <w:spacing w:after="0" w:line="281" w:lineRule="auto"/>
        <w:tabs>
          <w:tab w:leader="none" w:pos="1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Five-Year Credit Agreement, dated as of March 7, 2001, among Viacom Inc.; Viacom International Inc.; the Subsidiary Borrowers Parties thereto; the Lenders named therein; The Chase Manhattan Bank, as Administrative Agent; Salomon Smith Barney Inc., as Syndication Agent; and Bank of America, N.A. and Fleet National Bank, as Co-Documentation Agents (incorporated by reference to Exhibit 10(cc) to the Annual Report on Form 10-K of Viacom Inc. for the fiscal year ended December 31, 2000), as amended by Amendment No. 1 to Five-Year Credit Agreement dated as of March 5, 2002 (incorporated by reference to Exhibit 10(aa) to the Annual Report on Form 10-K of Viacom Inc. for the fiscal year ended December 31, 2001) (File No. 001-09553), Amendment No. 2 to the Five-Year Credit Agreement dated as of February 28, 2003 (incorporated by reference to Exhibit 10(ee) to the Annual Report on Form 10-K of Viacom Inc. for the fiscal year ended December 31, 2002) (File No. 001-09553) and Amendment No. 3 to the Five-Year Credit Agreement dated as of February 19, 2004 (incorporated by reference to Exhibit 10(y) to the Annual Report on Form 10-K of Viacom Inc. for the fiscal year ended December 31, 2003) (File No. 001-09553).</w:t>
      </w:r>
    </w:p>
    <w:p>
      <w:pPr>
        <w:spacing w:after="0" w:line="7" w:lineRule="exact"/>
        <w:rPr>
          <w:rFonts w:ascii="Arial" w:cs="Arial" w:eastAsia="Arial" w:hAnsi="Arial"/>
          <w:sz w:val="16"/>
          <w:szCs w:val="16"/>
          <w:color w:val="auto"/>
        </w:rPr>
      </w:pPr>
    </w:p>
    <w:p>
      <w:pPr>
        <w:ind w:left="1500" w:right="80" w:hanging="911"/>
        <w:spacing w:after="0" w:line="300" w:lineRule="auto"/>
        <w:tabs>
          <w:tab w:leader="none" w:pos="15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Five-Year Credit Agreement, dated as of February 19, 2004, among Viacom Inc., Viacom International Inc., the Subsidiary Borrowers Parties thereto, the Lenders named therein, JPMorgan Chase Bank, as Administrative Agent, Citibank, N.A., as Co-</w:t>
      </w:r>
    </w:p>
    <w:p>
      <w:pPr>
        <w:spacing w:after="0" w:line="1" w:lineRule="exact"/>
        <w:rPr>
          <w:sz w:val="20"/>
          <w:szCs w:val="20"/>
          <w:color w:val="auto"/>
        </w:rPr>
      </w:pPr>
    </w:p>
    <w:p>
      <w:pPr>
        <w:jc w:val="both"/>
        <w:ind w:left="1500" w:right="100"/>
        <w:spacing w:after="0" w:line="281" w:lineRule="auto"/>
        <w:rPr>
          <w:sz w:val="20"/>
          <w:szCs w:val="20"/>
          <w:color w:val="auto"/>
        </w:rPr>
      </w:pPr>
      <w:r>
        <w:rPr>
          <w:rFonts w:ascii="Arial" w:cs="Arial" w:eastAsia="Arial" w:hAnsi="Arial"/>
          <w:sz w:val="16"/>
          <w:szCs w:val="16"/>
          <w:color w:val="auto"/>
        </w:rPr>
        <w:t>Syndication Agent and Bank of America, N.A., Deutsche Bank Securities, Inc., and The Bank of Tokyo-Mitsubishi, Ltd., New York Branch, as Co-Documentation Agents (incorporated by reference to Exhibit 10(z) to the Annual Report on Form 10-K of Viacom Inc. for the fiscal year ended December 31, 2003) (File No. 001-09553).</w:t>
      </w:r>
    </w:p>
    <w:p>
      <w:pPr>
        <w:spacing w:after="0" w:line="2" w:lineRule="exact"/>
        <w:rPr>
          <w:sz w:val="20"/>
          <w:szCs w:val="20"/>
          <w:color w:val="auto"/>
        </w:rPr>
      </w:pPr>
    </w:p>
    <w:p>
      <w:pPr>
        <w:jc w:val="both"/>
        <w:ind w:left="1500" w:right="320" w:hanging="911"/>
        <w:spacing w:after="0" w:line="255" w:lineRule="auto"/>
        <w:tabs>
          <w:tab w:leader="none" w:pos="15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Agreement among Viacom Inc., NAIRI, Inc. and National Amusements, Inc. dated as of October 28, 2004 (incorporated by reference to Exhibit 10(a) to the Quarterly Report on Form 10-Q of Viacom Inc. for the quarter ended September 30, 2004) (File No. 001-09553).</w:t>
      </w:r>
    </w:p>
    <w:p>
      <w:pPr>
        <w:spacing w:after="0" w:line="33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Management contract or compensatory plan required to be filed as an exhibit to this form pursuant to Item 15(b).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1050290" cy="215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127" w:right="1159" w:bottom="1440" w:gutter="0" w:footer="0" w:header="0"/>
        </w:sectPr>
      </w:pPr>
    </w:p>
    <w:bookmarkStart w:id="128" w:name="page129"/>
    <w:bookmarkEnd w:id="128"/>
    <w:p>
      <w:pPr>
        <w:ind w:left="292"/>
        <w:spacing w:after="0"/>
        <w:tabs>
          <w:tab w:leader="none" w:pos="5192"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6530340" cy="215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6530340" cy="21590"/>
                    </a:xfrm>
                    <a:prstGeom prst="rect">
                      <a:avLst/>
                    </a:prstGeom>
                    <a:noFill/>
                  </pic:spPr>
                </pic:pic>
              </a:graphicData>
            </a:graphic>
          </wp:anchor>
        </w:drawing>
      </w:r>
    </w:p>
    <w:p>
      <w:pPr>
        <w:spacing w:after="0" w:line="209" w:lineRule="exact"/>
        <w:rPr>
          <w:sz w:val="20"/>
          <w:szCs w:val="20"/>
          <w:color w:val="auto"/>
        </w:rPr>
      </w:pPr>
    </w:p>
    <w:p>
      <w:pPr>
        <w:ind w:left="1572" w:hanging="1572"/>
        <w:spacing w:after="0"/>
        <w:tabs>
          <w:tab w:leader="none" w:pos="157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Statement re Computations of Ratios (filed herewith)</w:t>
      </w:r>
      <w:r>
        <w:rPr>
          <w:rFonts w:ascii="Arial" w:cs="Arial" w:eastAsia="Arial" w:hAnsi="Arial"/>
          <w:sz w:val="18"/>
          <w:szCs w:val="18"/>
          <w:color w:val="auto"/>
        </w:rPr>
        <w:t>.</w:t>
      </w:r>
    </w:p>
    <w:p>
      <w:pPr>
        <w:spacing w:after="0" w:line="21" w:lineRule="exact"/>
        <w:rPr>
          <w:sz w:val="20"/>
          <w:szCs w:val="20"/>
          <w:color w:val="auto"/>
        </w:rPr>
      </w:pPr>
    </w:p>
    <w:p>
      <w:pPr>
        <w:ind w:left="1572" w:hanging="1572"/>
        <w:spacing w:after="0"/>
        <w:tabs>
          <w:tab w:leader="none" w:pos="1572"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Subsidiaries of Viacom Inc. (filed herewith).</w:t>
      </w:r>
    </w:p>
    <w:p>
      <w:pPr>
        <w:spacing w:after="0" w:line="9" w:lineRule="exact"/>
        <w:rPr>
          <w:sz w:val="20"/>
          <w:szCs w:val="20"/>
          <w:color w:val="auto"/>
        </w:rPr>
      </w:pPr>
    </w:p>
    <w:p>
      <w:pPr>
        <w:ind w:left="1572" w:hanging="1572"/>
        <w:spacing w:after="0"/>
        <w:tabs>
          <w:tab w:leader="none" w:pos="1572"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Consents of Experts and Counsel</w:t>
      </w:r>
    </w:p>
    <w:p>
      <w:pPr>
        <w:spacing w:after="0" w:line="9" w:lineRule="exact"/>
        <w:rPr>
          <w:rFonts w:ascii="Arial" w:cs="Arial" w:eastAsia="Arial" w:hAnsi="Arial"/>
          <w:sz w:val="18"/>
          <w:szCs w:val="18"/>
          <w:color w:val="auto"/>
        </w:rPr>
      </w:pPr>
    </w:p>
    <w:p>
      <w:pPr>
        <w:ind w:left="1572" w:hanging="897"/>
        <w:spacing w:after="0"/>
        <w:tabs>
          <w:tab w:leader="none" w:pos="1572"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Consent of PricewaterhouseCoopers LLP (filed herewith).</w:t>
      </w:r>
    </w:p>
    <w:p>
      <w:pPr>
        <w:spacing w:after="0" w:line="9" w:lineRule="exact"/>
        <w:rPr>
          <w:sz w:val="20"/>
          <w:szCs w:val="20"/>
          <w:color w:val="auto"/>
        </w:rPr>
      </w:pPr>
    </w:p>
    <w:p>
      <w:pPr>
        <w:ind w:left="1572" w:hanging="1572"/>
        <w:spacing w:after="0"/>
        <w:tabs>
          <w:tab w:leader="none" w:pos="1572"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Powers of Attorney (filed herewith).</w:t>
      </w:r>
    </w:p>
    <w:p>
      <w:pPr>
        <w:spacing w:after="0" w:line="9" w:lineRule="exact"/>
        <w:rPr>
          <w:sz w:val="20"/>
          <w:szCs w:val="20"/>
          <w:color w:val="auto"/>
        </w:rPr>
      </w:pPr>
    </w:p>
    <w:p>
      <w:pPr>
        <w:ind w:left="1572" w:hanging="1572"/>
        <w:spacing w:after="0"/>
        <w:tabs>
          <w:tab w:leader="none" w:pos="1572"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Rule 13a-14(a)/15d-14(a) Certifications</w:t>
      </w:r>
    </w:p>
    <w:p>
      <w:pPr>
        <w:spacing w:after="0" w:line="9" w:lineRule="exact"/>
        <w:rPr>
          <w:rFonts w:ascii="Arial" w:cs="Arial" w:eastAsia="Arial" w:hAnsi="Arial"/>
          <w:sz w:val="18"/>
          <w:szCs w:val="18"/>
          <w:color w:val="auto"/>
        </w:rPr>
      </w:pPr>
    </w:p>
    <w:p>
      <w:pPr>
        <w:ind w:left="1572" w:hanging="897"/>
        <w:spacing w:after="0" w:line="250" w:lineRule="auto"/>
        <w:tabs>
          <w:tab w:leader="none" w:pos="1572" w:val="left"/>
        </w:tabs>
        <w:numPr>
          <w:ilvl w:val="1"/>
          <w:numId w:val="53"/>
        </w:numPr>
        <w:rPr>
          <w:rFonts w:ascii="Arial" w:cs="Arial" w:eastAsia="Arial" w:hAnsi="Arial"/>
          <w:sz w:val="18"/>
          <w:szCs w:val="18"/>
          <w:color w:val="auto"/>
        </w:rPr>
      </w:pPr>
      <w:r>
        <w:rPr>
          <w:rFonts w:ascii="Arial" w:cs="Arial" w:eastAsia="Arial" w:hAnsi="Arial"/>
          <w:sz w:val="18"/>
          <w:szCs w:val="18"/>
          <w:color w:val="auto"/>
        </w:rPr>
        <w:t>Certification of the Chief Executive Officer of Viacom Inc. pursuant to Rule 13a-14(a) or 15d-14(a), as adopted pursuant to Section 302 of the Sarbanes-Oxley Act of 2002 (filed herewith).</w:t>
      </w:r>
    </w:p>
    <w:p>
      <w:pPr>
        <w:ind w:left="1572" w:right="40" w:hanging="897"/>
        <w:spacing w:after="0" w:line="250" w:lineRule="auto"/>
        <w:tabs>
          <w:tab w:leader="none" w:pos="1572" w:val="left"/>
        </w:tabs>
        <w:numPr>
          <w:ilvl w:val="1"/>
          <w:numId w:val="53"/>
        </w:numPr>
        <w:rPr>
          <w:rFonts w:ascii="Arial" w:cs="Arial" w:eastAsia="Arial" w:hAnsi="Arial"/>
          <w:sz w:val="18"/>
          <w:szCs w:val="18"/>
          <w:color w:val="auto"/>
        </w:rPr>
      </w:pPr>
      <w:r>
        <w:rPr>
          <w:rFonts w:ascii="Arial" w:cs="Arial" w:eastAsia="Arial" w:hAnsi="Arial"/>
          <w:sz w:val="18"/>
          <w:szCs w:val="18"/>
          <w:color w:val="auto"/>
        </w:rPr>
        <w:t>Certification of the Chief Financial Officer of Viacom Inc. pursuant to Rule 13a-14(a) or 15d-14(a), as adopted pursuant to Section 302 of the Sarbanes-Oxley Act of 2002 (filed herewith).</w:t>
      </w:r>
    </w:p>
    <w:p>
      <w:pPr>
        <w:spacing w:after="0" w:line="1" w:lineRule="exact"/>
        <w:rPr>
          <w:sz w:val="20"/>
          <w:szCs w:val="20"/>
          <w:color w:val="auto"/>
        </w:rPr>
      </w:pPr>
    </w:p>
    <w:p>
      <w:pPr>
        <w:ind w:left="1572" w:hanging="1572"/>
        <w:spacing w:after="0"/>
        <w:tabs>
          <w:tab w:leader="none" w:pos="1572"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Section 1350 Certifications</w:t>
      </w:r>
    </w:p>
    <w:p>
      <w:pPr>
        <w:spacing w:after="0" w:line="9" w:lineRule="exact"/>
        <w:rPr>
          <w:rFonts w:ascii="Arial" w:cs="Arial" w:eastAsia="Arial" w:hAnsi="Arial"/>
          <w:sz w:val="18"/>
          <w:szCs w:val="18"/>
          <w:color w:val="auto"/>
        </w:rPr>
      </w:pPr>
    </w:p>
    <w:p>
      <w:pPr>
        <w:ind w:left="1572" w:right="440" w:hanging="897"/>
        <w:spacing w:after="0" w:line="250" w:lineRule="auto"/>
        <w:tabs>
          <w:tab w:leader="none" w:pos="1572" w:val="left"/>
        </w:tabs>
        <w:numPr>
          <w:ilvl w:val="1"/>
          <w:numId w:val="54"/>
        </w:numPr>
        <w:rPr>
          <w:rFonts w:ascii="Arial" w:cs="Arial" w:eastAsia="Arial" w:hAnsi="Arial"/>
          <w:sz w:val="18"/>
          <w:szCs w:val="18"/>
          <w:color w:val="auto"/>
        </w:rPr>
      </w:pPr>
      <w:r>
        <w:rPr>
          <w:rFonts w:ascii="Arial" w:cs="Arial" w:eastAsia="Arial" w:hAnsi="Arial"/>
          <w:sz w:val="18"/>
          <w:szCs w:val="18"/>
          <w:color w:val="auto"/>
        </w:rPr>
        <w:t>Certification of the Chief Executive Officer of Viacom Inc. furnished pursuant to 18 U.S.C. Section 1350, as adopted pursuant to Section 906 of the Sarbanes-Oxley Act of 2002 (furnished herewith).</w:t>
      </w:r>
    </w:p>
    <w:p>
      <w:pPr>
        <w:ind w:left="1572" w:right="500" w:hanging="897"/>
        <w:spacing w:after="0" w:line="261" w:lineRule="auto"/>
        <w:tabs>
          <w:tab w:leader="none" w:pos="1572" w:val="left"/>
        </w:tabs>
        <w:numPr>
          <w:ilvl w:val="1"/>
          <w:numId w:val="54"/>
        </w:numPr>
        <w:rPr>
          <w:rFonts w:ascii="Arial" w:cs="Arial" w:eastAsia="Arial" w:hAnsi="Arial"/>
          <w:sz w:val="18"/>
          <w:szCs w:val="18"/>
          <w:color w:val="auto"/>
        </w:rPr>
      </w:pPr>
      <w:r>
        <w:rPr>
          <w:rFonts w:ascii="Arial" w:cs="Arial" w:eastAsia="Arial" w:hAnsi="Arial"/>
          <w:sz w:val="18"/>
          <w:szCs w:val="18"/>
          <w:color w:val="auto"/>
        </w:rPr>
        <w:t>Certification of the Chief Financial Officer of Viacom Inc. furnished pursuant to 18 U.S.C. Section 1350, as adopted pursuant to Section 906 of the Sarbanes-Oxley Act of 2002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56515</wp:posOffset>
            </wp:positionV>
            <wp:extent cx="1050290" cy="215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20" w:lineRule="exact"/>
        <w:rPr>
          <w:sz w:val="20"/>
          <w:szCs w:val="20"/>
          <w:color w:val="auto"/>
        </w:rPr>
      </w:pPr>
    </w:p>
    <w:p>
      <w:pPr>
        <w:ind w:left="5572" w:right="1780" w:hanging="5572"/>
        <w:spacing w:after="0" w:line="519" w:lineRule="auto"/>
        <w:tabs>
          <w:tab w:leader="none" w:pos="533"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as an exhibit to this form pursuant to Item 15(b).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50430" cy="215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52"/>
          </w:cols>
          <w:pgMar w:left="248" w:top="127" w:right="139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INDEX TO FINANCIAL STATEMENTS AND SCHEDULE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consolidated financial statements and schedule of the registrant and its subsidiaries are submitted herewith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5"/>
              </w:rPr>
              <w:t>Reference</w:t>
            </w: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4"/>
              </w:rPr>
              <w:t>(Page/s)</w:t>
            </w:r>
          </w:p>
        </w:tc>
        <w:tc>
          <w:tcPr>
            <w:tcW w:w="0" w:type="dxa"/>
            <w:vAlign w:val="bottom"/>
          </w:tcPr>
          <w:p>
            <w:pPr>
              <w:spacing w:after="0"/>
              <w:rPr>
                <w:sz w:val="1"/>
                <w:szCs w:val="1"/>
                <w:color w:val="auto"/>
              </w:rPr>
            </w:pPr>
          </w:p>
        </w:tc>
      </w:tr>
      <w:tr>
        <w:trPr>
          <w:trHeight w:val="105"/>
        </w:trPr>
        <w:tc>
          <w:tcPr>
            <w:tcW w:w="7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15(a) (1) Financial Statements:</w:t>
            </w:r>
          </w:p>
        </w:tc>
        <w:tc>
          <w:tcPr>
            <w:tcW w:w="1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62"/>
        </w:trPr>
        <w:tc>
          <w:tcPr>
            <w:tcW w:w="784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7540" w:type="dxa"/>
            <w:vAlign w:val="bottom"/>
          </w:tcPr>
          <w:p>
            <w:pPr>
              <w:ind w:left="160"/>
              <w:spacing w:after="0"/>
              <w:rPr>
                <w:sz w:val="20"/>
                <w:szCs w:val="20"/>
                <w:color w:val="auto"/>
              </w:rPr>
            </w:pPr>
            <w:r>
              <w:rPr>
                <w:rFonts w:ascii="Arial" w:cs="Arial" w:eastAsia="Arial" w:hAnsi="Arial"/>
                <w:sz w:val="18"/>
                <w:szCs w:val="18"/>
                <w:color w:val="auto"/>
              </w:rPr>
              <w:t>Management's Statement of Responsibility for Financial Reporting</w:t>
            </w: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II-31</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7540" w:type="dxa"/>
            <w:vAlign w:val="bottom"/>
          </w:tcPr>
          <w:p>
            <w:pPr>
              <w:ind w:left="160"/>
              <w:spacing w:after="0"/>
              <w:rPr>
                <w:sz w:val="20"/>
                <w:szCs w:val="20"/>
                <w:color w:val="auto"/>
              </w:rPr>
            </w:pPr>
            <w:r>
              <w:rPr>
                <w:rFonts w:ascii="Arial" w:cs="Arial" w:eastAsia="Arial" w:hAnsi="Arial"/>
                <w:sz w:val="18"/>
                <w:szCs w:val="18"/>
                <w:color w:val="auto"/>
              </w:rPr>
              <w:t>Report of Independent Registered Public Accounting Firm</w:t>
            </w: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II-32</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7540" w:type="dxa"/>
            <w:vAlign w:val="bottom"/>
          </w:tcPr>
          <w:p>
            <w:pPr>
              <w:ind w:left="160"/>
              <w:spacing w:after="0"/>
              <w:rPr>
                <w:sz w:val="20"/>
                <w:szCs w:val="20"/>
                <w:color w:val="auto"/>
              </w:rPr>
            </w:pPr>
            <w:r>
              <w:rPr>
                <w:rFonts w:ascii="Arial" w:cs="Arial" w:eastAsia="Arial" w:hAnsi="Arial"/>
                <w:sz w:val="18"/>
                <w:szCs w:val="18"/>
                <w:color w:val="auto"/>
                <w:w w:val="95"/>
              </w:rPr>
              <w:t>Consolidated Statements of Operations for the years ended December 31, 2004, 2003 and 2002</w:t>
            </w: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II-34</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4.</w:t>
            </w:r>
          </w:p>
        </w:tc>
        <w:tc>
          <w:tcPr>
            <w:tcW w:w="7540" w:type="dxa"/>
            <w:vAlign w:val="bottom"/>
          </w:tcPr>
          <w:p>
            <w:pPr>
              <w:ind w:left="160"/>
              <w:spacing w:after="0"/>
              <w:rPr>
                <w:sz w:val="20"/>
                <w:szCs w:val="20"/>
                <w:color w:val="auto"/>
              </w:rPr>
            </w:pPr>
            <w:r>
              <w:rPr>
                <w:rFonts w:ascii="Arial" w:cs="Arial" w:eastAsia="Arial" w:hAnsi="Arial"/>
                <w:sz w:val="18"/>
                <w:szCs w:val="18"/>
                <w:color w:val="auto"/>
              </w:rPr>
              <w:t>Consolidated Balance Sheets as of December 31, 2004 and 2003</w:t>
            </w: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II-35</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5.</w:t>
            </w:r>
          </w:p>
        </w:tc>
        <w:tc>
          <w:tcPr>
            <w:tcW w:w="7540" w:type="dxa"/>
            <w:vAlign w:val="bottom"/>
          </w:tcPr>
          <w:p>
            <w:pPr>
              <w:ind w:left="160"/>
              <w:spacing w:after="0"/>
              <w:rPr>
                <w:sz w:val="20"/>
                <w:szCs w:val="20"/>
                <w:color w:val="auto"/>
              </w:rPr>
            </w:pPr>
            <w:r>
              <w:rPr>
                <w:rFonts w:ascii="Arial" w:cs="Arial" w:eastAsia="Arial" w:hAnsi="Arial"/>
                <w:sz w:val="18"/>
                <w:szCs w:val="18"/>
                <w:color w:val="auto"/>
                <w:w w:val="95"/>
              </w:rPr>
              <w:t>Consolidated Statements of Cash Flows for the years ended December 31, 2004, 2003 and 2002</w:t>
            </w: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II-36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-1743075</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-1743075</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Consolidated Statements of Stockholders' Equity and Comprehensive Income for the years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19"/>
                <w:szCs w:val="19"/>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December 31, 2004, 2003 and 2002</w:t>
            </w:r>
          </w:p>
        </w:tc>
        <w:tc>
          <w:tcPr>
            <w:tcW w:w="3120" w:type="dxa"/>
            <w:vAlign w:val="bottom"/>
          </w:tcPr>
          <w:p>
            <w:pPr>
              <w:jc w:val="center"/>
              <w:ind w:left="2172"/>
              <w:spacing w:after="0"/>
              <w:rPr>
                <w:sz w:val="20"/>
                <w:szCs w:val="20"/>
                <w:color w:val="auto"/>
              </w:rPr>
            </w:pPr>
            <w:r>
              <w:rPr>
                <w:rFonts w:ascii="Arial" w:cs="Arial" w:eastAsia="Arial" w:hAnsi="Arial"/>
                <w:sz w:val="18"/>
                <w:szCs w:val="18"/>
                <w:color w:val="auto"/>
                <w:w w:val="94"/>
              </w:rPr>
              <w:t>II-37</w:t>
            </w:r>
          </w:p>
        </w:tc>
      </w:tr>
      <w:tr>
        <w:trPr>
          <w:trHeight w:val="426"/>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7.</w:t>
            </w:r>
          </w:p>
        </w:tc>
        <w:tc>
          <w:tcPr>
            <w:tcW w:w="5500" w:type="dxa"/>
            <w:vAlign w:val="bottom"/>
          </w:tcPr>
          <w:p>
            <w:pPr>
              <w:ind w:left="160"/>
              <w:spacing w:after="0"/>
              <w:rPr>
                <w:sz w:val="20"/>
                <w:szCs w:val="20"/>
                <w:color w:val="auto"/>
              </w:rPr>
            </w:pPr>
            <w:r>
              <w:rPr>
                <w:rFonts w:ascii="Arial" w:cs="Arial" w:eastAsia="Arial" w:hAnsi="Arial"/>
                <w:sz w:val="18"/>
                <w:szCs w:val="18"/>
                <w:color w:val="auto"/>
              </w:rPr>
              <w:t>Notes to Consolidated Financial Statements</w:t>
            </w:r>
          </w:p>
        </w:tc>
        <w:tc>
          <w:tcPr>
            <w:tcW w:w="3120" w:type="dxa"/>
            <w:vAlign w:val="bottom"/>
          </w:tcPr>
          <w:p>
            <w:pPr>
              <w:jc w:val="center"/>
              <w:ind w:left="2172"/>
              <w:spacing w:after="0"/>
              <w:rPr>
                <w:sz w:val="20"/>
                <w:szCs w:val="20"/>
                <w:color w:val="auto"/>
              </w:rPr>
            </w:pPr>
            <w:r>
              <w:rPr>
                <w:rFonts w:ascii="Arial" w:cs="Arial" w:eastAsia="Arial" w:hAnsi="Arial"/>
                <w:sz w:val="18"/>
                <w:szCs w:val="18"/>
                <w:color w:val="auto"/>
                <w:w w:val="97"/>
              </w:rPr>
              <w:t>II-38 - II-82</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 (2) Financial Statement Schedule</w:t>
      </w:r>
      <w:r>
        <w:rPr>
          <w:rFonts w:ascii="Arial" w:cs="Arial" w:eastAsia="Arial" w:hAnsi="Arial"/>
          <w:sz w:val="18"/>
          <w:szCs w:val="18"/>
          <w:color w:val="auto"/>
        </w:rPr>
        <w:t>:</w:t>
      </w:r>
    </w:p>
    <w:p>
      <w:pPr>
        <w:spacing w:after="0" w:line="231" w:lineRule="exact"/>
        <w:rPr>
          <w:sz w:val="20"/>
          <w:szCs w:val="20"/>
          <w:color w:val="auto"/>
        </w:rPr>
      </w:pPr>
    </w:p>
    <w:p>
      <w:pPr>
        <w:ind w:left="460"/>
        <w:spacing w:after="0"/>
        <w:tabs>
          <w:tab w:leader="none" w:pos="8340" w:val="left"/>
        </w:tabs>
        <w:rPr>
          <w:sz w:val="20"/>
          <w:szCs w:val="20"/>
          <w:color w:val="auto"/>
        </w:rPr>
      </w:pPr>
      <w:r>
        <w:rPr>
          <w:rFonts w:ascii="Arial" w:cs="Arial" w:eastAsia="Arial" w:hAnsi="Arial"/>
          <w:sz w:val="18"/>
          <w:szCs w:val="18"/>
          <w:color w:val="auto"/>
        </w:rPr>
        <w:t>II. Valuation and qualifying accounts</w:t>
      </w:r>
      <w:r>
        <w:rPr>
          <w:sz w:val="20"/>
          <w:szCs w:val="20"/>
          <w:color w:val="auto"/>
        </w:rPr>
        <w:tab/>
      </w:r>
      <w:r>
        <w:rPr>
          <w:rFonts w:ascii="Arial" w:cs="Arial" w:eastAsia="Arial" w:hAnsi="Arial"/>
          <w:sz w:val="16"/>
          <w:szCs w:val="16"/>
          <w:color w:val="auto"/>
        </w:rPr>
        <w:t>F-2</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All other Schedules are omitted since the required information is not present or is not present in amounts sufficient to require submission of the schedule.</w:t>
      </w:r>
    </w:p>
    <w:p>
      <w:pPr>
        <w:spacing w:after="0" w:line="2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80" w:type="dxa"/>
            <w:vAlign w:val="bottom"/>
          </w:tcPr>
          <w:p>
            <w:pPr>
              <w:ind w:left="1300"/>
              <w:spacing w:after="0"/>
              <w:rPr>
                <w:sz w:val="20"/>
                <w:szCs w:val="20"/>
                <w:color w:val="auto"/>
              </w:rPr>
            </w:pPr>
            <w:r>
              <w:rPr>
                <w:rFonts w:ascii="Arial" w:cs="Arial" w:eastAsia="Arial" w:hAnsi="Arial"/>
                <w:sz w:val="14"/>
                <w:szCs w:val="14"/>
                <w:b w:val="1"/>
                <w:bCs w:val="1"/>
                <w:color w:val="auto"/>
              </w:rPr>
              <w:t>Col. A</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38"/>
              <w:spacing w:after="0"/>
              <w:rPr>
                <w:sz w:val="20"/>
                <w:szCs w:val="20"/>
                <w:color w:val="auto"/>
              </w:rPr>
            </w:pPr>
            <w:r>
              <w:rPr>
                <w:rFonts w:ascii="Arial" w:cs="Arial" w:eastAsia="Arial" w:hAnsi="Arial"/>
                <w:sz w:val="14"/>
                <w:szCs w:val="14"/>
                <w:b w:val="1"/>
                <w:bCs w:val="1"/>
                <w:color w:val="auto"/>
                <w:w w:val="88"/>
              </w:rPr>
              <w:t>Col. B</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798"/>
              <w:spacing w:after="0"/>
              <w:rPr>
                <w:sz w:val="20"/>
                <w:szCs w:val="20"/>
                <w:color w:val="auto"/>
              </w:rPr>
            </w:pPr>
            <w:r>
              <w:rPr>
                <w:rFonts w:ascii="Arial" w:cs="Arial" w:eastAsia="Arial" w:hAnsi="Arial"/>
                <w:sz w:val="14"/>
                <w:szCs w:val="14"/>
                <w:b w:val="1"/>
                <w:bCs w:val="1"/>
                <w:color w:val="auto"/>
                <w:w w:val="83"/>
              </w:rPr>
              <w:t>Col. C</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Col. D</w:t>
            </w:r>
          </w:p>
        </w:tc>
        <w:tc>
          <w:tcPr>
            <w:tcW w:w="120" w:type="dxa"/>
            <w:vAlign w:val="bottom"/>
          </w:tcPr>
          <w:p>
            <w:pPr>
              <w:spacing w:after="0"/>
              <w:rPr>
                <w:sz w:val="15"/>
                <w:szCs w:val="15"/>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Col. E</w:t>
            </w:r>
          </w:p>
        </w:tc>
      </w:tr>
      <w:tr>
        <w:trPr>
          <w:trHeight w:val="105"/>
        </w:trPr>
        <w:tc>
          <w:tcPr>
            <w:tcW w:w="2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241"/>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center"/>
              <w:ind w:right="138"/>
              <w:spacing w:after="0"/>
              <w:rPr>
                <w:sz w:val="20"/>
                <w:szCs w:val="20"/>
                <w:color w:val="auto"/>
              </w:rPr>
            </w:pPr>
            <w:r>
              <w:rPr>
                <w:rFonts w:ascii="Arial" w:cs="Arial" w:eastAsia="Arial" w:hAnsi="Arial"/>
                <w:sz w:val="14"/>
                <w:szCs w:val="14"/>
                <w:b w:val="1"/>
                <w:bCs w:val="1"/>
                <w:color w:val="auto"/>
                <w:w w:val="85"/>
              </w:rPr>
              <w:t>Balance at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center"/>
              <w:ind w:right="217"/>
              <w:spacing w:after="0"/>
              <w:rPr>
                <w:sz w:val="20"/>
                <w:szCs w:val="20"/>
                <w:color w:val="auto"/>
              </w:rPr>
            </w:pPr>
            <w:r>
              <w:rPr>
                <w:rFonts w:ascii="Arial" w:cs="Arial" w:eastAsia="Arial" w:hAnsi="Arial"/>
                <w:sz w:val="14"/>
                <w:szCs w:val="14"/>
                <w:b w:val="1"/>
                <w:bCs w:val="1"/>
                <w:color w:val="auto"/>
                <w:w w:val="85"/>
              </w:rPr>
              <w:t>Balance</w:t>
            </w:r>
          </w:p>
        </w:tc>
        <w:tc>
          <w:tcPr>
            <w:tcW w:w="160" w:type="dxa"/>
            <w:vAlign w:val="bottom"/>
          </w:tcPr>
          <w:p>
            <w:pPr>
              <w:spacing w:after="0"/>
              <w:rPr>
                <w:sz w:val="20"/>
                <w:szCs w:val="20"/>
                <w:color w:val="auto"/>
              </w:rPr>
            </w:pPr>
          </w:p>
        </w:tc>
        <w:tc>
          <w:tcPr>
            <w:tcW w:w="1240" w:type="dxa"/>
            <w:vAlign w:val="bottom"/>
          </w:tcPr>
          <w:p>
            <w:pPr>
              <w:jc w:val="center"/>
              <w:ind w:right="78"/>
              <w:spacing w:after="0"/>
              <w:rPr>
                <w:sz w:val="20"/>
                <w:szCs w:val="20"/>
                <w:color w:val="auto"/>
              </w:rPr>
            </w:pPr>
            <w:r>
              <w:rPr>
                <w:rFonts w:ascii="Arial" w:cs="Arial" w:eastAsia="Arial" w:hAnsi="Arial"/>
                <w:sz w:val="14"/>
                <w:szCs w:val="14"/>
                <w:b w:val="1"/>
                <w:bCs w:val="1"/>
                <w:color w:val="auto"/>
                <w:w w:val="86"/>
              </w:rPr>
              <w:t>Charged to</w:t>
            </w:r>
          </w:p>
        </w:tc>
        <w:tc>
          <w:tcPr>
            <w:tcW w:w="24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Charged</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86"/>
              </w:rPr>
              <w:t>Acquired through</w:t>
            </w:r>
          </w:p>
        </w:tc>
        <w:tc>
          <w:tcPr>
            <w:tcW w:w="160" w:type="dxa"/>
            <w:vAlign w:val="bottom"/>
          </w:tcPr>
          <w:p>
            <w:pPr>
              <w:spacing w:after="0"/>
              <w:rPr>
                <w:sz w:val="12"/>
                <w:szCs w:val="12"/>
                <w:color w:val="auto"/>
              </w:rPr>
            </w:pPr>
          </w:p>
        </w:tc>
        <w:tc>
          <w:tcPr>
            <w:tcW w:w="12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2"/>
              </w:rPr>
              <w:t>Costs and</w:t>
            </w:r>
          </w:p>
        </w:tc>
        <w:tc>
          <w:tcPr>
            <w:tcW w:w="240" w:type="dxa"/>
            <w:vAlign w:val="bottom"/>
          </w:tcPr>
          <w:p>
            <w:pPr>
              <w:spacing w:after="0"/>
              <w:rPr>
                <w:sz w:val="12"/>
                <w:szCs w:val="12"/>
                <w:color w:val="auto"/>
              </w:rPr>
            </w:pPr>
          </w:p>
        </w:tc>
        <w:tc>
          <w:tcPr>
            <w:tcW w:w="10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 Other</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7"/>
              </w:rPr>
              <w:t>End of</w:t>
            </w:r>
          </w:p>
        </w:tc>
      </w:tr>
      <w:tr>
        <w:trPr>
          <w:trHeight w:val="174"/>
        </w:trPr>
        <w:tc>
          <w:tcPr>
            <w:tcW w:w="298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38"/>
              <w:spacing w:after="0"/>
              <w:rPr>
                <w:sz w:val="20"/>
                <w:szCs w:val="20"/>
                <w:color w:val="auto"/>
              </w:rPr>
            </w:pPr>
            <w:r>
              <w:rPr>
                <w:rFonts w:ascii="Arial" w:cs="Arial" w:eastAsia="Arial" w:hAnsi="Arial"/>
                <w:sz w:val="14"/>
                <w:szCs w:val="14"/>
                <w:b w:val="1"/>
                <w:bCs w:val="1"/>
                <w:color w:val="auto"/>
                <w:w w:val="85"/>
              </w:rPr>
              <w:t>of Period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center"/>
              <w:ind w:right="217"/>
              <w:spacing w:after="0"/>
              <w:rPr>
                <w:sz w:val="20"/>
                <w:szCs w:val="20"/>
                <w:color w:val="auto"/>
              </w:rPr>
            </w:pPr>
            <w:r>
              <w:rPr>
                <w:rFonts w:ascii="Arial" w:cs="Arial" w:eastAsia="Arial" w:hAnsi="Arial"/>
                <w:sz w:val="14"/>
                <w:szCs w:val="14"/>
                <w:b w:val="1"/>
                <w:bCs w:val="1"/>
                <w:color w:val="auto"/>
                <w:w w:val="83"/>
              </w:rPr>
              <w:t>Acquisitions</w:t>
            </w:r>
          </w:p>
        </w:tc>
        <w:tc>
          <w:tcPr>
            <w:tcW w:w="160" w:type="dxa"/>
            <w:vAlign w:val="bottom"/>
          </w:tcPr>
          <w:p>
            <w:pPr>
              <w:spacing w:after="0"/>
              <w:rPr>
                <w:sz w:val="15"/>
                <w:szCs w:val="15"/>
                <w:color w:val="auto"/>
              </w:rPr>
            </w:pPr>
          </w:p>
        </w:tc>
        <w:tc>
          <w:tcPr>
            <w:tcW w:w="1240" w:type="dxa"/>
            <w:vAlign w:val="bottom"/>
          </w:tcPr>
          <w:p>
            <w:pPr>
              <w:jc w:val="center"/>
              <w:ind w:right="58"/>
              <w:spacing w:after="0"/>
              <w:rPr>
                <w:sz w:val="20"/>
                <w:szCs w:val="20"/>
                <w:color w:val="auto"/>
              </w:rPr>
            </w:pPr>
            <w:r>
              <w:rPr>
                <w:rFonts w:ascii="Arial" w:cs="Arial" w:eastAsia="Arial" w:hAnsi="Arial"/>
                <w:sz w:val="14"/>
                <w:szCs w:val="14"/>
                <w:b w:val="1"/>
                <w:bCs w:val="1"/>
                <w:color w:val="auto"/>
                <w:w w:val="82"/>
              </w:rPr>
              <w:t>Expenses</w:t>
            </w:r>
          </w:p>
        </w:tc>
        <w:tc>
          <w:tcPr>
            <w:tcW w:w="24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Accounts</w:t>
            </w:r>
          </w:p>
        </w:tc>
        <w:tc>
          <w:tcPr>
            <w:tcW w:w="180" w:type="dxa"/>
            <w:vAlign w:val="bottom"/>
          </w:tcPr>
          <w:p>
            <w:pPr>
              <w:spacing w:after="0"/>
              <w:rPr>
                <w:sz w:val="15"/>
                <w:szCs w:val="15"/>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Deductions</w:t>
            </w:r>
          </w:p>
        </w:tc>
        <w:tc>
          <w:tcPr>
            <w:tcW w:w="120" w:type="dxa"/>
            <w:vAlign w:val="bottom"/>
          </w:tcPr>
          <w:p>
            <w:pPr>
              <w:spacing w:after="0"/>
              <w:rPr>
                <w:sz w:val="15"/>
                <w:szCs w:val="15"/>
                <w:color w:val="auto"/>
              </w:rPr>
            </w:pPr>
          </w:p>
        </w:tc>
        <w:tc>
          <w:tcPr>
            <w:tcW w:w="78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Period</w:t>
            </w:r>
          </w:p>
        </w:tc>
      </w:tr>
      <w:tr>
        <w:trPr>
          <w:trHeight w:val="105"/>
        </w:trPr>
        <w:tc>
          <w:tcPr>
            <w:tcW w:w="2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313"/>
        </w:trPr>
        <w:tc>
          <w:tcPr>
            <w:tcW w:w="2980" w:type="dxa"/>
            <w:vAlign w:val="bottom"/>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289.3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116.1</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141.5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276.7</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Year ended December 31, 2003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274.8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76.5</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289.3</w:t>
            </w: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Year ended December 31, 2002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269.4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108.7</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274.8</w:t>
            </w:r>
          </w:p>
        </w:tc>
      </w:tr>
      <w:tr>
        <w:trPr>
          <w:trHeight w:val="447"/>
        </w:trPr>
        <w:tc>
          <w:tcPr>
            <w:tcW w:w="2980" w:type="dxa"/>
            <w:vAlign w:val="bottom"/>
          </w:tcPr>
          <w:p>
            <w:pPr>
              <w:spacing w:after="0"/>
              <w:rPr>
                <w:sz w:val="20"/>
                <w:szCs w:val="20"/>
                <w:color w:val="auto"/>
              </w:rPr>
            </w:pPr>
            <w:r>
              <w:rPr>
                <w:rFonts w:ascii="Arial" w:cs="Arial" w:eastAsia="Arial" w:hAnsi="Arial"/>
                <w:sz w:val="18"/>
                <w:szCs w:val="18"/>
                <w:b w:val="1"/>
                <w:bCs w:val="1"/>
                <w:color w:val="auto"/>
                <w:w w:val="96"/>
              </w:rPr>
              <w:t>Valuation allowance on deferred tax</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29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87.6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63.0</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208.4</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Year ended December 31, 2003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Year ended December 31, 2002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453"/>
        </w:trPr>
        <w:tc>
          <w:tcPr>
            <w:tcW w:w="2980" w:type="dxa"/>
            <w:vAlign w:val="bottom"/>
          </w:tcPr>
          <w:p>
            <w:pPr>
              <w:spacing w:after="0"/>
              <w:rPr>
                <w:sz w:val="20"/>
                <w:szCs w:val="20"/>
                <w:color w:val="auto"/>
              </w:rPr>
            </w:pPr>
            <w:r>
              <w:rPr>
                <w:rFonts w:ascii="Arial" w:cs="Arial" w:eastAsia="Arial" w:hAnsi="Arial"/>
                <w:sz w:val="18"/>
                <w:szCs w:val="18"/>
                <w:b w:val="1"/>
                <w:bCs w:val="1"/>
                <w:color w:val="auto"/>
                <w:w w:val="91"/>
              </w:rPr>
              <w:t>Reserves for inventory obsolescence: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84.6</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Year ended December 31, 2003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78.0</w:t>
            </w: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Year ended December 31, 2002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72.1</w:t>
            </w:r>
          </w:p>
        </w:tc>
      </w:tr>
      <w:tr>
        <w:trPr>
          <w:trHeight w:val="120"/>
        </w:trPr>
        <w:tc>
          <w:tcPr>
            <w:tcW w:w="29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-2698750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-2698750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-2698750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-2698750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-2698750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-2698750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-2698750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-2698750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-2698750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-2698750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-2261235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-2261235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239" w:lineRule="exact"/>
        <w:rPr>
          <w:sz w:val="20"/>
          <w:szCs w:val="20"/>
          <w:color w:val="auto"/>
        </w:rPr>
      </w:pPr>
    </w:p>
    <w:p>
      <w:pPr>
        <w:ind w:left="5600" w:right="4460" w:hanging="5592"/>
        <w:spacing w:after="0" w:line="613" w:lineRule="auto"/>
        <w:tabs>
          <w:tab w:leader="none" w:pos="556"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Primarily related to the release of valuations allowances related to foreign operating leases.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1" w:name="page132"/>
    <w:bookmarkEnd w:id="1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(Originally incorporated on November 10, 1986 under the name Arsenal Holdings,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name of this Corporation is Viacom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OFFICE AND AGENT FOR SERVICE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registered office of the Corporation in the State of Delaware is located at Suite 400, 2711 Centerville Road, City of Wilmington, County of New Castle.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the Corporation's registered agent for service of process in Delaware is: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Corporation Service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2711 Centerville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Wilmington, Delaware 19808</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PURPOSES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31" w:lineRule="exact"/>
        <w:rPr>
          <w:sz w:val="20"/>
          <w:szCs w:val="20"/>
          <w:color w:val="auto"/>
        </w:rPr>
      </w:pPr>
    </w:p>
    <w:p>
      <w:pPr>
        <w:ind w:left="740" w:hanging="381"/>
        <w:spacing w:after="0"/>
        <w:tabs>
          <w:tab w:leader="none" w:pos="7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Shares, Classes and Series Authorized.</w:t>
      </w:r>
    </w:p>
    <w:p>
      <w:pPr>
        <w:spacing w:after="0" w:line="225" w:lineRule="exact"/>
        <w:rPr>
          <w:rFonts w:ascii="Arial" w:cs="Arial" w:eastAsia="Arial" w:hAnsi="Arial"/>
          <w:sz w:val="18"/>
          <w:szCs w:val="18"/>
          <w:color w:val="auto"/>
        </w:rPr>
      </w:pPr>
    </w:p>
    <w:p>
      <w:pPr>
        <w:ind w:left="540" w:right="480" w:firstLine="359"/>
        <w:spacing w:after="0" w:line="332" w:lineRule="auto"/>
        <w:tabs>
          <w:tab w:leader="none" w:pos="1215"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total number of shares of all classes of capital stock which the Corporation shall have authority to issue is 10,775,000,000 shares. The classes and the aggregate number of shares of stock of each class which the Corporation shall have authority to issue are as follows:</w:t>
      </w:r>
    </w:p>
    <w:p>
      <w:pPr>
        <w:spacing w:after="0" w:line="139" w:lineRule="exact"/>
        <w:rPr>
          <w:rFonts w:ascii="Arial" w:cs="Arial" w:eastAsia="Arial" w:hAnsi="Arial"/>
          <w:sz w:val="16"/>
          <w:szCs w:val="16"/>
          <w:color w:val="auto"/>
        </w:rPr>
      </w:pPr>
    </w:p>
    <w:p>
      <w:pPr>
        <w:ind w:left="1780" w:hanging="253"/>
        <w:spacing w:after="0"/>
        <w:tabs>
          <w:tab w:leader="none" w:pos="17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750,000,000 shares of Class A Common Stock, $0.01 par value ("Class A Common Stock").</w:t>
      </w:r>
    </w:p>
    <w:p>
      <w:pPr>
        <w:spacing w:after="0" w:line="225" w:lineRule="exact"/>
        <w:rPr>
          <w:rFonts w:ascii="Arial" w:cs="Arial" w:eastAsia="Arial" w:hAnsi="Arial"/>
          <w:sz w:val="18"/>
          <w:szCs w:val="18"/>
          <w:color w:val="auto"/>
        </w:rPr>
      </w:pPr>
    </w:p>
    <w:p>
      <w:pPr>
        <w:ind w:left="1780" w:hanging="297"/>
        <w:spacing w:after="0"/>
        <w:tabs>
          <w:tab w:leader="none" w:pos="17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10,000,000,000 shares of Class B Common Stock, $0.01 par value ("Class B Common Stock").</w:t>
      </w:r>
    </w:p>
    <w:p>
      <w:pPr>
        <w:spacing w:after="0" w:line="225" w:lineRule="exact"/>
        <w:rPr>
          <w:rFonts w:ascii="Arial" w:cs="Arial" w:eastAsia="Arial" w:hAnsi="Arial"/>
          <w:sz w:val="18"/>
          <w:szCs w:val="18"/>
          <w:color w:val="auto"/>
        </w:rPr>
      </w:pPr>
    </w:p>
    <w:p>
      <w:pPr>
        <w:ind w:left="1800" w:hanging="360"/>
        <w:spacing w:after="0"/>
        <w:tabs>
          <w:tab w:leader="none" w:pos="18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25,000,000 shares of Preferred Stock, $0.01 par value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3" w:name="page134"/>
    <w:bookmarkEnd w:id="133"/>
    <w:p>
      <w:pPr>
        <w:ind w:left="540" w:right="300" w:firstLine="359"/>
        <w:spacing w:after="0" w:line="332" w:lineRule="auto"/>
        <w:tabs>
          <w:tab w:leader="none" w:pos="1224"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number of authorized shares of Class B Common Stock may be increased or decreased (but not below the number of shares thereof then outstanding) from time to time by the affirmative vote of the holders of a majority of the stock of the Corporation entitled to vote.</w:t>
      </w:r>
    </w:p>
    <w:p>
      <w:pPr>
        <w:spacing w:after="0" w:line="139" w:lineRule="exact"/>
        <w:rPr>
          <w:rFonts w:ascii="Arial" w:cs="Arial" w:eastAsia="Arial" w:hAnsi="Arial"/>
          <w:sz w:val="16"/>
          <w:szCs w:val="16"/>
          <w:color w:val="auto"/>
        </w:rPr>
      </w:pPr>
    </w:p>
    <w:p>
      <w:pPr>
        <w:ind w:left="740" w:hanging="381"/>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Powers and Rights of the Class A Common Stock and the Class B Common Stock.</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Except as otherwise expressly provided in this Restated Certificate of Incorporation, all issued and outstanding shares of Class A Common Stock and Class B Common Stock shall be identical and shall entitle the holders thereof to the same rights and privileges.</w:t>
      </w:r>
    </w:p>
    <w:p>
      <w:pPr>
        <w:spacing w:after="0" w:line="186" w:lineRule="exact"/>
        <w:rPr>
          <w:sz w:val="20"/>
          <w:szCs w:val="20"/>
          <w:color w:val="auto"/>
        </w:rPr>
      </w:pPr>
    </w:p>
    <w:p>
      <w:pPr>
        <w:ind w:firstLine="349"/>
        <w:spacing w:after="0" w:line="290" w:lineRule="auto"/>
        <w:tabs>
          <w:tab w:leader="none" w:pos="688"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Voting Rights and Powers. </w:t>
      </w:r>
      <w:r>
        <w:rPr>
          <w:rFonts w:ascii="Arial" w:cs="Arial" w:eastAsia="Arial" w:hAnsi="Arial"/>
          <w:sz w:val="16"/>
          <w:szCs w:val="16"/>
          <w:color w:val="auto"/>
        </w:rPr>
        <w:t>Except as otherwise provided in this Restated Certificate of Incorporation or required by law, with respect to all matters</w:t>
      </w:r>
      <w:r>
        <w:rPr>
          <w:rFonts w:ascii="Arial" w:cs="Arial" w:eastAsia="Arial" w:hAnsi="Arial"/>
          <w:sz w:val="16"/>
          <w:szCs w:val="16"/>
          <w:i w:val="1"/>
          <w:iCs w:val="1"/>
          <w:color w:val="auto"/>
        </w:rPr>
        <w:t xml:space="preserve"> </w:t>
      </w:r>
      <w:r>
        <w:rPr>
          <w:rFonts w:ascii="Arial" w:cs="Arial" w:eastAsia="Arial" w:hAnsi="Arial"/>
          <w:sz w:val="16"/>
          <w:szCs w:val="16"/>
          <w:color w:val="auto"/>
        </w:rPr>
        <w:t>upon which stockholders are entitled to vote, the holders of the outstanding shares of Class A Common Stock shall vote together with the holders of any other outstanding shares of capital stock of the Corporation entitled to vote, without regard to class, and every holder of outstanding shares of Class A Common Stock shall be entitled to cast thereon one vote in person or by proxy for each share of Class A Common Stock standing in his name. The holders of shares of Class A Common Stock shall have the relevant class voting rights set forth in Article IX. Except as otherwise required by law, the holders of outstanding shares of Class B Common Stock shall not be entitled to any votes upon any questions presented to stockholders of the Corporation, including but not limited to, whether to increase or decrease (but not below the number of shares then outstanding) the number of authorized shares of Class B Common Stock.</w:t>
      </w:r>
    </w:p>
    <w:p>
      <w:pPr>
        <w:spacing w:after="0" w:line="172" w:lineRule="exact"/>
        <w:rPr>
          <w:rFonts w:ascii="Arial" w:cs="Arial" w:eastAsia="Arial" w:hAnsi="Arial"/>
          <w:sz w:val="16"/>
          <w:szCs w:val="16"/>
          <w:color w:val="auto"/>
        </w:rPr>
      </w:pPr>
    </w:p>
    <w:p>
      <w:pPr>
        <w:ind w:right="20" w:firstLine="359"/>
        <w:spacing w:after="0" w:line="306" w:lineRule="auto"/>
        <w:tabs>
          <w:tab w:leader="none" w:pos="688"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Subject to the rights and preferences of the Preferred Stock set forth in this Article IV and in any resolution or resolutions providing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of such stock as set forth in Section (3) of this Article IV, the holders of Class A Common Stock and Class B Common Stock shall be entitled to receive ratably such dividends as may from time to time be declared by the Board of Directors out of funds legally available therefor.</w:t>
      </w:r>
    </w:p>
    <w:p>
      <w:pPr>
        <w:spacing w:after="0" w:line="160" w:lineRule="exact"/>
        <w:rPr>
          <w:rFonts w:ascii="Arial" w:cs="Arial" w:eastAsia="Arial" w:hAnsi="Arial"/>
          <w:sz w:val="16"/>
          <w:szCs w:val="16"/>
          <w:color w:val="auto"/>
        </w:rPr>
      </w:pPr>
    </w:p>
    <w:p>
      <w:pPr>
        <w:ind w:right="60" w:firstLine="359"/>
        <w:spacing w:after="0" w:line="298" w:lineRule="auto"/>
        <w:tabs>
          <w:tab w:leader="none" w:pos="688"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Distribution of Assets Upon Liquidation. </w:t>
      </w:r>
      <w:r>
        <w:rPr>
          <w:rFonts w:ascii="Arial" w:cs="Arial" w:eastAsia="Arial" w:hAnsi="Arial"/>
          <w:sz w:val="16"/>
          <w:szCs w:val="16"/>
          <w:color w:val="auto"/>
        </w:rPr>
        <w:t>In the event the Corporation shall be liquidated, dissolved or wound up, whether voluntarily or involuntarily,</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there shall have been paid or set aside for the holders of all shares of the Preferred Stock then outstanding the full preferential amounts to which they are entitled under this Article IV or the resolutions, as the case may be, authorizing the issuance of such Preferred Stock, the net assets of the Corporation remaining thereafter shall be divided ratably among the holders of Class A Common Stock and Class B Common Stock.</w:t>
      </w:r>
    </w:p>
    <w:p>
      <w:pPr>
        <w:spacing w:after="0" w:line="166" w:lineRule="exact"/>
        <w:rPr>
          <w:rFonts w:ascii="Arial" w:cs="Arial" w:eastAsia="Arial" w:hAnsi="Arial"/>
          <w:sz w:val="16"/>
          <w:szCs w:val="16"/>
          <w:color w:val="auto"/>
        </w:rPr>
      </w:pPr>
    </w:p>
    <w:p>
      <w:pPr>
        <w:ind w:right="260" w:firstLine="359"/>
        <w:spacing w:after="0" w:line="306" w:lineRule="auto"/>
        <w:tabs>
          <w:tab w:leader="none" w:pos="697"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Split, Subdivision or Combination. </w:t>
      </w:r>
      <w:r>
        <w:rPr>
          <w:rFonts w:ascii="Arial" w:cs="Arial" w:eastAsia="Arial" w:hAnsi="Arial"/>
          <w:sz w:val="16"/>
          <w:szCs w:val="16"/>
          <w:color w:val="auto"/>
        </w:rPr>
        <w:t>If the Corporation shall in any manner split, subdivide or combine the outstanding shares of Class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or Class B Common Stock, the outstanding shares of the other class of Common Stock shall be proportionally split, subdivided or combined in the same manner and on the same basis as the outstanding shares of the other class of Common Stock have been split, subdivided or combined.</w:t>
      </w:r>
    </w:p>
    <w:p>
      <w:pPr>
        <w:spacing w:after="0" w:line="160" w:lineRule="exact"/>
        <w:rPr>
          <w:rFonts w:ascii="Arial" w:cs="Arial" w:eastAsia="Arial" w:hAnsi="Arial"/>
          <w:sz w:val="16"/>
          <w:szCs w:val="16"/>
          <w:color w:val="auto"/>
        </w:rPr>
      </w:pPr>
    </w:p>
    <w:p>
      <w:pPr>
        <w:ind w:right="100" w:firstLine="359"/>
        <w:spacing w:after="0" w:line="291" w:lineRule="auto"/>
        <w:tabs>
          <w:tab w:leader="none" w:pos="678"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Conversion. </w:t>
      </w:r>
      <w:r>
        <w:rPr>
          <w:rFonts w:ascii="Arial" w:cs="Arial" w:eastAsia="Arial" w:hAnsi="Arial"/>
          <w:sz w:val="16"/>
          <w:szCs w:val="16"/>
          <w:color w:val="auto"/>
        </w:rPr>
        <w:t>So long as there are 10,000 shares of Class A Common Stock outstanding, each record holder of shares of Class A Common Stock and</w:t>
      </w:r>
      <w:r>
        <w:rPr>
          <w:rFonts w:ascii="Arial" w:cs="Arial" w:eastAsia="Arial" w:hAnsi="Arial"/>
          <w:sz w:val="16"/>
          <w:szCs w:val="16"/>
          <w:i w:val="1"/>
          <w:iCs w:val="1"/>
          <w:color w:val="auto"/>
        </w:rPr>
        <w:t xml:space="preserve"> </w:t>
      </w:r>
      <w:r>
        <w:rPr>
          <w:rFonts w:ascii="Arial" w:cs="Arial" w:eastAsia="Arial" w:hAnsi="Arial"/>
          <w:sz w:val="16"/>
          <w:szCs w:val="16"/>
          <w:color w:val="auto"/>
        </w:rPr>
        <w:t>Class B Common Stock may convert any or all of such shares into an equal number of shares of Class B Common Stock by surrendering the certificates for such shares, accompanied by payment of documentary, stamp or similar issue or transfer taxes, if any, along with a written notice by such record holder to the Corporation stating that such record holder desires to convert such shares into the same number of shares of Class B Common Stock and requesting that the Corporation issue all of such Class B Common Stock to the persons named therein, setting forth the number of shares of Class B Common Stock to be issued to each such person and the denominations in which the certificates therefor are to be issued.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ind w:left="740" w:hanging="381"/>
        <w:spacing w:after="0"/>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Powers and Rights of the Preferred Stock.</w:t>
      </w:r>
    </w:p>
    <w:p>
      <w:pPr>
        <w:spacing w:after="0" w:line="225"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Preferred Stock may be issued from time to time in one or more series, with such distinctive serial designations as may be stated or expressed in the resolution or resolutions providing for the issue of such stock adopted from time to time by the Board of Directors; and in such resolution or resolutions providing for the issuance of shares of each particular series, the Board of Directors is also expressly authorized to fix: the right to vote, if any; the consideration for which the shares of such series are to be issued; the number of shares constituting such series, which number may be increased (except as otherwise fixed by the Board of Directors) or decreased (but not below the number of shares thereof then outstanding) from time to time by action of the Board of Directors; the rate of dividends upon which and the times at which dividends on shares of such series shall be payable and the preference, if any, which such dividends shall have relative to dividends on shares of any other class or classes or any other series of stock of the Corporation; whether such dividends shall be cumulative or noncumulative, and, if cumulative, the date or dates from which dividends on shares of such series shall be cumulative; the rights, if any, which the holders of shares of such series shall have in the event of any voluntary or involuntary liquidation, merger, consolidation, distribution or sale of assets, dissolution or winding up of the affairs of the Corporation; the rights, if any, which the holders of shares of such series shall have to convert such shares into or exchange such shares for shares of any other class or classes or any other series of stock of the Corporation or for any debt securities of the Corporation and the terms and conditions, including, without limitation, price and rate of exchange, of such conversion or exchange; whether shares of such series shall be subject to redemption, and the redemption price or prices and other terms of redemption, if any, for shares of such series including, without limitation, a redemption price or prices payable in shares of Class A Common Stock or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w:t>
      </w:r>
    </w:p>
    <w:p>
      <w:pPr>
        <w:spacing w:after="0" w:line="178" w:lineRule="exact"/>
        <w:rPr>
          <w:sz w:val="20"/>
          <w:szCs w:val="20"/>
          <w:color w:val="auto"/>
        </w:rPr>
      </w:pPr>
    </w:p>
    <w:p>
      <w:pPr>
        <w:ind w:left="740" w:hanging="381"/>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Issuance of Class A Common Stock, Class B Common Stock and Preferred Stock.</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Board of Directors of the Corporation may from time to time authorize by resolution the issuance of any or all shares of Class A Common Stock, Class B Common Stock and Preferred Stock herein authorized in accordance with the terms and conditions set forth in this Restated Certificate of Incorporation for such purposes, in such amounts, to such persons, corporations, or entities, for such consideration, and in the case of the Preferred Stock, in one or more series, all as the Board of Directors in its discretion may determine and without any vote or other action by any of the stockholders of the Corporation, except as otherwise required by law.</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Pursuant to the authority conferred by this Article IV, a series of Preferred Stock has been previously designated consisting of the number of shares, with the voting powers, designation, preferences and relative, participating, optional or other special rights and qualifications, limitations and restrictions thereof as are stated and expressed in the following exhibit attached hereto and incorporated herein by reference: Exhibit A—Series D Fully Participating Preferred Stock. All references in Exhibit A to the "Company" shall mean Viacom Inc., and to "this resolution" shall mean the resolutions of the Board of Directors of the Corporation adopted on August 19, 2004 and set forth in the Certificate of Designation of the Voting Powers, Designation, Preferences and Relative, Participating, Optional or other Special Rights and Qualifications, Limitations and Restrictions of the Series D Fully Participating Preferred Stock filed with the Office of the Secretary of State of the State of Delaware on August 20, 2004 creating, authorizing and providing for the issuance of the Series D Fully Participating Preferred Stock, as set forth in Exhibit 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31" w:lineRule="exact"/>
        <w:rPr>
          <w:sz w:val="20"/>
          <w:szCs w:val="20"/>
          <w:color w:val="auto"/>
        </w:rPr>
      </w:pPr>
    </w:p>
    <w:p>
      <w:pPr>
        <w:ind w:left="-20" w:right="40" w:firstLine="359"/>
        <w:spacing w:after="0" w:line="332" w:lineRule="auto"/>
        <w:tabs>
          <w:tab w:leader="none" w:pos="711"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Power of the Board of Directors. </w:t>
      </w:r>
      <w:r>
        <w:rPr>
          <w:rFonts w:ascii="Arial" w:cs="Arial" w:eastAsia="Arial" w:hAnsi="Arial"/>
          <w:sz w:val="16"/>
          <w:szCs w:val="16"/>
          <w:color w:val="auto"/>
        </w:rPr>
        <w:t>The property and business of the Corporation shall be controlled and managed by or under the direction of its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In furtherance, and not in limitation of the powers conferred by the laws of the State of Delaware, the Board of Directors is expressly authorized:</w:t>
      </w:r>
    </w:p>
    <w:p>
      <w:pPr>
        <w:spacing w:after="0" w:line="139" w:lineRule="exact"/>
        <w:rPr>
          <w:rFonts w:ascii="Arial" w:cs="Arial" w:eastAsia="Arial" w:hAnsi="Arial"/>
          <w:sz w:val="16"/>
          <w:szCs w:val="16"/>
          <w:color w:val="auto"/>
        </w:rPr>
      </w:pPr>
    </w:p>
    <w:p>
      <w:pPr>
        <w:ind w:left="520" w:firstLine="359"/>
        <w:spacing w:after="0" w:line="268" w:lineRule="auto"/>
        <w:tabs>
          <w:tab w:leader="none" w:pos="1195"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To make, alter, amend or repeal the By-Laws of the 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By-Laws hereafter adopted shall invalidate any prior act of the Directors that would have been valid if such By-Laws had not been adopted;</w:t>
      </w:r>
    </w:p>
    <w:p>
      <w:pPr>
        <w:spacing w:after="0" w:line="185" w:lineRule="exact"/>
        <w:rPr>
          <w:rFonts w:ascii="Arial" w:cs="Arial" w:eastAsia="Arial" w:hAnsi="Arial"/>
          <w:sz w:val="18"/>
          <w:szCs w:val="18"/>
          <w:color w:val="auto"/>
        </w:rPr>
      </w:pPr>
    </w:p>
    <w:p>
      <w:pPr>
        <w:ind w:left="520" w:right="80" w:firstLine="359"/>
        <w:spacing w:after="0" w:line="256" w:lineRule="auto"/>
        <w:tabs>
          <w:tab w:leader="none" w:pos="1204"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determine the rights, powers, duties, rules and procedures that affect the power of the Board of Directors to manage and direct the property, business and affairs of the Corporation, including, without limitation, the power to designate and empower committees of the Board of Directors, to elect, appoint and empower the officers and other agents of the Corporation, and to determine the time and place of, and the notice requirements for Board meetings, as well as the manner of taking Board action; and</w:t>
      </w:r>
    </w:p>
    <w:p>
      <w:pPr>
        <w:spacing w:after="0" w:line="197" w:lineRule="exact"/>
        <w:rPr>
          <w:rFonts w:ascii="Arial" w:cs="Arial" w:eastAsia="Arial" w:hAnsi="Arial"/>
          <w:sz w:val="18"/>
          <w:szCs w:val="18"/>
          <w:color w:val="auto"/>
        </w:rPr>
      </w:pPr>
    </w:p>
    <w:p>
      <w:pPr>
        <w:ind w:left="520" w:right="360" w:firstLine="359"/>
        <w:spacing w:after="0" w:line="268" w:lineRule="auto"/>
        <w:tabs>
          <w:tab w:leader="none" w:pos="1195"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exercise all such powers and do all such acts as may be exercised by the Corporation, subject to the provisions of the laws of the State of Delaware, this Restated Certificate of Incorporation, and the By-Laws of the Corporation.</w:t>
      </w:r>
    </w:p>
    <w:p>
      <w:pPr>
        <w:spacing w:after="0" w:line="185" w:lineRule="exact"/>
        <w:rPr>
          <w:rFonts w:ascii="Arial" w:cs="Arial" w:eastAsia="Arial" w:hAnsi="Arial"/>
          <w:sz w:val="18"/>
          <w:szCs w:val="18"/>
          <w:color w:val="auto"/>
        </w:rPr>
      </w:pPr>
    </w:p>
    <w:p>
      <w:pPr>
        <w:ind w:left="-20" w:right="140" w:firstLine="359"/>
        <w:spacing w:after="0" w:line="256" w:lineRule="auto"/>
        <w:tabs>
          <w:tab w:leader="none" w:pos="711"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Number and Qualifications of Directors. </w:t>
      </w:r>
      <w:r>
        <w:rPr>
          <w:rFonts w:ascii="Arial" w:cs="Arial" w:eastAsia="Arial" w:hAnsi="Arial"/>
          <w:sz w:val="18"/>
          <w:szCs w:val="18"/>
          <w:color w:val="auto"/>
        </w:rPr>
        <w:t>The number of directors constituting the entire Board of Directors shall be fixed from time to time by</w:t>
      </w:r>
      <w:r>
        <w:rPr>
          <w:rFonts w:ascii="Arial" w:cs="Arial" w:eastAsia="Arial" w:hAnsi="Arial"/>
          <w:sz w:val="18"/>
          <w:szCs w:val="18"/>
          <w:i w:val="1"/>
          <w:iCs w:val="1"/>
          <w:color w:val="auto"/>
        </w:rPr>
        <w:t xml:space="preserve"> </w:t>
      </w:r>
      <w:r>
        <w:rPr>
          <w:rFonts w:ascii="Arial" w:cs="Arial" w:eastAsia="Arial" w:hAnsi="Arial"/>
          <w:sz w:val="18"/>
          <w:szCs w:val="18"/>
          <w:color w:val="auto"/>
        </w:rPr>
        <w:t>resolution of the Board of Directors but shall not be less than three nor more than twenty. Directors shall be elected to hold office for a term of one year. As used in this Restated Certificate of Incorporation, the term "entire Board of Directors" means the total number of Directors fixed in the manner provided in this Article V Section (2) and in the By-Laws.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OF DIRECTORS,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AND OTHERS</w:t>
      </w:r>
    </w:p>
    <w:p>
      <w:pPr>
        <w:spacing w:after="0" w:line="219" w:lineRule="exact"/>
        <w:rPr>
          <w:sz w:val="20"/>
          <w:szCs w:val="20"/>
          <w:color w:val="auto"/>
        </w:rPr>
      </w:pPr>
    </w:p>
    <w:p>
      <w:pPr>
        <w:ind w:left="-20" w:firstLine="359"/>
        <w:spacing w:after="0" w:line="286" w:lineRule="auto"/>
        <w:tabs>
          <w:tab w:leader="none" w:pos="711"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Right to Indemnification. </w:t>
      </w:r>
      <w:r>
        <w:rPr>
          <w:rFonts w:ascii="Arial" w:cs="Arial" w:eastAsia="Arial" w:hAnsi="Arial"/>
          <w:sz w:val="16"/>
          <w:szCs w:val="16"/>
          <w:color w:val="auto"/>
        </w:rPr>
        <w:t>The Corporation shall indemnify any person who was or is involved in or is threatened to be involved in any threatened,</w:t>
      </w:r>
      <w:r>
        <w:rPr>
          <w:rFonts w:ascii="Arial" w:cs="Arial" w:eastAsia="Arial" w:hAnsi="Arial"/>
          <w:sz w:val="16"/>
          <w:szCs w:val="16"/>
          <w:i w:val="1"/>
          <w:iCs w:val="1"/>
          <w:color w:val="auto"/>
        </w:rPr>
        <w:t xml:space="preserve"> </w:t>
      </w:r>
      <w:r>
        <w:rPr>
          <w:rFonts w:ascii="Arial" w:cs="Arial" w:eastAsia="Arial" w:hAnsi="Arial"/>
          <w:sz w:val="16"/>
          <w:szCs w:val="16"/>
          <w:color w:val="auto"/>
        </w:rPr>
        <w:t>pending or completed action, suit or proceeding, whether civil, criminal, administrative or investigative, by reason of the fact that he is or was a Director, officer, employee or agent of the Corporation, or is or was serving at the request of the Corporation as a director, officer, employee or agent (including, without limitation, a trustee) of another corporation, partnership, joint venture, trust or other enterprise, to the fullest extent authorized by the Delaware General Corporation Law,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in connection with such action, suit or proceeding. Notwithstanding the foregoing, except as provided in paragraph (7) of this Article VI with respect to proceedings to enforce rights to indemnification and advancement of expenses, the Corporation shall indemnify an indemnitee in connection with a proceeding (or part thereof) initiated by the indemnitee, if and only if the Board of Directors authorized the bringing of the action, suit or proceeding (or part thereof) in advance of the commencement of the proceeding.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25" w:right="239" w:bottom="1440" w:gutter="0" w:footer="0" w:header="0"/>
        </w:sectPr>
      </w:pPr>
    </w:p>
    <w:bookmarkStart w:id="136" w:name="page137"/>
    <w:bookmarkEnd w:id="136"/>
    <w:p>
      <w:pPr>
        <w:ind w:left="-20" w:right="60" w:firstLine="359"/>
        <w:spacing w:after="0" w:line="306" w:lineRule="auto"/>
        <w:tabs>
          <w:tab w:leader="none" w:pos="711"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Successful Defense. </w:t>
      </w:r>
      <w:r>
        <w:rPr>
          <w:rFonts w:ascii="Arial" w:cs="Arial" w:eastAsia="Arial" w:hAnsi="Arial"/>
          <w:sz w:val="16"/>
          <w:szCs w:val="16"/>
          <w:color w:val="auto"/>
        </w:rPr>
        <w:t>To the extent that a present or former Director, officer, employee or agent of the Corporation has been successful on the merits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in defense of any action, suit or proceeding referred to in Section 1 of this Article VI, or in defense of any claim, issue or matter therein, he shall be indemnified against expenses (including, without limitation, attorneys' fees) actually and reasonably incurred by him in connection therewith.</w:t>
      </w:r>
    </w:p>
    <w:p>
      <w:pPr>
        <w:spacing w:after="0" w:line="160" w:lineRule="exact"/>
        <w:rPr>
          <w:rFonts w:ascii="Arial" w:cs="Arial" w:eastAsia="Arial" w:hAnsi="Arial"/>
          <w:sz w:val="16"/>
          <w:szCs w:val="16"/>
          <w:color w:val="auto"/>
        </w:rPr>
      </w:pPr>
    </w:p>
    <w:p>
      <w:pPr>
        <w:ind w:left="720" w:hanging="381"/>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Advance Payment of Expenses.</w:t>
      </w:r>
    </w:p>
    <w:p>
      <w:pPr>
        <w:spacing w:after="0" w:line="225" w:lineRule="exact"/>
        <w:rPr>
          <w:rFonts w:ascii="Arial" w:cs="Arial" w:eastAsia="Arial" w:hAnsi="Arial"/>
          <w:sz w:val="18"/>
          <w:szCs w:val="18"/>
          <w:color w:val="auto"/>
        </w:rPr>
      </w:pPr>
    </w:p>
    <w:p>
      <w:pPr>
        <w:ind w:left="520" w:right="80" w:firstLine="359"/>
        <w:spacing w:after="0" w:line="254" w:lineRule="auto"/>
        <w:tabs>
          <w:tab w:leader="none" w:pos="1198"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Expenses (including attorneys' fees) incurred by a Director or officer in defending any civil, criminal, administrative or investigative action, suit or proceeding shall be paid by the Corporation in advance of the final disposition of such action, suit or proceeding;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to the extent required by the Delaware General Corporation Law, as the same exists or may hereafter be amended, such Director or officer shall submit to the Corporation, prior to the payment of such expenses, an undertaking by or on behalf of such Director or officer to repay such amount if it shall ultimately be determined in a final, non-appealable judicial decision that such indemnitee is not entitled to be indemnified by the Corporation for such expenses as authorized in this Article.</w:t>
      </w:r>
    </w:p>
    <w:p>
      <w:pPr>
        <w:spacing w:after="0" w:line="198" w:lineRule="exact"/>
        <w:rPr>
          <w:rFonts w:ascii="Arial" w:cs="Arial" w:eastAsia="Arial" w:hAnsi="Arial"/>
          <w:sz w:val="18"/>
          <w:szCs w:val="18"/>
          <w:color w:val="auto"/>
        </w:rPr>
      </w:pPr>
    </w:p>
    <w:p>
      <w:pPr>
        <w:ind w:left="520" w:right="280" w:firstLine="359"/>
        <w:spacing w:after="0" w:line="259" w:lineRule="auto"/>
        <w:tabs>
          <w:tab w:leader="none" w:pos="1208" w:val="left"/>
        </w:tabs>
        <w:numPr>
          <w:ilvl w:val="1"/>
          <w:numId w:val="66"/>
        </w:numPr>
        <w:rPr>
          <w:rFonts w:ascii="Arial" w:cs="Arial" w:eastAsia="Arial" w:hAnsi="Arial"/>
          <w:sz w:val="18"/>
          <w:szCs w:val="18"/>
          <w:color w:val="auto"/>
        </w:rPr>
      </w:pPr>
      <w:r>
        <w:rPr>
          <w:rFonts w:ascii="Arial" w:cs="Arial" w:eastAsia="Arial" w:hAnsi="Arial"/>
          <w:sz w:val="18"/>
          <w:szCs w:val="18"/>
          <w:color w:val="auto"/>
        </w:rPr>
        <w:t>Expenses (including attorneys' fees) incurred by any other employee or agent in defending any civil, criminal, administrative or investigative action, suit or proceeding may be paid by the Corporation in advance of the final disposition of such action, suit or proceeding upon such terms and conditions, if any, as the Corporation deems appropriate.</w:t>
      </w:r>
    </w:p>
    <w:p>
      <w:pPr>
        <w:spacing w:after="0" w:line="194" w:lineRule="exact"/>
        <w:rPr>
          <w:rFonts w:ascii="Arial" w:cs="Arial" w:eastAsia="Arial" w:hAnsi="Arial"/>
          <w:sz w:val="18"/>
          <w:szCs w:val="18"/>
          <w:color w:val="auto"/>
        </w:rPr>
      </w:pPr>
    </w:p>
    <w:p>
      <w:pPr>
        <w:ind w:left="-20" w:firstLine="359"/>
        <w:spacing w:after="0" w:line="287" w:lineRule="auto"/>
        <w:tabs>
          <w:tab w:leader="none" w:pos="711"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Not Exclusive. </w:t>
      </w:r>
      <w:r>
        <w:rPr>
          <w:rFonts w:ascii="Arial" w:cs="Arial" w:eastAsia="Arial" w:hAnsi="Arial"/>
          <w:sz w:val="16"/>
          <w:szCs w:val="16"/>
          <w:color w:val="auto"/>
        </w:rPr>
        <w:t>The indemnification and advancement of expenses provided by, or granted pursuant to, the other sections of this Article VI shall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deemed exclusive of any other rights to which a person seeking indemnification or advancement of expenses may be entitled under any statute, by-law, agreement, vote of stockholders or disinterested Directors or otherwise, both as to action in his official capacity and as to action in another capacity while holding such office. Without limiting the foregoing, the Corporation is authorized to enter into an agreement with any Director, officer, employee or agent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by or in the right of the Corporation, that arises by reason of the fact that such person is or was a Director, officer, employee or agent of the Corporation, or is or was serving at the request of the Corporation as a director, officer, employee or agent of another corporation, partnership, joint venture, trust or other enterprise, to the full extent allowed by law, except that no such agreement shall provide for indemnification for any actions that constitute fraud, actual dishonesty or willful misconduct.</w:t>
      </w:r>
    </w:p>
    <w:p>
      <w:pPr>
        <w:spacing w:after="0" w:line="176" w:lineRule="exact"/>
        <w:rPr>
          <w:rFonts w:ascii="Arial" w:cs="Arial" w:eastAsia="Arial" w:hAnsi="Arial"/>
          <w:sz w:val="16"/>
          <w:szCs w:val="16"/>
          <w:color w:val="auto"/>
        </w:rPr>
      </w:pPr>
    </w:p>
    <w:p>
      <w:pPr>
        <w:jc w:val="both"/>
        <w:ind w:left="-20" w:right="80" w:firstLine="359"/>
        <w:spacing w:after="0" w:line="298" w:lineRule="auto"/>
        <w:tabs>
          <w:tab w:leader="none" w:pos="711"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Corporation may purchase and maintain insurance on behalf of any person who is or was a Director, officer, employee or agent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VI.</w:t>
      </w:r>
    </w:p>
    <w:p>
      <w:pPr>
        <w:spacing w:after="0" w:line="166" w:lineRule="exact"/>
        <w:rPr>
          <w:rFonts w:ascii="Arial" w:cs="Arial" w:eastAsia="Arial" w:hAnsi="Arial"/>
          <w:sz w:val="16"/>
          <w:szCs w:val="16"/>
          <w:color w:val="auto"/>
        </w:rPr>
      </w:pPr>
    </w:p>
    <w:p>
      <w:pPr>
        <w:jc w:val="both"/>
        <w:ind w:left="-20" w:right="80" w:firstLine="359"/>
        <w:spacing w:after="0" w:line="259" w:lineRule="auto"/>
        <w:tabs>
          <w:tab w:leader="none" w:pos="71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Certain Definitions. </w:t>
      </w:r>
      <w:r>
        <w:rPr>
          <w:rFonts w:ascii="Arial" w:cs="Arial" w:eastAsia="Arial" w:hAnsi="Arial"/>
          <w:sz w:val="18"/>
          <w:szCs w:val="18"/>
          <w:color w:val="auto"/>
        </w:rPr>
        <w:t>For the purposes of this Article VI, (A) any Director, officer, employee or agent of the Corporation who shall serve as a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employee or agent of any other corporation, joint venture, trust or other enterprise of which the Corporation, directly or indirectly, is or was a stockholder or creditor, or in which the Corporation is or was in any way interested, or (B) 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31" w:right="239" w:bottom="1440" w:gutter="0" w:footer="0" w:header="0"/>
        </w:sectPr>
      </w:pPr>
    </w:p>
    <w:bookmarkStart w:id="137" w:name="page138"/>
    <w:bookmarkEnd w:id="137"/>
    <w:p>
      <w:pPr>
        <w:spacing w:after="0" w:line="285" w:lineRule="auto"/>
        <w:rPr>
          <w:sz w:val="20"/>
          <w:szCs w:val="20"/>
          <w:color w:val="auto"/>
        </w:rPr>
      </w:pPr>
      <w:r>
        <w:rPr>
          <w:rFonts w:ascii="Arial" w:cs="Arial" w:eastAsia="Arial" w:hAnsi="Arial"/>
          <w:sz w:val="16"/>
          <w:szCs w:val="16"/>
          <w:color w:val="auto"/>
        </w:rPr>
        <w:t>director, officer, employee or agent of any subsidiary corporation, joint venture, trust or other enterprise wholly owned by the Corporation, shall be deemed to be serving as such director, officer, employee or agent at the request of the Corporation, unless the Board of Directors of the Corporation shall determine otherwise. In all other instances where any person shall serve as a director, officer, employee or agent of another corporation, joint venture, trust or other enterprise of which the Corporation is or was a stockholder or creditor, or in which it is or was otherwise interested, if it is not otherwise established that such person is or was serving as such director, officer, employee or agent at the request of the Corporation, the Board of Directors of the Corporation may determine whether such service is or was at the request of the Corporation, and it shall not be necessary to show any actual or prior request for such service. For purposes of this Article VI, references to a corporation include all constituent corporations absorbed in a consolidation or merger as well as the resulting or surviving corporation so that any person who is or was a director, officer, employee or agent of such a constituent corporation or is or was serving at the request of such constituent corporation as a director, officer, employee or agent of another corporation, joint venture, trust or other enterprise shall stand in the same position under the provisions of this Article VI with respect to the resulting or surviving corporation as he would if he had served the resulting or surviving corporation in the same capacity. For purposes of this Article VI,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VI.</w:t>
      </w:r>
    </w:p>
    <w:p>
      <w:pPr>
        <w:spacing w:after="0" w:line="178" w:lineRule="exact"/>
        <w:rPr>
          <w:sz w:val="20"/>
          <w:szCs w:val="20"/>
          <w:color w:val="auto"/>
        </w:rPr>
      </w:pPr>
    </w:p>
    <w:p>
      <w:pPr>
        <w:ind w:left="1280" w:hanging="381"/>
        <w:spacing w:after="0"/>
        <w:tabs>
          <w:tab w:leader="none" w:pos="12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Proceedings to Enforce Rights to Indemnification.</w:t>
      </w:r>
    </w:p>
    <w:p>
      <w:pPr>
        <w:spacing w:after="0" w:line="225" w:lineRule="exact"/>
        <w:rPr>
          <w:sz w:val="20"/>
          <w:szCs w:val="20"/>
          <w:color w:val="auto"/>
        </w:rPr>
      </w:pPr>
    </w:p>
    <w:p>
      <w:pPr>
        <w:ind w:left="540" w:right="80" w:firstLine="359"/>
        <w:spacing w:after="0" w:line="291" w:lineRule="auto"/>
        <w:tabs>
          <w:tab w:leader="none" w:pos="1218"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a claim under paragraph (1) of this Article VI is not paid in full by the Corporation within 60 days after a written claim has been received by the Corporation, or a claim under paragraph (3) of this Article VI is not paid in full by the Corporation within 30 days after a written claim has been received by the Corporation, the indemnitee may at any time thereafter bring suit against the Corporation to recover the unpaid amount of the claim. Any such written claim under paragraph (1) of this Article VI shall include such documentation and information as is reasonably available to the indemnitee and reasonably necessary to determine whether and to what extent the indemnitee is entitled to indemnification. Any written claim under paragraph (3) of this Article VI shall include reasonable documentation of the expenses incurred by the indemnitee.</w:t>
      </w:r>
    </w:p>
    <w:p>
      <w:pPr>
        <w:spacing w:after="0" w:line="174" w:lineRule="exact"/>
        <w:rPr>
          <w:rFonts w:ascii="Arial" w:cs="Arial" w:eastAsia="Arial" w:hAnsi="Arial"/>
          <w:sz w:val="16"/>
          <w:szCs w:val="16"/>
          <w:color w:val="auto"/>
        </w:rPr>
      </w:pPr>
    </w:p>
    <w:p>
      <w:pPr>
        <w:jc w:val="both"/>
        <w:ind w:left="540" w:right="440" w:firstLine="359"/>
        <w:spacing w:after="0" w:line="259" w:lineRule="auto"/>
        <w:tabs>
          <w:tab w:leader="none" w:pos="12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successful in whole or in part in any suit brought pursuant to paragraph 7(a) above, or in a suit brought by the Corporation to recover an advancement of expenses pursuant to the terms of an undertaking, the indemnitee shall also be entitled to be paid and indemnified for the expense of prosecuting or defending such suit.</w:t>
      </w:r>
    </w:p>
    <w:p>
      <w:pPr>
        <w:spacing w:after="0" w:line="194" w:lineRule="exact"/>
        <w:rPr>
          <w:rFonts w:ascii="Arial" w:cs="Arial" w:eastAsia="Arial" w:hAnsi="Arial"/>
          <w:sz w:val="18"/>
          <w:szCs w:val="18"/>
          <w:color w:val="auto"/>
        </w:rPr>
      </w:pPr>
    </w:p>
    <w:p>
      <w:pPr>
        <w:ind w:left="540" w:right="60" w:firstLine="359"/>
        <w:spacing w:after="0" w:line="294" w:lineRule="auto"/>
        <w:tabs>
          <w:tab w:leader="none" w:pos="1218"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ind w:right="60"/>
        <w:spacing w:after="0" w:line="290" w:lineRule="auto"/>
        <w:rPr>
          <w:sz w:val="20"/>
          <w:szCs w:val="20"/>
          <w:color w:val="auto"/>
        </w:rPr>
      </w:pPr>
      <w:r>
        <w:rPr>
          <w:rFonts w:ascii="Arial" w:cs="Arial" w:eastAsia="Arial" w:hAnsi="Arial"/>
          <w:sz w:val="16"/>
          <w:szCs w:val="16"/>
          <w:color w:val="auto"/>
        </w:rPr>
        <w:t>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72" w:lineRule="exact"/>
        <w:rPr>
          <w:sz w:val="20"/>
          <w:szCs w:val="20"/>
          <w:color w:val="auto"/>
        </w:rPr>
      </w:pPr>
    </w:p>
    <w:p>
      <w:pPr>
        <w:ind w:firstLine="359"/>
        <w:spacing w:after="0" w:line="298" w:lineRule="auto"/>
        <w:tabs>
          <w:tab w:leader="none" w:pos="731"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Preservation of Rights</w:t>
      </w:r>
      <w:r>
        <w:rPr>
          <w:rFonts w:ascii="Arial" w:cs="Arial" w:eastAsia="Arial" w:hAnsi="Arial"/>
          <w:sz w:val="16"/>
          <w:szCs w:val="16"/>
          <w:color w:val="auto"/>
        </w:rPr>
        <w:t>. The indemnification and advancement of expenses provided by, or granted pursuant to, this Article VI shall, unless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when authorized or ratified, continue as to a person who has ceased to be a Director, officer, employee or agent and shall inure to the benefit of the heirs, executors and administrators of such a person. Any repeal or modification of this Article VI by the stockholders of the Corporation entitled to vote thereon shall not adversely affect any right or protection of a Director, officer, employee or agent of the Corporation existing at the time of such repeal or modification.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LIABILITY TO THE CORPORATION</w:t>
      </w:r>
    </w:p>
    <w:p>
      <w:pPr>
        <w:spacing w:after="0" w:line="231" w:lineRule="exact"/>
        <w:rPr>
          <w:sz w:val="20"/>
          <w:szCs w:val="20"/>
          <w:color w:val="auto"/>
        </w:rPr>
      </w:pPr>
    </w:p>
    <w:p>
      <w:pPr>
        <w:ind w:right="120" w:firstLine="359"/>
        <w:spacing w:after="0" w:line="254" w:lineRule="auto"/>
        <w:tabs>
          <w:tab w:leader="none" w:pos="67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Director's liability to the Corporation for breach of duty to the Corporation or its stockholders shall be limited to the fullest extent permitted by Delaware law as in effect on February 24, 1987 or as thereafter amended. In particular no Director of the Corporation shall be liable to the Corporation or any of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as the same exists or hereafter may be amended, or (iv) for any transaction from which the Director derived an improper personal benefit.</w:t>
      </w:r>
    </w:p>
    <w:p>
      <w:pPr>
        <w:spacing w:after="0" w:line="198" w:lineRule="exact"/>
        <w:rPr>
          <w:rFonts w:ascii="Arial" w:cs="Arial" w:eastAsia="Arial" w:hAnsi="Arial"/>
          <w:sz w:val="18"/>
          <w:szCs w:val="18"/>
          <w:color w:val="auto"/>
        </w:rPr>
      </w:pPr>
    </w:p>
    <w:p>
      <w:pPr>
        <w:ind w:right="140" w:firstLine="359"/>
        <w:spacing w:after="0" w:line="268" w:lineRule="auto"/>
        <w:tabs>
          <w:tab w:leader="none" w:pos="67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repeal or modification of the foregoing paragraph (a) by the stockholders of the Corporation entitled to vote thereon shall not adversely affect any right or protection of a Director of the Corporation existing at the time of such repeal or modification.</w:t>
      </w:r>
    </w:p>
    <w:p>
      <w:pPr>
        <w:spacing w:after="0" w:line="185" w:lineRule="exact"/>
        <w:rPr>
          <w:rFonts w:ascii="Arial" w:cs="Arial" w:eastAsia="Arial" w:hAnsi="Arial"/>
          <w:sz w:val="18"/>
          <w:szCs w:val="18"/>
          <w:color w:val="auto"/>
        </w:rPr>
      </w:pPr>
    </w:p>
    <w:p>
      <w:pPr>
        <w:ind w:firstLine="359"/>
        <w:spacing w:after="0" w:line="259" w:lineRule="auto"/>
        <w:tabs>
          <w:tab w:leader="none" w:pos="6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General Corporation Law of the State of Delaware is amended to authorize corporate action further eliminating or limiting the liability of directors, then a Director of the Corporation shall be free of liability to the fullest extent permitted by the General Corporation Law of the State of Delaware, as so amended.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RESERVATION OF RIGHT TO AMEND</w:t>
      </w:r>
    </w:p>
    <w:p>
      <w:pPr>
        <w:spacing w:after="0" w:line="2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CERTIFICATE OF INCORPORATION</w:t>
      </w:r>
    </w:p>
    <w:p>
      <w:pPr>
        <w:spacing w:after="0" w:line="219"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Corporation reserves the right to amend, alter, change or repeal any provision contained in this Restated Certificate of Incorporation in the manner now or hereafter prescribed by law, and all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ind w:right="80"/>
        <w:spacing w:after="0" w:line="268" w:lineRule="auto"/>
        <w:rPr>
          <w:sz w:val="20"/>
          <w:szCs w:val="20"/>
          <w:color w:val="auto"/>
        </w:rPr>
      </w:pPr>
      <w:r>
        <w:rPr>
          <w:rFonts w:ascii="Arial" w:cs="Arial" w:eastAsia="Arial" w:hAnsi="Arial"/>
          <w:sz w:val="18"/>
          <w:szCs w:val="18"/>
          <w:color w:val="auto"/>
        </w:rPr>
        <w:t>provisions of this Restated Certificate of Incorporation and all rights and powers conferred in this Restated Certificate of Incorporation on stockholders, directors and officers are subject to this reserved power.</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Each reference in the Restated Certificate of Incorporation to "the Restated Certificate of Incorporation," "hereunder," "hereof," or words of like import and each reference to the Restated Certificate of Incorporation set forth in any amendment to the Restated Certificate of Incorporation shall mean and be a reference to the Restated Certificate of Incorporation as supplemented and amended through such amendment to the Restated Certificate of Incorporation.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60" w:firstLine="359"/>
        <w:spacing w:after="0" w:line="298" w:lineRule="auto"/>
        <w:tabs>
          <w:tab w:leader="none" w:pos="731"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Class A Common Stock. </w:t>
      </w:r>
      <w:r>
        <w:rPr>
          <w:rFonts w:ascii="Arial" w:cs="Arial" w:eastAsia="Arial" w:hAnsi="Arial"/>
          <w:sz w:val="16"/>
          <w:szCs w:val="16"/>
          <w:color w:val="auto"/>
        </w:rPr>
        <w:t>In addition to any other approval required by law or by this Restated Certificate of Incorporation, the affirmative vote of a</w:t>
      </w:r>
      <w:r>
        <w:rPr>
          <w:rFonts w:ascii="Arial" w:cs="Arial" w:eastAsia="Arial" w:hAnsi="Arial"/>
          <w:sz w:val="16"/>
          <w:szCs w:val="16"/>
          <w:i w:val="1"/>
          <w:iCs w:val="1"/>
          <w:color w:val="auto"/>
        </w:rPr>
        <w:t xml:space="preserve"> </w:t>
      </w:r>
      <w:r>
        <w:rPr>
          <w:rFonts w:ascii="Arial" w:cs="Arial" w:eastAsia="Arial" w:hAnsi="Arial"/>
          <w:sz w:val="16"/>
          <w:szCs w:val="16"/>
          <w:color w:val="auto"/>
        </w:rPr>
        <w:t>majority of the then outstanding shares of Class A Common Stock, voted separately as a class, shall be necessary to approve any consolidation of the Corporation with another corporation, any merger of the Corporation into another corporation or any merger of any other corporation into the Corporation pursuant to which shares of Common Stock are converted into or exchanged for any securities or any other consideration.</w:t>
      </w:r>
    </w:p>
    <w:p>
      <w:pPr>
        <w:spacing w:after="0" w:line="166" w:lineRule="exact"/>
        <w:rPr>
          <w:rFonts w:ascii="Arial" w:cs="Arial" w:eastAsia="Arial" w:hAnsi="Arial"/>
          <w:sz w:val="16"/>
          <w:szCs w:val="16"/>
          <w:color w:val="auto"/>
        </w:rPr>
      </w:pPr>
    </w:p>
    <w:p>
      <w:pPr>
        <w:ind w:right="140" w:firstLine="359"/>
        <w:spacing w:after="0" w:line="259" w:lineRule="auto"/>
        <w:tabs>
          <w:tab w:leader="none" w:pos="731"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In addition to any other approval required by law or by this Restated Certificate of Incorporation, each particular series of any class</w:t>
      </w:r>
      <w:r>
        <w:rPr>
          <w:rFonts w:ascii="Arial" w:cs="Arial" w:eastAsia="Arial" w:hAnsi="Arial"/>
          <w:sz w:val="18"/>
          <w:szCs w:val="18"/>
          <w:i w:val="1"/>
          <w:iCs w:val="1"/>
          <w:color w:val="auto"/>
        </w:rPr>
        <w:t xml:space="preserve"> </w:t>
      </w:r>
      <w:r>
        <w:rPr>
          <w:rFonts w:ascii="Arial" w:cs="Arial" w:eastAsia="Arial" w:hAnsi="Arial"/>
          <w:sz w:val="18"/>
          <w:szCs w:val="18"/>
          <w:color w:val="auto"/>
        </w:rPr>
        <w:t>of Preferred Stock shall have such right to vote, if any, as shall be fixed in the resolution or resolutions, adopted by the Board of Directors, providing for the issuance of shares of such particular series.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OWNERSHIP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FEDERAL COMMUNICATIONS LAWS</w:t>
      </w:r>
    </w:p>
    <w:p>
      <w:pPr>
        <w:spacing w:after="0" w:line="219" w:lineRule="exact"/>
        <w:rPr>
          <w:sz w:val="20"/>
          <w:szCs w:val="20"/>
          <w:color w:val="auto"/>
        </w:rPr>
      </w:pPr>
    </w:p>
    <w:p>
      <w:pPr>
        <w:ind w:right="80" w:firstLine="359"/>
        <w:spacing w:after="0" w:line="286" w:lineRule="auto"/>
        <w:tabs>
          <w:tab w:leader="none" w:pos="731"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Requests for Information. </w:t>
      </w:r>
      <w:r>
        <w:rPr>
          <w:rFonts w:ascii="Arial" w:cs="Arial" w:eastAsia="Arial" w:hAnsi="Arial"/>
          <w:sz w:val="16"/>
          <w:szCs w:val="16"/>
          <w:color w:val="auto"/>
        </w:rPr>
        <w:t>So long as the Corporation or any of its subsidiaries holds any authorization from the Federal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(or any successor thereto), if the Corporation has reason to believe that the ownership, or proposed ownership, of shares of capital stock of the Corporation by any stockholder or any person presenting any shares of capital stock of the Corporation for transfer into his name (a "Proposed Transferee") may be inconsistent with, or in violation of, any provision of the Federal Communications Laws (as hereinafter defined), such stockholder or Proposed Transferee, upon request of the Corporation, shall furnish promptly to the Corporation such information (including, without limitation, information with respect to citizenship, other ownership interests and affiliations) as the Corporation shall reasonably request to determine whether the ownership of, or the exercise of any rights with respect to, shares of capital stock of the Corporation by such stockholder or Proposed Transferee is inconsistent with, or in violation of, the Federal Communications Laws. For purposes of this Article X, the term "Federal Communications Laws" shall mean any law of the United States now or hereafter in effect (and any regulation thereunder) pertaining to the ownership of, or the exercise of the rights of ownership with respect to, capital stock of corporations holding, directly or indirectly, Federal Communications Commission authorizations, including, without limitation, the Communications Act of 1934, as amended (the "Communications Act"), and regulations thereunder pertaining to the ownership, or the exercise of the rights of ownership, of capital stock of corporations holding, directly or indirectly, Federal Communications Commission authorizations, by (i) aliens, as defined in or under the Communications Act, as it may be amended from time to time, (ii) persons and entities having interests in television or radio stations, daily newspapers and cable television systems 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ind w:right="480" w:firstLine="8"/>
        <w:spacing w:after="0" w:line="268" w:lineRule="auto"/>
        <w:tabs>
          <w:tab w:leader="none" w:pos="307"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or entities, unilaterally or otherwise, seeking direct or indirect control of the Corporation, as construed under the Communications Act, without having obtained any requisite prior Federal regulatory approval to such control.</w:t>
      </w:r>
    </w:p>
    <w:p>
      <w:pPr>
        <w:spacing w:after="0" w:line="185" w:lineRule="exact"/>
        <w:rPr>
          <w:rFonts w:ascii="Arial" w:cs="Arial" w:eastAsia="Arial" w:hAnsi="Arial"/>
          <w:sz w:val="18"/>
          <w:szCs w:val="18"/>
          <w:color w:val="auto"/>
        </w:rPr>
      </w:pPr>
    </w:p>
    <w:p>
      <w:pPr>
        <w:ind w:right="20" w:firstLine="359"/>
        <w:spacing w:after="0" w:line="287" w:lineRule="auto"/>
        <w:tabs>
          <w:tab w:leader="none" w:pos="731"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Denial of Rights, Refusal to Transfer. </w:t>
      </w:r>
      <w:r>
        <w:rPr>
          <w:rFonts w:ascii="Arial" w:cs="Arial" w:eastAsia="Arial" w:hAnsi="Arial"/>
          <w:sz w:val="16"/>
          <w:szCs w:val="16"/>
          <w:color w:val="auto"/>
        </w:rPr>
        <w:t>If any stockholder or Proposed Transferee from whom information is requested should fail to respond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request pursuant to Section (1) of this Article or the Corporation shall conclude that the ownership of, or the exercise of any rights of ownership with respect to, shares of capital stock of the Corporation, by such stockholder or Proposed Transferee, could result in any inconsistency with, or violation of, the Federal Communications Laws, the Corporation may refuse to permit the transfer of shares of capital stock of the Corporation to such Proposed Transferee, or may suspend those rights of stock ownership the exercise of which would result in any inconsistency with, or violation of, the Federal Communications Laws, such refusal of transfer or suspension to remain in effect until the requested information has been received and the Corporation has determined that such transfer, or the exercise of such suspended rights, as the case may be, is permissible under the Federal Communications Laws, and the Corporation may exercise any and all appropriate remedies, at law or in equity, in any court of competent jurisdiction, against any such stockholder or Proposed Transferee, with a view towards obtaining such information or preventing or curing any situation which would cause any inconsistency with, or violation of, any provision of the Federal Communications Laws.</w:t>
      </w:r>
    </w:p>
    <w:p>
      <w:pPr>
        <w:spacing w:after="0" w:line="176" w:lineRule="exact"/>
        <w:rPr>
          <w:rFonts w:ascii="Arial" w:cs="Arial" w:eastAsia="Arial" w:hAnsi="Arial"/>
          <w:sz w:val="16"/>
          <w:szCs w:val="16"/>
          <w:color w:val="auto"/>
        </w:rPr>
      </w:pPr>
    </w:p>
    <w:p>
      <w:pPr>
        <w:ind w:right="40" w:firstLine="359"/>
        <w:spacing w:after="0" w:line="268" w:lineRule="auto"/>
        <w:tabs>
          <w:tab w:leader="none" w:pos="731"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The Corporation may note on the certificates of its capital stock that the shares represented by such certificates are subject to the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this Article.</w:t>
      </w:r>
    </w:p>
    <w:p>
      <w:pPr>
        <w:spacing w:after="0" w:line="185" w:lineRule="exact"/>
        <w:rPr>
          <w:rFonts w:ascii="Arial" w:cs="Arial" w:eastAsia="Arial" w:hAnsi="Arial"/>
          <w:sz w:val="18"/>
          <w:szCs w:val="18"/>
          <w:color w:val="auto"/>
        </w:rPr>
      </w:pPr>
    </w:p>
    <w:p>
      <w:pPr>
        <w:jc w:val="both"/>
        <w:ind w:firstLine="359"/>
        <w:spacing w:after="0" w:line="306" w:lineRule="auto"/>
        <w:tabs>
          <w:tab w:leader="none" w:pos="731"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Certain Definitions. </w:t>
      </w:r>
      <w:r>
        <w:rPr>
          <w:rFonts w:ascii="Arial" w:cs="Arial" w:eastAsia="Arial" w:hAnsi="Arial"/>
          <w:sz w:val="16"/>
          <w:szCs w:val="16"/>
          <w:color w:val="auto"/>
        </w:rPr>
        <w:t>For purposes of this Article, the word "person" shall include not only natural persons but partnerships, associations,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joint ventures and other entities, and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DIRECTORS AND OFFICERS</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 (a) the material facts as to his relationship or interest and as to the contract or transaction are disclosed or are known to the Board of Directors or the committee, and the Board of Directors or the committee in good faith authorizes the contract or transaction by the affirmative votes of a majority of the disinterested directors, even though the disinterested directors be less than a quorum, or (b) the material facts as to his relationship or interest and as to the contract or transaction are disclosed or are known to the stockholders entitled to vote thereon, and the contract or transaction is specifically approved in good faith by vote of such stockholders, or (c) the contract or transaction is fair as to the Corporation as of the time it is authorized, approved or ratified by the Board of Directors, a committee thereof, or the stockholders entitled to vote thereon. Common or interested directors may be counted in determining the presence of a quorum at a meeting of the Board of Directors or of a Committee which authorizes the contract or transaction.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jc w:val="center"/>
        <w:ind w:right="-99"/>
        <w:spacing w:after="0"/>
        <w:rPr>
          <w:sz w:val="20"/>
          <w:szCs w:val="20"/>
          <w:color w:val="auto"/>
        </w:rPr>
      </w:pPr>
      <w:r>
        <w:rPr>
          <w:rFonts w:ascii="Arial" w:cs="Arial" w:eastAsia="Arial" w:hAnsi="Arial"/>
          <w:sz w:val="18"/>
          <w:szCs w:val="18"/>
          <w:b w:val="1"/>
          <w:bCs w:val="1"/>
          <w:color w:val="auto"/>
        </w:rPr>
        <w:t>ARTICLE XII</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COMPROMISE AND REORGANIZATION</w:t>
      </w:r>
    </w:p>
    <w:p>
      <w:pPr>
        <w:spacing w:after="0" w:line="219"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agrees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42" w:name="page143"/>
    <w:bookmarkEnd w:id="142"/>
    <w:p>
      <w:pPr>
        <w:ind w:firstLine="351"/>
        <w:spacing w:after="0" w:line="281" w:lineRule="auto"/>
        <w:rPr>
          <w:sz w:val="20"/>
          <w:szCs w:val="20"/>
          <w:color w:val="auto"/>
        </w:rPr>
      </w:pPr>
      <w:r>
        <w:rPr>
          <w:rFonts w:ascii="Arial" w:cs="Arial" w:eastAsia="Arial" w:hAnsi="Arial"/>
          <w:sz w:val="17"/>
          <w:szCs w:val="17"/>
          <w:color w:val="auto"/>
        </w:rPr>
        <w:t>IN WITNESS WHEREOF, this Amended and Restated Certificate of Incorporation, which restates and integrates but does not further amend the Amended and Restated Certificate of Incorporation as heretofore amended and supplemented, there being no discrepancies between those provisions and this Amended and Restated Certificate of Incorporation, and it having been duly adopted by the Corporation's Board of Directors in accordance with Section 245 of the Delaware General Corporation Law, has been executed by its duly authorized officer this 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December, 2004.</w:t>
      </w:r>
    </w:p>
    <w:p>
      <w:pPr>
        <w:spacing w:after="0" w:line="5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VIACOM INC.</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MICHAEL D. FRICKLAS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Michael D. Fricklas</w:t>
      </w:r>
    </w:p>
    <w:p>
      <w:pPr>
        <w:spacing w:after="0" w:line="15"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General Counsel and Secretary</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D Fully Participating Preferred Stock</w:t>
      </w:r>
    </w:p>
    <w:p>
      <w:pPr>
        <w:spacing w:after="0" w:line="21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Designation and Amount.</w:t>
      </w:r>
      <w:r>
        <w:rPr>
          <w:rFonts w:ascii="Arial" w:cs="Arial" w:eastAsia="Arial" w:hAnsi="Arial"/>
          <w:sz w:val="18"/>
          <w:szCs w:val="18"/>
          <w:color w:val="auto"/>
        </w:rPr>
        <w:t xml:space="preserve"> The shares of such series shall be designated as "Series D Fully Participating Preferred Stock" and the number of shares constituting such series shall be 4,144,000.</w:t>
      </w:r>
    </w:p>
    <w:p>
      <w:pPr>
        <w:spacing w:after="0" w:line="186" w:lineRule="exact"/>
        <w:rPr>
          <w:sz w:val="20"/>
          <w:szCs w:val="20"/>
          <w:color w:val="auto"/>
        </w:rPr>
      </w:pPr>
    </w:p>
    <w:p>
      <w:pPr>
        <w:jc w:val="center"/>
        <w:ind w:right="20"/>
        <w:spacing w:after="0"/>
        <w:tabs>
          <w:tab w:leader="none" w:pos="160" w:val="left"/>
          <w:tab w:leader="none" w:pos="1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8"/>
          <w:szCs w:val="18"/>
          <w:i w:val="1"/>
          <w:iCs w:val="1"/>
          <w:color w:val="auto"/>
        </w:rPr>
        <w:t>Dividends and Distributions.</w:t>
      </w:r>
      <w:r>
        <w:rPr>
          <w:sz w:val="20"/>
          <w:szCs w:val="20"/>
          <w:color w:val="auto"/>
        </w:rPr>
        <w:tab/>
      </w:r>
      <w:r>
        <w:rPr>
          <w:rFonts w:ascii="Arial" w:cs="Arial" w:eastAsia="Arial" w:hAnsi="Arial"/>
          <w:sz w:val="16"/>
          <w:szCs w:val="16"/>
          <w:color w:val="auto"/>
        </w:rPr>
        <w:t>(A) Each holder of one one-hundredth (1/100) of a share (a "</w:t>
      </w:r>
      <w:r>
        <w:rPr>
          <w:rFonts w:ascii="Arial" w:cs="Arial" w:eastAsia="Arial" w:hAnsi="Arial"/>
          <w:sz w:val="16"/>
          <w:szCs w:val="16"/>
          <w:i w:val="1"/>
          <w:iCs w:val="1"/>
          <w:color w:val="auto"/>
        </w:rPr>
        <w:t>Unit</w:t>
      </w:r>
      <w:r>
        <w:rPr>
          <w:rFonts w:ascii="Arial" w:cs="Arial" w:eastAsia="Arial" w:hAnsi="Arial"/>
          <w:sz w:val="16"/>
          <w:szCs w:val="16"/>
          <w:color w:val="auto"/>
        </w:rPr>
        <w:t>") of Series D Fully Participating Preferred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Stock shall be entitled to receive, out of funds legally available for that purpose, (i) a mandatory cash dividend in an amount per Unit (rounded to the nearest cent)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equal to the per share amount of any cash dividend declared on shares of Class B Common Stock and (ii) subject to the provision for adjustment hereinafter 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forth, a mandatory cash dividend in an amount per Unit (rounded to the nearest cent) equal to the "fair market value" of the per share amount of all non-cash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dividends or other distributions (other than a dividend payable in shares of Class B Common Stock or a subdivision of the outstanding shares of Class B Common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Stock, by reclassification or otherwise) declared on shares of Class B Common Stock. In the event that the Company shall at any time after the issuance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or fraction of a share of Series D Fully Participating Preferred Stock (the "</w:t>
      </w:r>
      <w:r>
        <w:rPr>
          <w:rFonts w:ascii="Arial" w:cs="Arial" w:eastAsia="Arial" w:hAnsi="Arial"/>
          <w:sz w:val="16"/>
          <w:szCs w:val="16"/>
          <w:i w:val="1"/>
          <w:iCs w:val="1"/>
          <w:color w:val="auto"/>
        </w:rPr>
        <w:t>Series D Issuance Date</w:t>
      </w:r>
      <w:r>
        <w:rPr>
          <w:rFonts w:ascii="Arial" w:cs="Arial" w:eastAsia="Arial" w:hAnsi="Arial"/>
          <w:sz w:val="16"/>
          <w:szCs w:val="16"/>
          <w:color w:val="auto"/>
        </w:rPr>
        <w:t>") (i) declare any dividend on outstanding shares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Class B Common Stock payable in shares of Class B Common Stock, (ii) subdivide outstanding shares of Class B Common Stock into a greater number of shares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or (iii) combine outstanding shares of Class B Common Stock into a smaller number of shares, then in each such case the amount to which the holder of a Unit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D Fully Participating Preferred Stock was entitled immediately prior to such event pursuant to the preceding sentence shall be adjusted by multiplying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by a fraction the numerator of which shall be the number of shares of Class B Common Stock that are outstanding immediately after such event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denominator of which shall be the number of shares of Class B Common Stock that were outstanding immediately prior to such event.</w:t>
      </w:r>
    </w:p>
    <w:p>
      <w:pPr>
        <w:spacing w:after="0" w:line="219" w:lineRule="exact"/>
        <w:rPr>
          <w:sz w:val="20"/>
          <w:szCs w:val="20"/>
          <w:color w:val="auto"/>
        </w:rPr>
      </w:pPr>
    </w:p>
    <w:p>
      <w:pPr>
        <w:ind w:right="160" w:firstLine="359"/>
        <w:spacing w:after="0" w:line="259" w:lineRule="auto"/>
        <w:tabs>
          <w:tab w:leader="none" w:pos="67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declare a mandatory dividend or distribution on Units of Series D Fully Participating Preferred Stock as provided in paragraph (A) above immediately after it declares a dividend or distribution on the shares of Class B Common Stock (other than a dividend payable in shares of Class B Common Stock).</w:t>
      </w:r>
    </w:p>
    <w:p>
      <w:pPr>
        <w:spacing w:after="0" w:line="194" w:lineRule="exact"/>
        <w:rPr>
          <w:rFonts w:ascii="Arial" w:cs="Arial" w:eastAsia="Arial" w:hAnsi="Arial"/>
          <w:sz w:val="18"/>
          <w:szCs w:val="18"/>
          <w:color w:val="auto"/>
        </w:rPr>
      </w:pPr>
    </w:p>
    <w:p>
      <w:pPr>
        <w:ind w:right="180" w:firstLine="359"/>
        <w:spacing w:after="0" w:line="259" w:lineRule="auto"/>
        <w:tabs>
          <w:tab w:leader="none" w:pos="673"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purposes of this Section 2, "fair market value" on any date shall mean (i) with respect to any securities that are listed or admitted to trading on any national securities exchange, the average of the high and low sales price on the date of distribution and (ii) with respect to any other securities, properties or assets, the fair market value thereof as determined in good faith by the Board of Directors of the Company.</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Voting Rights.</w:t>
      </w:r>
      <w:r>
        <w:rPr>
          <w:rFonts w:ascii="Arial" w:cs="Arial" w:eastAsia="Arial" w:hAnsi="Arial"/>
          <w:sz w:val="18"/>
          <w:szCs w:val="18"/>
          <w:color w:val="auto"/>
        </w:rPr>
        <w:t xml:space="preserve"> Except as otherwise required by law or by the Certificate (including without limitation this resolution), the holders of Units of Series D Fully Participating Preferred Stock shall not have or be entitled to any voting rights or powers with respect to any questions presented to stockholders of the Company.</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Certain Restrictions.</w:t>
      </w:r>
      <w:r>
        <w:rPr>
          <w:rFonts w:ascii="Arial" w:cs="Arial" w:eastAsia="Arial" w:hAnsi="Arial"/>
          <w:sz w:val="18"/>
          <w:szCs w:val="18"/>
          <w:color w:val="auto"/>
        </w:rPr>
        <w:t xml:space="preserve"> (A) Whenever dividends or distributions payable on Units of Series D Fully Participating Preferred Stock as provided in Section 2 are due but not yet paid, thereafter and until all accrued and unpaid dividends and distributions on outstanding Units of Series D Fully Participating Preferred Stock shall have been paid in full when due, the Company shall not: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4" w:name="page145"/>
    <w:bookmarkEnd w:id="144"/>
    <w:p>
      <w:pPr>
        <w:ind w:left="1240" w:hanging="341"/>
        <w:spacing w:after="0"/>
        <w:tabs>
          <w:tab w:leader="none" w:pos="12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declare or pay dividends on, make any other distributions on, or redeem or purchase or otherwise acquire for consideration any shares of junior</w:t>
      </w:r>
    </w:p>
    <w:p>
      <w:pPr>
        <w:spacing w:after="0" w:line="49"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color w:val="auto"/>
        </w:rPr>
        <w:t>stock;</w:t>
      </w:r>
    </w:p>
    <w:p>
      <w:pPr>
        <w:spacing w:after="0" w:line="218" w:lineRule="exact"/>
        <w:rPr>
          <w:rFonts w:ascii="Arial" w:cs="Arial" w:eastAsia="Arial" w:hAnsi="Arial"/>
          <w:sz w:val="15"/>
          <w:szCs w:val="15"/>
          <w:color w:val="auto"/>
        </w:rPr>
      </w:pPr>
    </w:p>
    <w:p>
      <w:pPr>
        <w:jc w:val="both"/>
        <w:ind w:left="540" w:right="180" w:firstLine="359"/>
        <w:spacing w:after="0" w:line="259" w:lineRule="auto"/>
        <w:tabs>
          <w:tab w:leader="none" w:pos="1237"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parity stock, except dividends paid ratably on Units of Series D Fully Participating Preferred Stock and shares of all such parity stock on which dividends are payable or in arrears in proportion to the total amounts to which the holders of such Units and all such shares are then entitled;</w:t>
      </w:r>
    </w:p>
    <w:p>
      <w:pPr>
        <w:spacing w:after="0" w:line="194" w:lineRule="exact"/>
        <w:rPr>
          <w:rFonts w:ascii="Arial" w:cs="Arial" w:eastAsia="Arial" w:hAnsi="Arial"/>
          <w:sz w:val="18"/>
          <w:szCs w:val="18"/>
          <w:color w:val="auto"/>
        </w:rPr>
      </w:pPr>
    </w:p>
    <w:p>
      <w:pPr>
        <w:ind w:left="540" w:right="260" w:firstLine="359"/>
        <w:spacing w:after="0" w:line="332" w:lineRule="auto"/>
        <w:tabs>
          <w:tab w:leader="none" w:pos="1242"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redeem or purchase or otherwise acquire for consideration shares of any parity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at any time redeem, purchase or otherwise acquire shares of any such parity stock in exchange for shares of any junior stock; or</w:t>
      </w:r>
    </w:p>
    <w:p>
      <w:pPr>
        <w:spacing w:after="0" w:line="139" w:lineRule="exact"/>
        <w:rPr>
          <w:rFonts w:ascii="Arial" w:cs="Arial" w:eastAsia="Arial" w:hAnsi="Arial"/>
          <w:sz w:val="16"/>
          <w:szCs w:val="16"/>
          <w:color w:val="auto"/>
        </w:rPr>
      </w:pPr>
    </w:p>
    <w:p>
      <w:pPr>
        <w:ind w:left="540" w:firstLine="359"/>
        <w:spacing w:after="0" w:line="268" w:lineRule="auto"/>
        <w:tabs>
          <w:tab w:leader="none" w:pos="12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purchase or otherwise acquire for consideration any Units of Series D Fully Participating Preferred Stock, except in accordance with a purchase offer made in writing or by publication (as determined by the Board of Directors) to all holders of such Units.</w:t>
      </w:r>
    </w:p>
    <w:p>
      <w:pPr>
        <w:spacing w:after="0" w:line="186" w:lineRule="exact"/>
        <w:rPr>
          <w:sz w:val="20"/>
          <w:szCs w:val="20"/>
          <w:color w:val="auto"/>
        </w:rPr>
      </w:pPr>
    </w:p>
    <w:p>
      <w:pPr>
        <w:ind w:right="160" w:firstLine="359"/>
        <w:spacing w:after="0" w:line="332" w:lineRule="auto"/>
        <w:tabs>
          <w:tab w:leader="none" w:pos="67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Company shall not permit any subsidiary of the Company to purchase or otherwise acquire for consideration any shares of stock of the Company unless the Company could, under paragraph (A) of this Section 4, purchase or otherwise acquire such shares at such time and in such manner.</w:t>
      </w:r>
    </w:p>
    <w:p>
      <w:pPr>
        <w:spacing w:after="0" w:line="13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Reacquired Shares.</w:t>
      </w:r>
      <w:r>
        <w:rPr>
          <w:rFonts w:ascii="Arial" w:cs="Arial" w:eastAsia="Arial" w:hAnsi="Arial"/>
          <w:sz w:val="16"/>
          <w:szCs w:val="16"/>
          <w:color w:val="auto"/>
        </w:rPr>
        <w:t xml:space="preserve"> Any shares of Series D Fully Participating Preferred Stock purchased or otherwise acquired by the Company in any manner whatsoever shall be retired and cancelled promptly after the acquisition thereof. The Company shall take all such actions as are necessary so that all such shares, upon their cancellation, shall become authorized but unissued shares of Preferred Stock, which may be reissued as part of a new series of Preferred Stock to be created by resolution or resolutions of the Board of Directors, subject to the conditions and restrictions on issuance set forth herein.</w:t>
      </w:r>
    </w:p>
    <w:p>
      <w:pPr>
        <w:spacing w:after="0" w:line="16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i w:val="1"/>
          <w:iCs w:val="1"/>
          <w:color w:val="auto"/>
        </w:rPr>
        <w:t>Liquidation, Dissolution or Winding Up.</w:t>
      </w:r>
      <w:r>
        <w:rPr>
          <w:rFonts w:ascii="Arial" w:cs="Arial" w:eastAsia="Arial" w:hAnsi="Arial"/>
          <w:sz w:val="16"/>
          <w:szCs w:val="16"/>
          <w:color w:val="auto"/>
        </w:rPr>
        <w:t xml:space="preserve"> (A) Upon any voluntary or involuntary liquidation, dissolution or winding up of the Company, no distribution shall be made (i) to the holders of shares of junior stock unless the holders of Units of Series D Fully Participating Preferred Stock shall have received, subject to adjustment as hereinafter provided in paragraph (B), the greater of either (a) $.01 per share of Series D Fully Participating Preferred Stock plus an amount equal to accrued and unpaid dividends and distributions thereon to the date of such payment, or (b) the amount equal to the aggregate per share amount to be distributed to holders of shares of Class B Common Stock, or (ii) to the holders of shares of parity stock, unless simultaneously therewith distributions are made ratably on Units of Series D Fully Participating Preferred Stock and all other shares of such parity stock in proportion to the total amounts to which the holders of Units of Series D Fully Participating Preferred Stock are entitled under clause (i)(a) of this sentence and to which the holders of shares of such parity stock are entitled, in each case upon such liquidation, dissolution or winding up.</w:t>
      </w:r>
    </w:p>
    <w:p>
      <w:pPr>
        <w:spacing w:after="0" w:line="172" w:lineRule="exact"/>
        <w:rPr>
          <w:sz w:val="20"/>
          <w:szCs w:val="20"/>
          <w:color w:val="auto"/>
        </w:rPr>
      </w:pPr>
    </w:p>
    <w:p>
      <w:pPr>
        <w:ind w:firstLine="359"/>
        <w:spacing w:after="0" w:line="314" w:lineRule="auto"/>
        <w:tabs>
          <w:tab w:leader="none" w:pos="673" w:val="left"/>
        </w:tabs>
        <w:numPr>
          <w:ilvl w:val="0"/>
          <w:numId w:val="77"/>
        </w:numPr>
        <w:rPr>
          <w:rFonts w:ascii="Arial" w:cs="Arial" w:eastAsia="Arial" w:hAnsi="Arial"/>
          <w:sz w:val="15"/>
          <w:szCs w:val="15"/>
          <w:color w:val="auto"/>
        </w:rPr>
      </w:pPr>
      <w:r>
        <w:rPr>
          <w:rFonts w:ascii="Arial" w:cs="Arial" w:eastAsia="Arial" w:hAnsi="Arial"/>
          <w:sz w:val="15"/>
          <w:szCs w:val="15"/>
          <w:color w:val="auto"/>
        </w:rPr>
        <w:t>In the event the Company shall, at any time after the Series D Issuance Date, (i) declare any dividend on outstanding shares of Class B Common Stock payable in shares of Class B Common Stock, (ii) subdivide outstanding shares of Class B Common Stock into a greater number of shares, or (iii) combine outstanding shares of Class B Common Stock into a smaller number of shares, then in each such case the aggregate amount to which holders of Units of Series D Fully Participating Preferred Stock were entitled immediately prior to such event pursuant to clause (i)(b) of paragraph (A) of this Section 6 shall be adjusted by multiplying such amount by a fraction the numerator of which shall be the number of shares of Class B Common Stock that are outstanding immediately after such event and the denominator of which shall be the number of shares of Class B Common Stock that were outstanding immediately prior to such event.</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5" w:name="page146"/>
    <w:bookmarkEnd w:id="145"/>
    <w:p>
      <w:pPr>
        <w:ind w:right="60" w:firstLine="351"/>
        <w:spacing w:after="0" w:line="302" w:lineRule="auto"/>
        <w:rPr>
          <w:sz w:val="20"/>
          <w:szCs w:val="20"/>
          <w:color w:val="auto"/>
        </w:rPr>
      </w:pPr>
      <w:r>
        <w:rPr>
          <w:rFonts w:ascii="Arial" w:cs="Arial" w:eastAsia="Arial" w:hAnsi="Arial"/>
          <w:sz w:val="15"/>
          <w:szCs w:val="15"/>
          <w:color w:val="auto"/>
        </w:rPr>
        <w:t xml:space="preserve">Section 7. </w:t>
      </w:r>
      <w:r>
        <w:rPr>
          <w:rFonts w:ascii="Arial" w:cs="Arial" w:eastAsia="Arial" w:hAnsi="Arial"/>
          <w:sz w:val="15"/>
          <w:szCs w:val="15"/>
          <w:i w:val="1"/>
          <w:iCs w:val="1"/>
          <w:color w:val="auto"/>
        </w:rPr>
        <w:t>Consolidation, Merger, etc.</w:t>
      </w:r>
      <w:r>
        <w:rPr>
          <w:rFonts w:ascii="Arial" w:cs="Arial" w:eastAsia="Arial" w:hAnsi="Arial"/>
          <w:sz w:val="15"/>
          <w:szCs w:val="15"/>
          <w:color w:val="auto"/>
        </w:rPr>
        <w:t xml:space="preserve"> In case the Company shall enter into any consolidation, merger, combination or other transaction in which the shares of Class B Common Stock are exchanged for or converted into other stock or securities, cash and/or any other property, then in any such case Units of Series D Fully Participating Preferred Stock shall at the same time be similarly exchanged for or converted into an amount per Unit (subject to the provision for adjustment hereinafter set forth) equal to the aggregate amount of stock, securities, cash and/or any other property (payable in kind), as the case may be, into which or for which each share of Class B Common Stock is converted or exchanged. In the event the Company shall at any time after the Series D Issuance Date</w:t>
      </w:r>
    </w:p>
    <w:p>
      <w:pPr>
        <w:spacing w:after="0" w:line="2" w:lineRule="exact"/>
        <w:rPr>
          <w:sz w:val="20"/>
          <w:szCs w:val="20"/>
          <w:color w:val="auto"/>
        </w:rPr>
      </w:pPr>
    </w:p>
    <w:p>
      <w:pPr>
        <w:ind w:right="140" w:firstLine="8"/>
        <w:spacing w:after="0" w:line="252" w:lineRule="auto"/>
        <w:tabs>
          <w:tab w:leader="none" w:pos="2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declare any dividend on outstanding shares of Class B Common Stock payable in shares of Class B Common Stock, (ii) subdivide outstanding shares of Class B Common Stock into a greater number of shares, or (iii) combine outstanding Class B Common Stock into a smaller number of shares, then in each such case the amount set forth in the immediately preceding sentence with respect to the exchange or conversion of Units of Series D Fully Participating Preferred Stock shall be adjusted by multiplying such amount by a fraction the numerator of which shall be the number of shares of Class B Common Stock that are outstanding immediately after such event and the denominator of which shall be the number of shares of Class B Common Stock that were outstanding immediately prior to such event.</w:t>
      </w:r>
    </w:p>
    <w:p>
      <w:pPr>
        <w:spacing w:after="0" w:line="202" w:lineRule="exact"/>
        <w:rPr>
          <w:sz w:val="20"/>
          <w:szCs w:val="20"/>
          <w:color w:val="auto"/>
        </w:rPr>
      </w:pPr>
    </w:p>
    <w:p>
      <w:pPr>
        <w:ind w:left="360"/>
        <w:spacing w:after="0"/>
        <w:tabs>
          <w:tab w:leader="none" w:pos="1220" w:val="left"/>
          <w:tab w:leader="none" w:pos="228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8"/>
          <w:szCs w:val="18"/>
          <w:i w:val="1"/>
          <w:iCs w:val="1"/>
          <w:color w:val="auto"/>
        </w:rPr>
        <w:t>Redemption.</w:t>
      </w:r>
      <w:r>
        <w:rPr>
          <w:sz w:val="20"/>
          <w:szCs w:val="20"/>
          <w:color w:val="auto"/>
        </w:rPr>
        <w:tab/>
      </w:r>
      <w:r>
        <w:rPr>
          <w:rFonts w:ascii="Arial" w:cs="Arial" w:eastAsia="Arial" w:hAnsi="Arial"/>
          <w:sz w:val="15"/>
          <w:szCs w:val="15"/>
          <w:color w:val="auto"/>
        </w:rPr>
        <w:t>The Units of Series D Fully Participating Preferred Stock shall not be redeemable.</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Ranking.</w:t>
      </w:r>
      <w:r>
        <w:rPr>
          <w:rFonts w:ascii="Arial" w:cs="Arial" w:eastAsia="Arial" w:hAnsi="Arial"/>
          <w:sz w:val="18"/>
          <w:szCs w:val="18"/>
          <w:color w:val="auto"/>
        </w:rPr>
        <w:t xml:space="preserve"> The Units of Series D Fully Participating Preferred Stock shall rank junior to all other series of the Preferred Stock and to any other class of preferred stock that hereafter may be issued by the Company as to the payment of dividends and the distribution of assets, unless the terms of any such series or class shall provide otherwise.</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Amendment.</w:t>
      </w:r>
      <w:r>
        <w:rPr>
          <w:rFonts w:ascii="Arial" w:cs="Arial" w:eastAsia="Arial" w:hAnsi="Arial"/>
          <w:sz w:val="18"/>
          <w:szCs w:val="18"/>
          <w:color w:val="auto"/>
        </w:rPr>
        <w:t xml:space="preserve"> (A) The Certificate, including, without limitation, this resolution, shall not hereafter be amended, either directly or indirectly, or through merger or consolidation with any other corporation or corporations in any manner that would alter or change the powers, preferences or special rights of the Series D Fully Participating Preferred Stock so as to affect them adversely without the affirmative vote of the holders of a majority of the outstanding Units of Series D Fully Participating Preferred Stock, voting separately as a class.</w:t>
      </w:r>
    </w:p>
    <w:p>
      <w:pPr>
        <w:spacing w:after="0" w:line="197" w:lineRule="exact"/>
        <w:rPr>
          <w:sz w:val="20"/>
          <w:szCs w:val="20"/>
          <w:color w:val="auto"/>
        </w:rPr>
      </w:pPr>
    </w:p>
    <w:p>
      <w:pPr>
        <w:jc w:val="both"/>
        <w:ind w:firstLine="359"/>
        <w:spacing w:after="0" w:line="306" w:lineRule="auto"/>
        <w:tabs>
          <w:tab w:leader="none" w:pos="673"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the event the terms of the Class B Common Stock are amended to provide the holders thereof with powers, preferences or rights that they do not have as of the Series D Issuance Date, then the Company shall amend the terms of the Series D Fully Participating Preferred Stock so as to provide the holders of each Unit with the same powers, preferences and rights provided to each share of Class B Common Stock.</w:t>
      </w:r>
    </w:p>
    <w:p>
      <w:pPr>
        <w:spacing w:after="0" w:line="161"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Fractional Shares.</w:t>
      </w:r>
      <w:r>
        <w:rPr>
          <w:rFonts w:ascii="Arial" w:cs="Arial" w:eastAsia="Arial" w:hAnsi="Arial"/>
          <w:sz w:val="18"/>
          <w:szCs w:val="18"/>
          <w:color w:val="auto"/>
        </w:rPr>
        <w:t xml:space="preserve"> The Series D Fully Participating Preferred Stock may be issued in Units or other fractions of a share, which Units or fractions shall entitle the holder, in proportion to such holder's fractional shares, to exercise voting rights, receive dividends, participate in distributions and to have the benefit of all other rights of holders of Series D Fully Participating Preferred Stock.</w:t>
      </w:r>
    </w:p>
    <w:p>
      <w:pPr>
        <w:spacing w:after="0" w:line="194"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Certain Definitions.</w:t>
      </w:r>
      <w:r>
        <w:rPr>
          <w:rFonts w:ascii="Arial" w:cs="Arial" w:eastAsia="Arial" w:hAnsi="Arial"/>
          <w:sz w:val="18"/>
          <w:szCs w:val="18"/>
          <w:color w:val="auto"/>
        </w:rPr>
        <w:t xml:space="preserve"> As used herein with respect to the Series D Fully Participating Preferred Stock, the following terms shall have the following meanings: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6" w:name="page147"/>
    <w:bookmarkEnd w:id="146"/>
    <w:p>
      <w:pPr>
        <w:ind w:left="-40" w:right="80" w:firstLine="359"/>
        <w:spacing w:after="0" w:line="306" w:lineRule="auto"/>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Class A Common Stock</w:t>
      </w:r>
      <w:r>
        <w:rPr>
          <w:rFonts w:ascii="Arial" w:cs="Arial" w:eastAsia="Arial" w:hAnsi="Arial"/>
          <w:sz w:val="16"/>
          <w:szCs w:val="16"/>
          <w:color w:val="auto"/>
        </w:rPr>
        <w:t>" shall mean the class of stock designated as the class A common stock, par value $0.01 per share, of the Company at the date hereof (i.e., August 20, 2004, the date on which the Certificate of Designation for the Series D Fully Participating Preferred Stock was filed with the Secretary of State of Delaware) or any other class of stock resulting from successive changes or reclassification of such common stock.</w:t>
      </w:r>
    </w:p>
    <w:p>
      <w:pPr>
        <w:spacing w:after="0" w:line="160" w:lineRule="exact"/>
        <w:rPr>
          <w:rFonts w:ascii="Arial" w:cs="Arial" w:eastAsia="Arial" w:hAnsi="Arial"/>
          <w:sz w:val="16"/>
          <w:szCs w:val="16"/>
          <w:color w:val="auto"/>
        </w:rPr>
      </w:pPr>
    </w:p>
    <w:p>
      <w:pPr>
        <w:ind w:left="-40" w:right="100" w:firstLine="359"/>
        <w:spacing w:after="0" w:line="306" w:lineRule="auto"/>
        <w:tabs>
          <w:tab w:leader="none" w:pos="63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Class B Common Stock</w:t>
      </w:r>
      <w:r>
        <w:rPr>
          <w:rFonts w:ascii="Arial" w:cs="Arial" w:eastAsia="Arial" w:hAnsi="Arial"/>
          <w:sz w:val="16"/>
          <w:szCs w:val="16"/>
          <w:color w:val="auto"/>
        </w:rPr>
        <w:t>" shall mean the class of stock designated as the class B common stock, par value $0.01 per share, of the Company at the date hereof (i.e., August 20, 2004, the date on which the Certificate of Designation for the Series D Fully Participating Preferred Stock was filed with the Secretary of State of Delaware) or any other class of stock resulting from successive changes or reclassification of such common stock.</w:t>
      </w:r>
    </w:p>
    <w:p>
      <w:pPr>
        <w:spacing w:after="0" w:line="160" w:lineRule="exact"/>
        <w:rPr>
          <w:rFonts w:ascii="Arial" w:cs="Arial" w:eastAsia="Arial" w:hAnsi="Arial"/>
          <w:sz w:val="16"/>
          <w:szCs w:val="16"/>
          <w:color w:val="auto"/>
        </w:rPr>
      </w:pPr>
    </w:p>
    <w:p>
      <w:pPr>
        <w:ind w:left="-40" w:firstLine="359"/>
        <w:spacing w:after="0" w:line="298" w:lineRule="auto"/>
        <w:tabs>
          <w:tab w:leader="none" w:pos="63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junior stock</w:t>
      </w:r>
      <w:r>
        <w:rPr>
          <w:rFonts w:ascii="Arial" w:cs="Arial" w:eastAsia="Arial" w:hAnsi="Arial"/>
          <w:sz w:val="16"/>
          <w:szCs w:val="16"/>
          <w:color w:val="auto"/>
        </w:rPr>
        <w:t>" (i) as used in Section 4, shall mean any class or series of capital stock of the Company hereafter authorized or issued over which the Series D Fully Participating Preferred Stock has preference or priority as to the payment of dividends and (ii) as used in Section 6, shall mean the Class A Common Stock, the Class B Common Stock and any other class or series of capital stock of the Company over which the Series D Fully Participating Preferred Stock has preference or priority in the distribution of assets upon any liquidation, dissolution or winding up of the Company.</w:t>
      </w:r>
    </w:p>
    <w:p>
      <w:pPr>
        <w:spacing w:after="0" w:line="166" w:lineRule="exact"/>
        <w:rPr>
          <w:rFonts w:ascii="Arial" w:cs="Arial" w:eastAsia="Arial" w:hAnsi="Arial"/>
          <w:sz w:val="16"/>
          <w:szCs w:val="16"/>
          <w:color w:val="auto"/>
        </w:rPr>
      </w:pPr>
    </w:p>
    <w:p>
      <w:pPr>
        <w:ind w:left="-40" w:right="120" w:firstLine="359"/>
        <w:spacing w:after="0" w:line="256"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parity stock</w:t>
      </w:r>
      <w:r>
        <w:rPr>
          <w:rFonts w:ascii="Arial" w:cs="Arial" w:eastAsia="Arial" w:hAnsi="Arial"/>
          <w:sz w:val="18"/>
          <w:szCs w:val="18"/>
          <w:color w:val="auto"/>
        </w:rPr>
        <w:t xml:space="preserve">" (i) as used in Section 4, shall mean the Class B Common Stock and any other class or series of stock of the Company hereafter authorized or issued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D Fully Participating Preferred Stock as to the payment of dividends and (ii) as used in Section 6, shall mean any class or series of capital stock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D Fully Participating Preferred Stock in the distribution of assets on any liquidation, dissolution or winding up of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131" w:right="259" w:bottom="1440" w:gutter="0" w:footer="0" w:header="0"/>
        </w:sectPr>
      </w:pPr>
    </w:p>
    <w:bookmarkStart w:id="147" w:name="page148"/>
    <w:bookmarkEnd w:id="1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Viacom Inc. Compensation for Outside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239" w:lineRule="exact"/>
        <w:rPr>
          <w:sz w:val="20"/>
          <w:szCs w:val="20"/>
          <w:color w:val="auto"/>
        </w:rPr>
      </w:pPr>
    </w:p>
    <w:p>
      <w:pPr>
        <w:ind w:left="1080" w:right="24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Outside directors receive an annual retainer of $60,000, payable in equal installments quarterly in advance, plus a per meeting attendance fee of $2,000;</w:t>
      </w:r>
    </w:p>
    <w:p>
      <w:pPr>
        <w:spacing w:after="0" w:line="21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Chairs of the Audit, Compensation, Strategic Planning and Ad Hoc Committees each receive an annual retainer of $20,000, payable in equal installments quarterly in advance, and the members of those committees receive a per meeting attendance fee of $2,000; and</w:t>
      </w:r>
    </w:p>
    <w:p>
      <w:pPr>
        <w:spacing w:after="0" w:line="152" w:lineRule="exact"/>
        <w:rPr>
          <w:rFonts w:ascii="Arial" w:cs="Arial" w:eastAsia="Arial" w:hAnsi="Arial"/>
          <w:sz w:val="16"/>
          <w:szCs w:val="16"/>
          <w:color w:val="auto"/>
        </w:rPr>
      </w:pPr>
    </w:p>
    <w:p>
      <w:pPr>
        <w:ind w:left="1080" w:right="56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Chair of the Nominating and Governance Committee receives an annual retainer of $15,000, payable in equal installments quarterly in advance, and the members of that committee receive a per meeting attendance fee of $1,500.</w:t>
      </w:r>
    </w:p>
    <w:p>
      <w:pPr>
        <w:spacing w:after="0" w:line="186"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Outside directors may elect to defer their cash compensation under the Viacom Inc. Deferred Compensation Plan for Non-Employee Directors, or any successor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Outside directors receive the following:</w:t>
      </w:r>
    </w:p>
    <w:p>
      <w:pPr>
        <w:spacing w:after="0" w:line="239" w:lineRule="exact"/>
        <w:rPr>
          <w:sz w:val="20"/>
          <w:szCs w:val="20"/>
          <w:color w:val="auto"/>
        </w:rPr>
      </w:pPr>
    </w:p>
    <w:p>
      <w:pPr>
        <w:ind w:left="1080" w:right="26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initial grant of 10,000 stock options to purchase shares of Class B common stock on the date the director joins the Board, which options vest one year from the date of grant; and</w:t>
      </w:r>
    </w:p>
    <w:p>
      <w:pPr>
        <w:spacing w:after="0" w:line="21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annual grant of 4,000 stock options to purchase shares of Class B common stock on January 31 of each year, which options vest in equal installments over a period of three years.</w:t>
      </w:r>
    </w:p>
    <w:p>
      <w:pPr>
        <w:spacing w:after="0" w:line="186"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exercise price of the stock options is the closing price of Viacom's Class B common stock on the New York Stock Exchange (NYSE) (or such other exchange on which the Class B common stock may then be listed) on the date of grant.</w:t>
      </w:r>
    </w:p>
    <w:p>
      <w:pPr>
        <w:spacing w:after="0" w:line="186"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Effective as of the Company's 2005 annual meeting, subject to stockholder approval, the Viacom Inc. 2000 Stock Option Plan for Outside Directors will be amended (and renamed the Viacom Inc. Equity Plan for Outside Directors) to provide that outside directors will automatically receive, in addition to the cash and equity compensation described above, the following compensation:</w:t>
      </w:r>
    </w:p>
    <w:p>
      <w:pPr>
        <w:spacing w:after="0" w:line="208" w:lineRule="exact"/>
        <w:rPr>
          <w:sz w:val="20"/>
          <w:szCs w:val="20"/>
          <w:color w:val="auto"/>
        </w:rPr>
      </w:pPr>
    </w:p>
    <w:p>
      <w:pPr>
        <w:ind w:left="1080" w:right="80" w:hanging="532"/>
        <w:spacing w:after="0" w:line="259"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initial grant of restricted share units (RSUs) on the date stockholder approval of the amended plan is received equal to $55,000 in value based on the closing price of the Class B Common Stock on the NYSE (or such other exchange on which the Class B common stock may then be listed) on the date of grant, which RSUs vest one year from the date of grant; and</w:t>
      </w:r>
    </w:p>
    <w:p>
      <w:pPr>
        <w:spacing w:after="0" w:line="207" w:lineRule="exact"/>
        <w:rPr>
          <w:rFonts w:ascii="Arial" w:cs="Arial" w:eastAsia="Arial" w:hAnsi="Arial"/>
          <w:sz w:val="18"/>
          <w:szCs w:val="18"/>
          <w:color w:val="auto"/>
        </w:rPr>
      </w:pPr>
    </w:p>
    <w:p>
      <w:pPr>
        <w:jc w:val="both"/>
        <w:ind w:left="1080" w:right="160" w:hanging="532"/>
        <w:spacing w:after="0" w:line="259"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annual grant of RSUs on January 31st of each year equal to $55,000 in value based on the closing price of the Class B Common Stock on the NYSE (or such other exchange on which the Class B common stock may then be listed) on the date of grant, which RSUs vest one year from the date of grant.</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RSUs are payable to outside directors in shares of Class B Common Stock upon vesting unless the outside director elects to defer settlement of the RSUs to a future date. Outside directors are entitled to receive dividend equivalents on the RSUs in the event the Company pays a regular cash dividend on its Class B Common Stock. Dividend equivalents shall accrue on the RSUs (including deferred RSUs) in accordance with the plan until the RSUs are settled, at which time they are payable in shares of Class B Common Stock. The Viacom Inc. Equity Plan for Outside Directors will be contained in an annex to Viacom's 2005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9" w:name="page150"/>
    <w:bookmarkEnd w:id="1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RATIO OF EARNINGS TO COMBINED FIXED CHARGES AND PREFERRED STOCK DIVIDEND REQUIREMENTS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ratios)</w:t>
      </w:r>
    </w:p>
    <w:p>
      <w:pPr>
        <w:spacing w:after="0" w:line="214"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auto"/>
        </w:rPr>
        <w:t>Twelve Months Ended December 31,</w:t>
      </w:r>
    </w:p>
    <w:p>
      <w:pPr>
        <w:spacing w:after="0" w:line="231" w:lineRule="exact"/>
        <w:rPr>
          <w:sz w:val="20"/>
          <w:szCs w:val="20"/>
          <w:color w:val="auto"/>
        </w:rPr>
      </w:pPr>
    </w:p>
    <w:p>
      <w:pPr>
        <w:ind w:left="5140"/>
        <w:spacing w:after="0"/>
        <w:tabs>
          <w:tab w:leader="none" w:pos="6620" w:val="left"/>
          <w:tab w:leader="none" w:pos="7980" w:val="left"/>
          <w:tab w:leader="none" w:pos="9360" w:val="left"/>
          <w:tab w:leader="none" w:pos="1070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b w:val="1"/>
          <w:bCs w:val="1"/>
          <w:color w:val="auto"/>
        </w:rPr>
        <w:t>2002</w:t>
      </w:r>
      <w:r>
        <w:rPr>
          <w:sz w:val="20"/>
          <w:szCs w:val="20"/>
          <w:color w:val="auto"/>
        </w:rPr>
        <w:tab/>
      </w:r>
      <w:r>
        <w:rPr>
          <w:rFonts w:ascii="Arial" w:cs="Arial" w:eastAsia="Arial" w:hAnsi="Arial"/>
          <w:sz w:val="14"/>
          <w:szCs w:val="14"/>
          <w:b w:val="1"/>
          <w:bCs w:val="1"/>
          <w:color w:val="auto"/>
        </w:rPr>
        <w:t>2001</w:t>
      </w:r>
      <w:r>
        <w:rPr>
          <w:sz w:val="20"/>
          <w:szCs w:val="20"/>
          <w:color w:val="auto"/>
        </w:rPr>
        <w:tab/>
      </w:r>
      <w:r>
        <w:rPr>
          <w:rFonts w:ascii="Arial" w:cs="Arial" w:eastAsia="Arial" w:hAnsi="Arial"/>
          <w:sz w:val="12"/>
          <w:szCs w:val="12"/>
          <w:b w:val="1"/>
          <w:b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220980</wp:posOffset>
            </wp:positionV>
            <wp:extent cx="4343400" cy="215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434340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Earnings (loss) before income taxes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Distributions from affiliated companies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expense, net of capitalized interest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Capitalized interest amortized</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rental expense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Total Earnings (loss)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Fixed charges:</w:t>
      </w:r>
    </w:p>
    <w:p>
      <w:pPr>
        <w:spacing w:after="0" w:line="15" w:lineRule="exact"/>
        <w:rPr>
          <w:sz w:val="20"/>
          <w:szCs w:val="20"/>
          <w:color w:val="auto"/>
        </w:rPr>
      </w:pPr>
    </w:p>
    <w:p>
      <w:pPr>
        <w:ind w:left="240" w:right="860"/>
        <w:spacing w:after="0" w:line="277" w:lineRule="auto"/>
        <w:rPr>
          <w:sz w:val="20"/>
          <w:szCs w:val="20"/>
          <w:color w:val="auto"/>
        </w:rPr>
      </w:pPr>
      <w:r>
        <w:rPr>
          <w:rFonts w:ascii="Arial" w:cs="Arial" w:eastAsia="Arial" w:hAnsi="Arial"/>
          <w:sz w:val="18"/>
          <w:szCs w:val="18"/>
          <w:color w:val="auto"/>
        </w:rPr>
        <w:t xml:space="preserve">Interest expense, net of capitalized interest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rental expense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Total fixed charges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dividend requirements</w:t>
      </w:r>
    </w:p>
    <w:p>
      <w:pPr>
        <w:spacing w:after="0" w:line="24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Total fixed charges and Preferred Stock dividend requirements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Ratio of earnings to fixed charges</w:t>
      </w:r>
    </w:p>
    <w:p>
      <w:pPr>
        <w:spacing w:after="0" w:line="27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Ratio of earnings to combined fixed charges and Preferred Stock dividend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1436370" cy="215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43637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(13,655.0)</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3,739.4</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3,420.9</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1,073.2</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592.4</w:t>
            </w:r>
          </w:p>
        </w:tc>
      </w:tr>
      <w:tr>
        <w:trPr>
          <w:trHeight w:val="426"/>
        </w:trPr>
        <w:tc>
          <w:tcPr>
            <w:tcW w:w="40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28.9</w:t>
            </w:r>
          </w:p>
        </w:tc>
        <w:tc>
          <w:tcPr>
            <w:tcW w:w="440" w:type="dxa"/>
            <w:vAlign w:val="bottom"/>
          </w:tcPr>
          <w:p>
            <w:pPr>
              <w:spacing w:after="0"/>
              <w:rPr>
                <w:sz w:val="24"/>
                <w:szCs w:val="24"/>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37.7</w:t>
            </w:r>
          </w:p>
        </w:tc>
        <w:tc>
          <w:tcPr>
            <w:tcW w:w="460" w:type="dxa"/>
            <w:vAlign w:val="bottom"/>
          </w:tcPr>
          <w:p>
            <w:pPr>
              <w:spacing w:after="0"/>
              <w:rPr>
                <w:sz w:val="24"/>
                <w:szCs w:val="24"/>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39.7</w:t>
            </w:r>
          </w:p>
        </w:tc>
        <w:tc>
          <w:tcPr>
            <w:tcW w:w="4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55.6</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16"/>
        </w:trPr>
        <w:tc>
          <w:tcPr>
            <w:tcW w:w="40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744.4</w:t>
            </w:r>
          </w:p>
        </w:tc>
        <w:tc>
          <w:tcPr>
            <w:tcW w:w="44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774.9</w:t>
            </w:r>
          </w:p>
        </w:tc>
        <w:tc>
          <w:tcPr>
            <w:tcW w:w="4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847.2</w:t>
            </w:r>
          </w:p>
        </w:tc>
        <w:tc>
          <w:tcPr>
            <w:tcW w:w="4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968.6</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821.8</w:t>
            </w:r>
          </w:p>
        </w:tc>
      </w:tr>
      <w:tr>
        <w:trPr>
          <w:trHeight w:val="222"/>
        </w:trPr>
        <w:tc>
          <w:tcPr>
            <w:tcW w:w="40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400" w:type="dxa"/>
            <w:vAlign w:val="bottom"/>
          </w:tcPr>
          <w:p>
            <w:pPr>
              <w:spacing w:after="0"/>
              <w:rPr>
                <w:sz w:val="22"/>
                <w:szCs w:val="22"/>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158.9</w:t>
            </w:r>
          </w:p>
        </w:tc>
        <w:tc>
          <w:tcPr>
            <w:tcW w:w="44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146.4</w:t>
            </w:r>
          </w:p>
        </w:tc>
        <w:tc>
          <w:tcPr>
            <w:tcW w:w="46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141.2</w:t>
            </w:r>
          </w:p>
        </w:tc>
        <w:tc>
          <w:tcPr>
            <w:tcW w:w="46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170.7</w:t>
            </w:r>
          </w:p>
        </w:tc>
        <w:tc>
          <w:tcPr>
            <w:tcW w:w="4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120"/>
        </w:trPr>
        <w:tc>
          <w:tcPr>
            <w:tcW w:w="4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319"/>
        </w:trPr>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(12,722.8)</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4,698.4</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4,449.0</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2,268.1</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1,589.6</w:t>
            </w:r>
          </w:p>
        </w:tc>
      </w:tr>
      <w:tr>
        <w:trPr>
          <w:trHeight w:val="107"/>
        </w:trPr>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61"/>
        </w:trPr>
        <w:tc>
          <w:tcPr>
            <w:tcW w:w="4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r>
      <w:tr>
        <w:trPr>
          <w:trHeight w:val="535"/>
        </w:trPr>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744.4</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774.9</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847.2</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968.6</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821.8</w:t>
            </w:r>
          </w:p>
        </w:tc>
      </w:tr>
      <w:tr>
        <w:trPr>
          <w:trHeight w:val="257"/>
        </w:trPr>
        <w:tc>
          <w:tcPr>
            <w:tcW w:w="400" w:type="dxa"/>
            <w:vAlign w:val="bottom"/>
          </w:tcPr>
          <w:p>
            <w:pPr>
              <w:spacing w:after="0"/>
              <w:rPr>
                <w:sz w:val="22"/>
                <w:szCs w:val="22"/>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158.9</w:t>
            </w:r>
          </w:p>
        </w:tc>
        <w:tc>
          <w:tcPr>
            <w:tcW w:w="44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146.4</w:t>
            </w:r>
          </w:p>
        </w:tc>
        <w:tc>
          <w:tcPr>
            <w:tcW w:w="46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141.2</w:t>
            </w:r>
          </w:p>
        </w:tc>
        <w:tc>
          <w:tcPr>
            <w:tcW w:w="46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170.7</w:t>
            </w:r>
          </w:p>
        </w:tc>
        <w:tc>
          <w:tcPr>
            <w:tcW w:w="4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120"/>
        </w:trPr>
        <w:tc>
          <w:tcPr>
            <w:tcW w:w="4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313"/>
        </w:trPr>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903.3</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921.3</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988.4</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1,139.3</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946.7</w:t>
            </w:r>
          </w:p>
        </w:tc>
      </w:tr>
      <w:tr>
        <w:trPr>
          <w:trHeight w:val="222"/>
        </w:trPr>
        <w:tc>
          <w:tcPr>
            <w:tcW w:w="40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20"/>
        </w:trPr>
        <w:tc>
          <w:tcPr>
            <w:tcW w:w="4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535"/>
        </w:trPr>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903.3</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921.3</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988.4</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1,139.3</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946.7</w:t>
            </w:r>
          </w:p>
        </w:tc>
      </w:tr>
      <w:tr>
        <w:trPr>
          <w:trHeight w:val="107"/>
        </w:trPr>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61"/>
        </w:trPr>
        <w:tc>
          <w:tcPr>
            <w:tcW w:w="4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r>
      <w:tr>
        <w:trPr>
          <w:trHeight w:val="319"/>
        </w:trPr>
        <w:tc>
          <w:tcPr>
            <w:tcW w:w="40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Note a</w:t>
            </w:r>
          </w:p>
        </w:tc>
        <w:tc>
          <w:tcPr>
            <w:tcW w:w="440" w:type="dxa"/>
            <w:vAlign w:val="bottom"/>
          </w:tcPr>
          <w:p>
            <w:pPr>
              <w:spacing w:after="0"/>
              <w:rPr>
                <w:sz w:val="24"/>
                <w:szCs w:val="24"/>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5.1x</w:t>
            </w:r>
          </w:p>
        </w:tc>
        <w:tc>
          <w:tcPr>
            <w:tcW w:w="460" w:type="dxa"/>
            <w:vAlign w:val="bottom"/>
          </w:tcPr>
          <w:p>
            <w:pPr>
              <w:spacing w:after="0"/>
              <w:rPr>
                <w:sz w:val="24"/>
                <w:szCs w:val="24"/>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4.5x</w:t>
            </w:r>
          </w:p>
        </w:tc>
        <w:tc>
          <w:tcPr>
            <w:tcW w:w="4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2.0x</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1.7x</w:t>
            </w:r>
          </w:p>
        </w:tc>
      </w:tr>
      <w:tr>
        <w:trPr>
          <w:trHeight w:val="107"/>
        </w:trPr>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61"/>
        </w:trPr>
        <w:tc>
          <w:tcPr>
            <w:tcW w:w="4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r>
      <w:tr>
        <w:trPr>
          <w:trHeight w:val="535"/>
        </w:trPr>
        <w:tc>
          <w:tcPr>
            <w:tcW w:w="40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Note a</w:t>
            </w:r>
          </w:p>
        </w:tc>
        <w:tc>
          <w:tcPr>
            <w:tcW w:w="440" w:type="dxa"/>
            <w:vAlign w:val="bottom"/>
          </w:tcPr>
          <w:p>
            <w:pPr>
              <w:spacing w:after="0"/>
              <w:rPr>
                <w:sz w:val="24"/>
                <w:szCs w:val="24"/>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5.1x</w:t>
            </w:r>
          </w:p>
        </w:tc>
        <w:tc>
          <w:tcPr>
            <w:tcW w:w="460" w:type="dxa"/>
            <w:vAlign w:val="bottom"/>
          </w:tcPr>
          <w:p>
            <w:pPr>
              <w:spacing w:after="0"/>
              <w:rPr>
                <w:sz w:val="24"/>
                <w:szCs w:val="24"/>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4.5x</w:t>
            </w:r>
          </w:p>
        </w:tc>
        <w:tc>
          <w:tcPr>
            <w:tcW w:w="4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2.0x</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1.7x</w:t>
            </w:r>
          </w:p>
        </w:tc>
      </w:tr>
      <w:tr>
        <w:trPr>
          <w:trHeight w:val="107"/>
        </w:trPr>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61"/>
        </w:trPr>
        <w:tc>
          <w:tcPr>
            <w:tcW w:w="4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-3465830</wp:posOffset>
            </wp:positionV>
            <wp:extent cx="7246620" cy="13716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-3191510</wp:posOffset>
            </wp:positionV>
            <wp:extent cx="7246620" cy="13716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-2917190</wp:posOffset>
            </wp:positionV>
            <wp:extent cx="7246620" cy="13716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-2462530</wp:posOffset>
            </wp:positionV>
            <wp:extent cx="7246620" cy="13716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-2016760</wp:posOffset>
            </wp:positionV>
            <wp:extent cx="7246620" cy="13716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-1562100</wp:posOffset>
            </wp:positionV>
            <wp:extent cx="7246620" cy="13716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-1133475</wp:posOffset>
            </wp:positionV>
            <wp:extent cx="7246620" cy="27432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-378460</wp:posOffset>
            </wp:positionV>
            <wp:extent cx="7246620" cy="27432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-2544445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-2544445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-1643380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-1643380</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-1214755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-1214755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46" w:lineRule="exact"/>
        <w:rPr>
          <w:sz w:val="20"/>
          <w:szCs w:val="20"/>
          <w:color w:val="auto"/>
        </w:rPr>
      </w:pPr>
    </w:p>
    <w:p>
      <w:pPr>
        <w:sectPr>
          <w:pgSz w:w="11900" w:h="16838" w:orient="portrait"/>
          <w:cols w:equalWidth="0" w:num="2">
            <w:col w:w="4100" w:space="480"/>
            <w:col w:w="6840"/>
          </w:cols>
          <w:pgMar w:left="240" w:top="584" w:right="239" w:bottom="1440" w:gutter="0" w:footer="0" w:header="0"/>
          <w:type w:val="continuous"/>
        </w:sectPr>
      </w:pPr>
    </w:p>
    <w:p>
      <w:pPr>
        <w:spacing w:after="0" w:line="39" w:lineRule="exact"/>
        <w:rPr>
          <w:sz w:val="20"/>
          <w:szCs w:val="20"/>
          <w:color w:val="auto"/>
        </w:rPr>
      </w:pPr>
    </w:p>
    <w:p>
      <w:pPr>
        <w:ind w:left="540" w:right="80" w:hanging="532"/>
        <w:spacing w:after="0" w:line="268"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Earnings are inadequate to cover fixed charges due to the 2004 non-cash impairment charge of $18.0 billion. The dollar amount of the cover deficiency is $13.6 billion in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51" w:name="page152"/>
    <w:bookmarkEnd w:id="1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2" w:name="page153"/>
    <w:bookmarkEnd w:id="152"/>
    <w:p>
      <w:pPr>
        <w:spacing w:after="0" w:line="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Subsidiaries of Viacom Inc.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3873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93" w:orient="portrait"/>
          <w:cols w:equalWidth="0" w:num="1">
            <w:col w:w="11420"/>
          </w:cols>
          <w:pgMar w:left="240" w:top="58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Place of Incorporation</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212725</wp:posOffset>
            </wp:positionV>
            <wp:extent cx="7250430" cy="215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93" w:orient="portrait"/>
          <w:cols w:equalWidth="0" w:num="2">
            <w:col w:w="5380" w:space="720"/>
            <w:col w:w="5320"/>
          </w:cols>
          <w:pgMar w:left="240" w:top="584" w:right="239" w:bottom="0" w:gutter="0" w:footer="0" w:header="0"/>
          <w:type w:val="continuous"/>
        </w:sect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1020917 Ontario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 Radio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14 Hours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1554994 Ontario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176309 Canada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24th Floor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2gether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37th Floor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38th Floor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4400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5555 Communications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559733 British Columbia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730806 Alberta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730995 Ontario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779991 Ontario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90210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950931 Ontario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Payroll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Aaron Spelling Productions,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Abaco Farms,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Addax Music Co.,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Aetrax International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After School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Agency Films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Ages Electronics,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Ages Entertainment Software,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Alfie Films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About Productions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Media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ALTSIM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Amadea Film Productions,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Amanda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Amazing Race Productions Inc.</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Canada (Federal)</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Canada (B.C.)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(B.C.)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(B.C.)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Canada (Alberta)</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Bahamas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93" w:orient="portrait"/>
          <w:cols w:equalWidth="0" w:num="2">
            <w:col w:w="5380" w:space="720"/>
            <w:col w:w="5320"/>
          </w:cols>
          <w:pgMar w:left="240" w:top="584" w:right="239" w:bottom="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Amber Productions Inc.</w:t>
            </w:r>
          </w:p>
        </w:tc>
        <w:tc>
          <w:tcPr>
            <w:tcW w:w="7280" w:type="dxa"/>
            <w:vAlign w:val="bottom"/>
          </w:tcPr>
          <w:p>
            <w:pPr>
              <w:ind w:left="1960"/>
              <w:spacing w:after="0"/>
              <w:rPr>
                <w:sz w:val="20"/>
                <w:szCs w:val="20"/>
                <w:color w:val="auto"/>
              </w:rPr>
            </w:pPr>
            <w:r>
              <w:rPr>
                <w:rFonts w:ascii="Arial" w:cs="Arial" w:eastAsia="Arial" w:hAnsi="Arial"/>
                <w:sz w:val="18"/>
                <w:szCs w:val="18"/>
                <w:color w:val="auto"/>
              </w:rPr>
              <w:t>Canada (B.C.)</w:t>
            </w: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Ananda Lewis Show Inc., The</w:t>
            </w:r>
          </w:p>
        </w:tc>
        <w:tc>
          <w:tcPr>
            <w:tcW w:w="7280" w:type="dxa"/>
            <w:vAlign w:val="bottom"/>
          </w:tcPr>
          <w:p>
            <w:pPr>
              <w:ind w:left="1960"/>
              <w:spacing w:after="0"/>
              <w:rPr>
                <w:sz w:val="20"/>
                <w:szCs w:val="20"/>
                <w:color w:val="auto"/>
              </w:rPr>
            </w:pPr>
            <w:r>
              <w:rPr>
                <w:rFonts w:ascii="Arial" w:cs="Arial" w:eastAsia="Arial" w:hAnsi="Arial"/>
                <w:sz w:val="18"/>
                <w:szCs w:val="18"/>
                <w:color w:val="auto"/>
              </w:rPr>
              <w:t>California</w:t>
            </w: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Anastasia Advertising Art, Inc.</w:t>
            </w:r>
          </w:p>
        </w:tc>
        <w:tc>
          <w:tcPr>
            <w:tcW w:w="7280" w:type="dxa"/>
            <w:vAlign w:val="bottom"/>
          </w:tcPr>
          <w:p>
            <w:pPr>
              <w:ind w:left="1960"/>
              <w:spacing w:after="0"/>
              <w:rPr>
                <w:sz w:val="20"/>
                <w:szCs w:val="20"/>
                <w:color w:val="auto"/>
              </w:rPr>
            </w:pPr>
            <w:r>
              <w:rPr>
                <w:rFonts w:ascii="Arial" w:cs="Arial" w:eastAsia="Arial" w:hAnsi="Arial"/>
                <w:sz w:val="18"/>
                <w:szCs w:val="18"/>
                <w:color w:val="auto"/>
              </w:rPr>
              <w:t>Florida</w:t>
            </w: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Animated Productions Inc.</w:t>
            </w:r>
          </w:p>
        </w:tc>
        <w:tc>
          <w:tcPr>
            <w:tcW w:w="7280" w:type="dxa"/>
            <w:vAlign w:val="bottom"/>
          </w:tcPr>
          <w:p>
            <w:pPr>
              <w:ind w:left="1960"/>
              <w:spacing w:after="0"/>
              <w:rPr>
                <w:sz w:val="20"/>
                <w:szCs w:val="20"/>
                <w:color w:val="auto"/>
              </w:rPr>
            </w:pPr>
            <w:r>
              <w:rPr>
                <w:rFonts w:ascii="Arial" w:cs="Arial" w:eastAsia="Arial" w:hAnsi="Arial"/>
                <w:sz w:val="18"/>
                <w:szCs w:val="18"/>
                <w:color w:val="auto"/>
              </w:rPr>
              <w:t>Delaware</w:t>
            </w: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Antics G.P. Inc.</w:t>
            </w:r>
          </w:p>
        </w:tc>
        <w:tc>
          <w:tcPr>
            <w:tcW w:w="7280" w:type="dxa"/>
            <w:vAlign w:val="bottom"/>
          </w:tcPr>
          <w:p>
            <w:pPr>
              <w:ind w:left="1960"/>
              <w:spacing w:after="0"/>
              <w:rPr>
                <w:sz w:val="20"/>
                <w:szCs w:val="20"/>
                <w:color w:val="auto"/>
              </w:rPr>
            </w:pPr>
            <w:r>
              <w:rPr>
                <w:rFonts w:ascii="Arial" w:cs="Arial" w:eastAsia="Arial" w:hAnsi="Arial"/>
                <w:sz w:val="18"/>
                <w:szCs w:val="18"/>
                <w:color w:val="auto"/>
              </w:rPr>
              <w:t>Delaware</w:t>
            </w:r>
          </w:p>
        </w:tc>
      </w:tr>
      <w:tr>
        <w:trPr>
          <w:trHeight w:val="552"/>
        </w:trPr>
        <w:tc>
          <w:tcPr>
            <w:tcW w:w="4140" w:type="dxa"/>
            <w:vAlign w:val="bottom"/>
            <w:tcBorders>
              <w:bottom w:val="single" w:sz="8" w:color="808080"/>
            </w:tcBorders>
          </w:tcPr>
          <w:p>
            <w:pPr>
              <w:spacing w:after="0"/>
              <w:rPr>
                <w:sz w:val="24"/>
                <w:szCs w:val="24"/>
                <w:color w:val="auto"/>
              </w:rPr>
            </w:pPr>
          </w:p>
        </w:tc>
        <w:tc>
          <w:tcPr>
            <w:tcW w:w="7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54" w:name="page155"/>
    <w:bookmarkEnd w:id="154"/>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-276225</wp:posOffset>
            </wp:positionV>
            <wp:extent cx="5801360" cy="3619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5801360" cy="36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212725</wp:posOffset>
            </wp:positionV>
            <wp:extent cx="5801360" cy="215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720"/>
            <w:col w:w="5339"/>
          </w:cols>
          <w:pgMar w:left="240" w:top="437" w:right="1440" w:bottom="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Antics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Are We Having Fun Yet? Productions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Around the Block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Artcraft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Aspenfair Music,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Bus Shelters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Atlantic Prospect,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ATR Films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Audio House, Inc., The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Avery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BAPP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Bardwire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Bay County Energy Systems,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Bay Resource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Belhaven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 Animations,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 Arabesque,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 Comic View,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 Creations,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 Development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 Documentaries,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 Event Productions,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 Grilled,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 Innovations Publishing,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 International,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 Live From LA,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 Live Production,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 Music Soundz,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 Oh Drama!, LLC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BET Pictures II Development &amp; Production,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BET Pictures II Distribution,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 Pictures II,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(B.C.)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Bahamas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4160" w:space="720"/>
            <w:col w:w="5339"/>
          </w:cols>
          <w:pgMar w:left="240" w:top="437" w:right="1440" w:bottom="0"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BET Productions II Inc.</w:t>
            </w:r>
          </w:p>
        </w:tc>
        <w:tc>
          <w:tcPr>
            <w:tcW w:w="798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BET Publications, LLC</w:t>
            </w:r>
          </w:p>
        </w:tc>
        <w:tc>
          <w:tcPr>
            <w:tcW w:w="798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BET Radio, L.L.C.</w:t>
            </w:r>
          </w:p>
        </w:tc>
        <w:tc>
          <w:tcPr>
            <w:tcW w:w="798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BET Satellite Services, Inc.</w:t>
            </w:r>
          </w:p>
        </w:tc>
        <w:tc>
          <w:tcPr>
            <w:tcW w:w="798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BET Services, Inc.</w:t>
            </w:r>
          </w:p>
        </w:tc>
        <w:tc>
          <w:tcPr>
            <w:tcW w:w="7980" w:type="dxa"/>
            <w:vAlign w:val="bottom"/>
          </w:tcPr>
          <w:p>
            <w:pPr>
              <w:ind w:left="1440"/>
              <w:spacing w:after="0"/>
              <w:rPr>
                <w:sz w:val="20"/>
                <w:szCs w:val="20"/>
                <w:color w:val="auto"/>
              </w:rPr>
            </w:pPr>
            <w:r>
              <w:rPr>
                <w:rFonts w:ascii="Arial" w:cs="Arial" w:eastAsia="Arial" w:hAnsi="Arial"/>
                <w:sz w:val="18"/>
                <w:szCs w:val="18"/>
                <w:color w:val="auto"/>
              </w:rPr>
              <w:t>Washington D.C.</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BET Sheryl &amp; Friends, LLC</w:t>
            </w:r>
          </w:p>
        </w:tc>
        <w:tc>
          <w:tcPr>
            <w:tcW w:w="798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864"/>
        </w:trPr>
        <w:tc>
          <w:tcPr>
            <w:tcW w:w="3440" w:type="dxa"/>
            <w:vAlign w:val="bottom"/>
          </w:tcPr>
          <w:p>
            <w:pPr>
              <w:spacing w:after="0"/>
              <w:rPr>
                <w:sz w:val="24"/>
                <w:szCs w:val="24"/>
                <w:color w:val="auto"/>
              </w:rPr>
            </w:pPr>
          </w:p>
        </w:tc>
        <w:tc>
          <w:tcPr>
            <w:tcW w:w="7980" w:type="dxa"/>
            <w:vAlign w:val="bottom"/>
          </w:tcPr>
          <w:p>
            <w:pPr>
              <w:ind w:left="2240"/>
              <w:spacing w:after="0"/>
              <w:rPr>
                <w:sz w:val="20"/>
                <w:szCs w:val="20"/>
                <w:color w:val="auto"/>
              </w:rPr>
            </w:pPr>
            <w:r>
              <w:rPr>
                <w:rFonts w:ascii="Arial" w:cs="Arial" w:eastAsia="Arial" w:hAnsi="Arial"/>
                <w:sz w:val="18"/>
                <w:szCs w:val="18"/>
                <w:color w:val="auto"/>
              </w:rPr>
              <w:t>2</w:t>
            </w:r>
          </w:p>
        </w:tc>
      </w:tr>
      <w:tr>
        <w:trPr>
          <w:trHeight w:val="228"/>
        </w:trPr>
        <w:tc>
          <w:tcPr>
            <w:tcW w:w="3440" w:type="dxa"/>
            <w:vAlign w:val="bottom"/>
            <w:tcBorders>
              <w:bottom w:val="single" w:sz="8" w:color="808080"/>
            </w:tcBorders>
          </w:tcPr>
          <w:p>
            <w:pPr>
              <w:spacing w:after="0"/>
              <w:rPr>
                <w:sz w:val="19"/>
                <w:szCs w:val="19"/>
                <w:color w:val="auto"/>
              </w:rPr>
            </w:pPr>
          </w:p>
        </w:tc>
        <w:tc>
          <w:tcPr>
            <w:tcW w:w="7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-276225</wp:posOffset>
            </wp:positionV>
            <wp:extent cx="7250430" cy="3619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250430" cy="36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212725</wp:posOffset>
            </wp:positionV>
            <wp:extent cx="7250430" cy="215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4119"/>
          </w:cols>
          <w:pgMar w:left="240" w:top="437" w:right="1440" w:bottom="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BET Television Productions,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 The Way We Do It,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Beta Theatres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Beverlyfax Music,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Big Shows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Big Ticket Music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Big Ticket Pictures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Big Ticket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Big Ticket Television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Black Entertainment Television,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Black Rock Enterprises,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Blackout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Bling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 Cow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BN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Bombay Hook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Bonneville Wind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Box Italy LLC, The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Box Worldwide LLC, The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Brainpool TV GmbH AG Koln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Branded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Bronson Gate Film Management GmbH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Bruin Music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Butterick Road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&amp; W Land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C-28 FCC Licensee Subsidiary,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C-34 FCC Licensee Subsidiary,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Cania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Cape Cross Studio/Filmlicht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 Equipment Leasing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Caroline Film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CATV Enterprises,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CBS Broadcast International Asia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CBS Broadcast International B.V.</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CBS Broadcast International of Canada,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Washington D.C.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Canada (Federal)</w:t>
      </w:r>
    </w:p>
    <w:p>
      <w:pPr>
        <w:sectPr>
          <w:pgSz w:w="11900" w:h="16838" w:orient="portrait"/>
          <w:cols w:equalWidth="0" w:num="2">
            <w:col w:w="5380" w:space="720"/>
            <w:col w:w="4119"/>
          </w:cols>
          <w:pgMar w:left="240" w:top="437" w:right="1440" w:bottom="0" w:gutter="0" w:footer="0" w:header="0"/>
          <w:type w:val="continuous"/>
        </w:sectPr>
      </w:pPr>
    </w:p>
    <w:bookmarkStart w:id="157" w:name="page158"/>
    <w:bookmarkEnd w:id="157"/>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CBS Broadcast Services Limited</w:t>
            </w:r>
          </w:p>
        </w:tc>
        <w:tc>
          <w:tcPr>
            <w:tcW w:w="7420" w:type="dxa"/>
            <w:vAlign w:val="bottom"/>
          </w:tcPr>
          <w:p>
            <w:pPr>
              <w:ind w:left="2100"/>
              <w:spacing w:after="0"/>
              <w:rPr>
                <w:sz w:val="20"/>
                <w:szCs w:val="20"/>
                <w:color w:val="auto"/>
              </w:rPr>
            </w:pPr>
            <w:r>
              <w:rPr>
                <w:rFonts w:ascii="Arial" w:cs="Arial" w:eastAsia="Arial" w:hAnsi="Arial"/>
                <w:sz w:val="18"/>
                <w:szCs w:val="18"/>
                <w:color w:val="auto"/>
              </w:rPr>
              <w:t>England</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CBS Broadcasting Inc.</w:t>
            </w:r>
          </w:p>
        </w:tc>
        <w:tc>
          <w:tcPr>
            <w:tcW w:w="7420" w:type="dxa"/>
            <w:vAlign w:val="bottom"/>
          </w:tcPr>
          <w:p>
            <w:pPr>
              <w:ind w:left="2100"/>
              <w:spacing w:after="0"/>
              <w:rPr>
                <w:sz w:val="20"/>
                <w:szCs w:val="20"/>
                <w:color w:val="auto"/>
              </w:rPr>
            </w:pPr>
            <w:r>
              <w:rPr>
                <w:rFonts w:ascii="Arial" w:cs="Arial" w:eastAsia="Arial" w:hAnsi="Arial"/>
                <w:sz w:val="18"/>
                <w:szCs w:val="18"/>
                <w:color w:val="auto"/>
              </w:rPr>
              <w:t>New York</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CBS Cable Networks, Inc.</w:t>
            </w:r>
          </w:p>
        </w:tc>
        <w:tc>
          <w:tcPr>
            <w:tcW w:w="7420" w:type="dxa"/>
            <w:vAlign w:val="bottom"/>
          </w:tcPr>
          <w:p>
            <w:pPr>
              <w:ind w:left="2100"/>
              <w:spacing w:after="0"/>
              <w:rPr>
                <w:sz w:val="20"/>
                <w:szCs w:val="20"/>
                <w:color w:val="auto"/>
              </w:rPr>
            </w:pPr>
            <w:r>
              <w:rPr>
                <w:rFonts w:ascii="Arial" w:cs="Arial" w:eastAsia="Arial" w:hAnsi="Arial"/>
                <w:sz w:val="18"/>
                <w:szCs w:val="18"/>
                <w:color w:val="auto"/>
              </w:rPr>
              <w:t>Delaware</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CBS Canada Co.</w:t>
            </w:r>
          </w:p>
        </w:tc>
        <w:tc>
          <w:tcPr>
            <w:tcW w:w="7420" w:type="dxa"/>
            <w:vAlign w:val="bottom"/>
          </w:tcPr>
          <w:p>
            <w:pPr>
              <w:ind w:left="2100"/>
              <w:spacing w:after="0"/>
              <w:rPr>
                <w:sz w:val="20"/>
                <w:szCs w:val="20"/>
                <w:color w:val="auto"/>
              </w:rPr>
            </w:pPr>
            <w:r>
              <w:rPr>
                <w:rFonts w:ascii="Arial" w:cs="Arial" w:eastAsia="Arial" w:hAnsi="Arial"/>
                <w:sz w:val="18"/>
                <w:szCs w:val="18"/>
                <w:color w:val="auto"/>
              </w:rPr>
              <w:t>Canada (Nova Scotia)</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CBS Dallas Media, Inc.</w:t>
            </w:r>
          </w:p>
        </w:tc>
        <w:tc>
          <w:tcPr>
            <w:tcW w:w="7420" w:type="dxa"/>
            <w:vAlign w:val="bottom"/>
          </w:tcPr>
          <w:p>
            <w:pPr>
              <w:ind w:left="2100"/>
              <w:spacing w:after="0"/>
              <w:rPr>
                <w:sz w:val="20"/>
                <w:szCs w:val="20"/>
                <w:color w:val="auto"/>
              </w:rPr>
            </w:pPr>
            <w:r>
              <w:rPr>
                <w:rFonts w:ascii="Arial" w:cs="Arial" w:eastAsia="Arial" w:hAnsi="Arial"/>
                <w:sz w:val="18"/>
                <w:szCs w:val="18"/>
                <w:color w:val="auto"/>
              </w:rPr>
              <w:t>Delaware</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CBS Dallas Ventures, Inc.</w:t>
            </w:r>
          </w:p>
        </w:tc>
        <w:tc>
          <w:tcPr>
            <w:tcW w:w="7420" w:type="dxa"/>
            <w:vAlign w:val="bottom"/>
          </w:tcPr>
          <w:p>
            <w:pPr>
              <w:ind w:left="2100"/>
              <w:spacing w:after="0"/>
              <w:rPr>
                <w:sz w:val="20"/>
                <w:szCs w:val="20"/>
                <w:color w:val="auto"/>
              </w:rPr>
            </w:pPr>
            <w:r>
              <w:rPr>
                <w:rFonts w:ascii="Arial" w:cs="Arial" w:eastAsia="Arial" w:hAnsi="Arial"/>
                <w:sz w:val="18"/>
                <w:szCs w:val="18"/>
                <w:color w:val="auto"/>
              </w:rPr>
              <w:t>Texas</w:t>
            </w:r>
          </w:p>
        </w:tc>
      </w:tr>
      <w:tr>
        <w:trPr>
          <w:trHeight w:val="864"/>
        </w:trPr>
        <w:tc>
          <w:tcPr>
            <w:tcW w:w="4000" w:type="dxa"/>
            <w:vAlign w:val="bottom"/>
          </w:tcPr>
          <w:p>
            <w:pPr>
              <w:spacing w:after="0"/>
              <w:rPr>
                <w:sz w:val="24"/>
                <w:szCs w:val="24"/>
                <w:color w:val="auto"/>
              </w:rPr>
            </w:pPr>
          </w:p>
        </w:tc>
        <w:tc>
          <w:tcPr>
            <w:tcW w:w="7420" w:type="dxa"/>
            <w:vAlign w:val="bottom"/>
          </w:tcPr>
          <w:p>
            <w:pPr>
              <w:ind w:left="1680"/>
              <w:spacing w:after="0"/>
              <w:rPr>
                <w:sz w:val="20"/>
                <w:szCs w:val="20"/>
                <w:color w:val="auto"/>
              </w:rPr>
            </w:pPr>
            <w:r>
              <w:rPr>
                <w:rFonts w:ascii="Arial" w:cs="Arial" w:eastAsia="Arial" w:hAnsi="Arial"/>
                <w:sz w:val="18"/>
                <w:szCs w:val="18"/>
                <w:color w:val="auto"/>
              </w:rPr>
              <w:t>3</w:t>
            </w:r>
          </w:p>
        </w:tc>
      </w:tr>
      <w:tr>
        <w:trPr>
          <w:trHeight w:val="228"/>
        </w:trPr>
        <w:tc>
          <w:tcPr>
            <w:tcW w:w="400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-276225</wp:posOffset>
            </wp:positionV>
            <wp:extent cx="7250430" cy="3619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250430" cy="36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212725</wp:posOffset>
            </wp:positionV>
            <wp:extent cx="7250430" cy="215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4119"/>
          </w:cols>
          <w:pgMar w:left="240" w:top="438" w:right="1440" w:bottom="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CBS FMX Stereo,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CBS Mass Media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CBS News Communications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CBS Overseas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CBS Services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CBS Sports Asia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CBS Sports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CBS Stations Group of Texas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CBS Survivor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CBS Technology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CBS TeleNoticias do Brasil Ltda.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CBS Television Stations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CBS Worldwide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Central Fidelity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Centurion Satellite Broadcast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CG Films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Channel 28 Television Station,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Channel 34 Television Station,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Chazo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Cinema Dominicana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Cinematic Arts B.V.</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City Outdoor Levante S.R.L. (in liquidation)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Classless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Climate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Cloverleaf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CMT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Columbia Television,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Columbus Circle Films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Comedy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Comfort Films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Commissioner.com,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Communities IP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Communities LP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Compelling Music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Vermont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(Ontario)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(B.C.)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Dominican Republic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(Ontario)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(Ontario)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ectPr>
          <w:pgSz w:w="11900" w:h="16838" w:orient="portrait"/>
          <w:cols w:equalWidth="0" w:num="2">
            <w:col w:w="5380" w:space="720"/>
            <w:col w:w="4119"/>
          </w:cols>
          <w:pgMar w:left="240" w:top="438" w:right="1440" w:bottom="0" w:gutter="0" w:footer="0" w:header="0"/>
          <w:type w:val="continuous"/>
        </w:sectPr>
      </w:pPr>
    </w:p>
    <w:bookmarkStart w:id="159" w:name="page160"/>
    <w:bookmarkEnd w:id="159"/>
    <w:tbl>
      <w:tblPr>
        <w:tblLayout w:type="fixed"/>
        <w:tblInd w:w="0" w:type="dxa"/>
        <w:tblCellMar>
          <w:top w:w="0" w:type="dxa"/>
          <w:left w:w="0" w:type="dxa"/>
          <w:bottom w:w="0" w:type="dxa"/>
          <w:right w:w="0" w:type="dxa"/>
        </w:tblCellMar>
      </w:tblP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Core Productions Inc.</w:t>
            </w:r>
          </w:p>
        </w:tc>
        <w:tc>
          <w:tcPr>
            <w:tcW w:w="7360" w:type="dxa"/>
            <w:vAlign w:val="bottom"/>
          </w:tcPr>
          <w:p>
            <w:pPr>
              <w:ind w:left="2040"/>
              <w:spacing w:after="0"/>
              <w:rPr>
                <w:sz w:val="20"/>
                <w:szCs w:val="20"/>
                <w:color w:val="auto"/>
              </w:rPr>
            </w:pPr>
            <w:r>
              <w:rPr>
                <w:rFonts w:ascii="Arial" w:cs="Arial" w:eastAsia="Arial" w:hAnsi="Arial"/>
                <w:sz w:val="18"/>
                <w:szCs w:val="18"/>
                <w:color w:val="auto"/>
              </w:rPr>
              <w:t>Canada (B.C.)</w:t>
            </w: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Country Entertainment, Inc.</w:t>
            </w:r>
          </w:p>
        </w:tc>
        <w:tc>
          <w:tcPr>
            <w:tcW w:w="736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Country Music Television, Inc.</w:t>
            </w:r>
          </w:p>
        </w:tc>
        <w:tc>
          <w:tcPr>
            <w:tcW w:w="7360" w:type="dxa"/>
            <w:vAlign w:val="bottom"/>
          </w:tcPr>
          <w:p>
            <w:pPr>
              <w:ind w:left="2040"/>
              <w:spacing w:after="0"/>
              <w:rPr>
                <w:sz w:val="20"/>
                <w:szCs w:val="20"/>
                <w:color w:val="auto"/>
              </w:rPr>
            </w:pPr>
            <w:r>
              <w:rPr>
                <w:rFonts w:ascii="Arial" w:cs="Arial" w:eastAsia="Arial" w:hAnsi="Arial"/>
                <w:sz w:val="18"/>
                <w:szCs w:val="18"/>
                <w:color w:val="auto"/>
              </w:rPr>
              <w:t>Tennessee</w:t>
            </w: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Country Network Enterprises, Inc.</w:t>
            </w:r>
          </w:p>
        </w:tc>
        <w:tc>
          <w:tcPr>
            <w:tcW w:w="736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country.com, Inc.</w:t>
            </w:r>
          </w:p>
        </w:tc>
        <w:tc>
          <w:tcPr>
            <w:tcW w:w="736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Cover Productions Inc.</w:t>
            </w:r>
          </w:p>
        </w:tc>
        <w:tc>
          <w:tcPr>
            <w:tcW w:w="7360" w:type="dxa"/>
            <w:vAlign w:val="bottom"/>
          </w:tcPr>
          <w:p>
            <w:pPr>
              <w:ind w:left="2040"/>
              <w:spacing w:after="0"/>
              <w:rPr>
                <w:sz w:val="20"/>
                <w:szCs w:val="20"/>
                <w:color w:val="auto"/>
              </w:rPr>
            </w:pPr>
            <w:r>
              <w:rPr>
                <w:rFonts w:ascii="Arial" w:cs="Arial" w:eastAsia="Arial" w:hAnsi="Arial"/>
                <w:sz w:val="18"/>
                <w:szCs w:val="18"/>
                <w:color w:val="auto"/>
              </w:rPr>
              <w:t>California</w:t>
            </w:r>
          </w:p>
        </w:tc>
      </w:tr>
      <w:tr>
        <w:trPr>
          <w:trHeight w:val="432"/>
        </w:trPr>
        <w:tc>
          <w:tcPr>
            <w:tcW w:w="4060" w:type="dxa"/>
            <w:vAlign w:val="bottom"/>
          </w:tcPr>
          <w:p>
            <w:pPr>
              <w:spacing w:after="0"/>
              <w:rPr>
                <w:sz w:val="24"/>
                <w:szCs w:val="24"/>
                <w:color w:val="auto"/>
              </w:rPr>
            </w:pPr>
          </w:p>
        </w:tc>
        <w:tc>
          <w:tcPr>
            <w:tcW w:w="7360" w:type="dxa"/>
            <w:vAlign w:val="bottom"/>
          </w:tcPr>
          <w:p>
            <w:pPr>
              <w:ind w:left="1620"/>
              <w:spacing w:after="0"/>
              <w:rPr>
                <w:sz w:val="20"/>
                <w:szCs w:val="20"/>
                <w:color w:val="auto"/>
              </w:rPr>
            </w:pPr>
            <w:r>
              <w:rPr>
                <w:rFonts w:ascii="Arial" w:cs="Arial" w:eastAsia="Arial" w:hAnsi="Arial"/>
                <w:sz w:val="18"/>
                <w:szCs w:val="18"/>
                <w:color w:val="auto"/>
              </w:rPr>
              <w:t>4</w:t>
            </w:r>
          </w:p>
        </w:tc>
      </w:tr>
      <w:tr>
        <w:trPr>
          <w:trHeight w:val="228"/>
        </w:trPr>
        <w:tc>
          <w:tcPr>
            <w:tcW w:w="4060" w:type="dxa"/>
            <w:vAlign w:val="bottom"/>
            <w:tcBorders>
              <w:bottom w:val="single" w:sz="8" w:color="808080"/>
            </w:tcBorders>
          </w:tcPr>
          <w:p>
            <w:pPr>
              <w:spacing w:after="0"/>
              <w:rPr>
                <w:sz w:val="19"/>
                <w:szCs w:val="19"/>
                <w:color w:val="auto"/>
              </w:rPr>
            </w:pPr>
          </w:p>
        </w:tc>
        <w:tc>
          <w:tcPr>
            <w:tcW w:w="7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-276225</wp:posOffset>
            </wp:positionV>
            <wp:extent cx="7250430" cy="3619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250430" cy="36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212725</wp:posOffset>
            </wp:positionV>
            <wp:extent cx="7250430" cy="215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4119"/>
          </w:cols>
          <w:pgMar w:left="240" w:top="438" w:right="1440" w:bottom="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Cradle of Life Productions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CVV (Japan)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Danielle Productions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DC Films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Defenders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Blue Steel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Resource Beneficiary,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Resource Lessee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Resource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Design-Graphics,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Desilu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DIGICO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 Court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 Production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Distribuidara de Publicidad Exterior Dipex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DTE Films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Dutchess Resource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Dynamic Soap,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e-tv Internet Produktions- und Vermarktungs GmbH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Eagle Direct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Eighth Century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Elite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Elysium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Emily Productions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Energy Development Associates,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Ensign Music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EPI Music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Erica Film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Etablissements Pegouret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ET Media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Evergreen Programs,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EWB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Eye Explorations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Eye Net Works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Eye Productions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(B.C.)</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5380" w:space="720"/>
            <w:col w:w="4119"/>
          </w:cols>
          <w:pgMar w:left="240" w:top="438" w:right="1440" w:bottom="0" w:gutter="0" w:footer="0" w:header="0"/>
          <w:type w:val="continuous"/>
        </w:sectPr>
      </w:pPr>
    </w:p>
    <w:bookmarkStart w:id="161" w:name="page162"/>
    <w:bookmarkEnd w:id="161"/>
    <w:tbl>
      <w:tblPr>
        <w:tblLayout w:type="fixed"/>
        <w:tblInd w:w="0" w:type="dxa"/>
        <w:tblCellMar>
          <w:top w:w="0" w:type="dxa"/>
          <w:left w:w="0" w:type="dxa"/>
          <w:bottom w:w="0" w:type="dxa"/>
          <w:right w:w="0" w:type="dxa"/>
        </w:tblCellMar>
      </w:tblP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Failure to Launch Productions LLC</w:t>
            </w:r>
          </w:p>
        </w:tc>
        <w:tc>
          <w:tcPr>
            <w:tcW w:w="6700" w:type="dxa"/>
            <w:vAlign w:val="bottom"/>
          </w:tcPr>
          <w:p>
            <w:pPr>
              <w:ind w:left="1380"/>
              <w:spacing w:after="0"/>
              <w:rPr>
                <w:sz w:val="20"/>
                <w:szCs w:val="20"/>
                <w:color w:val="auto"/>
              </w:rPr>
            </w:pPr>
            <w:r>
              <w:rPr>
                <w:rFonts w:ascii="Arial" w:cs="Arial" w:eastAsia="Arial" w:hAnsi="Arial"/>
                <w:sz w:val="18"/>
                <w:szCs w:val="18"/>
                <w:color w:val="auto"/>
              </w:rPr>
              <w:t>Louisiana</w:t>
            </w:r>
          </w:p>
        </w:tc>
      </w:tr>
      <w:tr>
        <w:trPr>
          <w:trHeight w:val="432"/>
        </w:trPr>
        <w:tc>
          <w:tcPr>
            <w:tcW w:w="4720" w:type="dxa"/>
            <w:vAlign w:val="bottom"/>
          </w:tcPr>
          <w:p>
            <w:pPr>
              <w:spacing w:after="0"/>
              <w:rPr>
                <w:sz w:val="20"/>
                <w:szCs w:val="20"/>
                <w:color w:val="auto"/>
              </w:rPr>
            </w:pPr>
            <w:r>
              <w:rPr>
                <w:rFonts w:ascii="Arial" w:cs="Arial" w:eastAsia="Arial" w:hAnsi="Arial"/>
                <w:sz w:val="18"/>
                <w:szCs w:val="18"/>
                <w:color w:val="auto"/>
              </w:rPr>
              <w:t>Famous Music Corporation</w:t>
            </w:r>
          </w:p>
        </w:tc>
        <w:tc>
          <w:tcPr>
            <w:tcW w:w="670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432"/>
        </w:trPr>
        <w:tc>
          <w:tcPr>
            <w:tcW w:w="4720" w:type="dxa"/>
            <w:vAlign w:val="bottom"/>
          </w:tcPr>
          <w:p>
            <w:pPr>
              <w:spacing w:after="0"/>
              <w:rPr>
                <w:sz w:val="20"/>
                <w:szCs w:val="20"/>
                <w:color w:val="auto"/>
              </w:rPr>
            </w:pPr>
            <w:r>
              <w:rPr>
                <w:rFonts w:ascii="Arial" w:cs="Arial" w:eastAsia="Arial" w:hAnsi="Arial"/>
                <w:sz w:val="18"/>
                <w:szCs w:val="18"/>
                <w:color w:val="auto"/>
              </w:rPr>
              <w:t>Famous Music Publishing Germany GmbH &amp; Co KG</w:t>
            </w:r>
          </w:p>
        </w:tc>
        <w:tc>
          <w:tcPr>
            <w:tcW w:w="6700" w:type="dxa"/>
            <w:vAlign w:val="bottom"/>
          </w:tcPr>
          <w:p>
            <w:pPr>
              <w:ind w:left="1380"/>
              <w:spacing w:after="0"/>
              <w:rPr>
                <w:sz w:val="20"/>
                <w:szCs w:val="20"/>
                <w:color w:val="auto"/>
              </w:rPr>
            </w:pPr>
            <w:r>
              <w:rPr>
                <w:rFonts w:ascii="Arial" w:cs="Arial" w:eastAsia="Arial" w:hAnsi="Arial"/>
                <w:sz w:val="18"/>
                <w:szCs w:val="18"/>
                <w:color w:val="auto"/>
              </w:rPr>
              <w:t>Germany</w:t>
            </w:r>
          </w:p>
        </w:tc>
      </w:tr>
      <w:tr>
        <w:trPr>
          <w:trHeight w:val="432"/>
        </w:trPr>
        <w:tc>
          <w:tcPr>
            <w:tcW w:w="4720" w:type="dxa"/>
            <w:vAlign w:val="bottom"/>
          </w:tcPr>
          <w:p>
            <w:pPr>
              <w:spacing w:after="0"/>
              <w:rPr>
                <w:sz w:val="20"/>
                <w:szCs w:val="20"/>
                <w:color w:val="auto"/>
              </w:rPr>
            </w:pPr>
            <w:r>
              <w:rPr>
                <w:rFonts w:ascii="Arial" w:cs="Arial" w:eastAsia="Arial" w:hAnsi="Arial"/>
                <w:sz w:val="18"/>
                <w:szCs w:val="18"/>
                <w:color w:val="auto"/>
              </w:rPr>
              <w:t>Famous Music Publishing Limited</w:t>
            </w:r>
          </w:p>
        </w:tc>
        <w:tc>
          <w:tcPr>
            <w:tcW w:w="6700" w:type="dxa"/>
            <w:vAlign w:val="bottom"/>
          </w:tcPr>
          <w:p>
            <w:pPr>
              <w:ind w:left="1380"/>
              <w:spacing w:after="0"/>
              <w:rPr>
                <w:sz w:val="20"/>
                <w:szCs w:val="20"/>
                <w:color w:val="auto"/>
              </w:rPr>
            </w:pPr>
            <w:r>
              <w:rPr>
                <w:rFonts w:ascii="Arial" w:cs="Arial" w:eastAsia="Arial" w:hAnsi="Arial"/>
                <w:sz w:val="18"/>
                <w:szCs w:val="18"/>
                <w:color w:val="auto"/>
              </w:rPr>
              <w:t>United Kingdom</w:t>
            </w:r>
          </w:p>
        </w:tc>
      </w:tr>
      <w:tr>
        <w:trPr>
          <w:trHeight w:val="432"/>
        </w:trPr>
        <w:tc>
          <w:tcPr>
            <w:tcW w:w="4720" w:type="dxa"/>
            <w:vAlign w:val="bottom"/>
          </w:tcPr>
          <w:p>
            <w:pPr>
              <w:spacing w:after="0"/>
              <w:rPr>
                <w:sz w:val="20"/>
                <w:szCs w:val="20"/>
                <w:color w:val="auto"/>
              </w:rPr>
            </w:pPr>
            <w:r>
              <w:rPr>
                <w:rFonts w:ascii="Arial" w:cs="Arial" w:eastAsia="Arial" w:hAnsi="Arial"/>
                <w:sz w:val="18"/>
                <w:szCs w:val="18"/>
                <w:color w:val="auto"/>
              </w:rPr>
              <w:t>Famous Orange Productions Inc.</w:t>
            </w:r>
          </w:p>
        </w:tc>
        <w:tc>
          <w:tcPr>
            <w:tcW w:w="670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432"/>
        </w:trPr>
        <w:tc>
          <w:tcPr>
            <w:tcW w:w="4720" w:type="dxa"/>
            <w:vAlign w:val="bottom"/>
          </w:tcPr>
          <w:p>
            <w:pPr>
              <w:spacing w:after="0"/>
              <w:rPr>
                <w:sz w:val="20"/>
                <w:szCs w:val="20"/>
                <w:color w:val="auto"/>
              </w:rPr>
            </w:pPr>
            <w:r>
              <w:rPr>
                <w:rFonts w:ascii="Arial" w:cs="Arial" w:eastAsia="Arial" w:hAnsi="Arial"/>
                <w:sz w:val="18"/>
                <w:szCs w:val="18"/>
                <w:color w:val="auto"/>
              </w:rPr>
              <w:t>Famous Players Films Inc.</w:t>
            </w:r>
          </w:p>
        </w:tc>
        <w:tc>
          <w:tcPr>
            <w:tcW w:w="6700" w:type="dxa"/>
            <w:vAlign w:val="bottom"/>
          </w:tcPr>
          <w:p>
            <w:pPr>
              <w:ind w:left="1380"/>
              <w:spacing w:after="0"/>
              <w:rPr>
                <w:sz w:val="20"/>
                <w:szCs w:val="20"/>
                <w:color w:val="auto"/>
              </w:rPr>
            </w:pPr>
            <w:r>
              <w:rPr>
                <w:rFonts w:ascii="Arial" w:cs="Arial" w:eastAsia="Arial" w:hAnsi="Arial"/>
                <w:sz w:val="18"/>
                <w:szCs w:val="18"/>
                <w:color w:val="auto"/>
              </w:rPr>
              <w:t>Canada (Federal)</w:t>
            </w:r>
          </w:p>
        </w:tc>
      </w:tr>
      <w:tr>
        <w:trPr>
          <w:trHeight w:val="432"/>
        </w:trPr>
        <w:tc>
          <w:tcPr>
            <w:tcW w:w="4720" w:type="dxa"/>
            <w:vAlign w:val="bottom"/>
          </w:tcPr>
          <w:p>
            <w:pPr>
              <w:spacing w:after="0"/>
              <w:rPr>
                <w:sz w:val="24"/>
                <w:szCs w:val="24"/>
                <w:color w:val="auto"/>
              </w:rPr>
            </w:pPr>
          </w:p>
        </w:tc>
        <w:tc>
          <w:tcPr>
            <w:tcW w:w="6700" w:type="dxa"/>
            <w:vAlign w:val="bottom"/>
          </w:tcPr>
          <w:p>
            <w:pPr>
              <w:ind w:left="960"/>
              <w:spacing w:after="0"/>
              <w:rPr>
                <w:sz w:val="20"/>
                <w:szCs w:val="20"/>
                <w:color w:val="auto"/>
              </w:rPr>
            </w:pPr>
            <w:r>
              <w:rPr>
                <w:rFonts w:ascii="Arial" w:cs="Arial" w:eastAsia="Arial" w:hAnsi="Arial"/>
                <w:sz w:val="18"/>
                <w:szCs w:val="18"/>
                <w:color w:val="auto"/>
              </w:rPr>
              <w:t>5</w:t>
            </w:r>
          </w:p>
        </w:tc>
      </w:tr>
      <w:tr>
        <w:trPr>
          <w:trHeight w:val="228"/>
        </w:trPr>
        <w:tc>
          <w:tcPr>
            <w:tcW w:w="4720" w:type="dxa"/>
            <w:vAlign w:val="bottom"/>
            <w:tcBorders>
              <w:bottom w:val="single" w:sz="8" w:color="808080"/>
            </w:tcBorders>
          </w:tcPr>
          <w:p>
            <w:pPr>
              <w:spacing w:after="0"/>
              <w:rPr>
                <w:sz w:val="19"/>
                <w:szCs w:val="19"/>
                <w:color w:val="auto"/>
              </w:rPr>
            </w:pPr>
          </w:p>
        </w:tc>
        <w:tc>
          <w:tcPr>
            <w:tcW w:w="6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-276225</wp:posOffset>
            </wp:positionV>
            <wp:extent cx="7250430" cy="3619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250430" cy="36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212725</wp:posOffset>
            </wp:positionV>
            <wp:extent cx="7250430" cy="215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4119"/>
          </w:cols>
          <w:pgMar w:left="240" w:top="437" w:right="1440" w:bottom="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Famous Players International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Famous Players Investments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Famous Players Media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Famous Music Publishing France SARL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Festival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Film Intex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Filmcraft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Films Paramount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Forty-Fourth Century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Four Brothers Films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Four Crowns,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French Street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Fried Worms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Front Street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Futa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General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 &amp; W Leasing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Games Animation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Games Brands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Games Exchange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Games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Gateway Fleet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GFB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Giraudy Viacom Outdoor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Gladwin of Indiana,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GLD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Glendale Property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Global Film Distributors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Glory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GNS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Go Outdoor Systems Holdings S.A.S.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Golden Communications,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Golfweb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Gorgen,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Indiana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ectPr>
          <w:pgSz w:w="11900" w:h="16838" w:orient="portrait"/>
          <w:cols w:equalWidth="0" w:num="2">
            <w:col w:w="5380" w:space="720"/>
            <w:col w:w="4119"/>
          </w:cols>
          <w:pgMar w:left="240" w:top="437" w:right="1440" w:bottom="0" w:gutter="0" w:footer="0" w:header="0"/>
          <w:type w:val="continuous"/>
        </w:sectPr>
      </w:pPr>
    </w:p>
    <w:bookmarkStart w:id="163" w:name="page164"/>
    <w:bookmarkEnd w:id="163"/>
    <w:tbl>
      <w:tblPr>
        <w:tblLayout w:type="fixed"/>
        <w:tblInd w:w="0" w:type="dxa"/>
        <w:tblCellMar>
          <w:top w:w="0" w:type="dxa"/>
          <w:left w:w="0" w:type="dxa"/>
          <w:bottom w:w="0" w:type="dxa"/>
          <w:right w:w="0" w:type="dxa"/>
        </w:tblCellMar>
      </w:tblP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Grace Productions LLC</w:t>
            </w:r>
          </w:p>
        </w:tc>
        <w:tc>
          <w:tcPr>
            <w:tcW w:w="674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432"/>
        </w:trPr>
        <w:tc>
          <w:tcPr>
            <w:tcW w:w="4680" w:type="dxa"/>
            <w:vAlign w:val="bottom"/>
          </w:tcPr>
          <w:p>
            <w:pPr>
              <w:spacing w:after="0"/>
              <w:rPr>
                <w:sz w:val="20"/>
                <w:szCs w:val="20"/>
                <w:color w:val="auto"/>
              </w:rPr>
            </w:pPr>
            <w:r>
              <w:rPr>
                <w:rFonts w:ascii="Arial" w:cs="Arial" w:eastAsia="Arial" w:hAnsi="Arial"/>
                <w:sz w:val="18"/>
                <w:szCs w:val="18"/>
                <w:color w:val="auto"/>
              </w:rPr>
              <w:t>Grammar Productions Inc.</w:t>
            </w:r>
          </w:p>
        </w:tc>
        <w:tc>
          <w:tcPr>
            <w:tcW w:w="674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432"/>
        </w:trPr>
        <w:tc>
          <w:tcPr>
            <w:tcW w:w="4680" w:type="dxa"/>
            <w:vAlign w:val="bottom"/>
          </w:tcPr>
          <w:p>
            <w:pPr>
              <w:spacing w:after="0"/>
              <w:rPr>
                <w:sz w:val="20"/>
                <w:szCs w:val="20"/>
                <w:color w:val="auto"/>
              </w:rPr>
            </w:pPr>
            <w:r>
              <w:rPr>
                <w:rFonts w:ascii="Arial" w:cs="Arial" w:eastAsia="Arial" w:hAnsi="Arial"/>
                <w:sz w:val="18"/>
                <w:szCs w:val="18"/>
                <w:color w:val="auto"/>
              </w:rPr>
              <w:t>Gramps Company, Inc., The</w:t>
            </w:r>
          </w:p>
        </w:tc>
        <w:tc>
          <w:tcPr>
            <w:tcW w:w="674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432"/>
        </w:trPr>
        <w:tc>
          <w:tcPr>
            <w:tcW w:w="4680" w:type="dxa"/>
            <w:vAlign w:val="bottom"/>
          </w:tcPr>
          <w:p>
            <w:pPr>
              <w:spacing w:after="0"/>
              <w:rPr>
                <w:sz w:val="20"/>
                <w:szCs w:val="20"/>
                <w:color w:val="auto"/>
              </w:rPr>
            </w:pPr>
            <w:r>
              <w:rPr>
                <w:rFonts w:ascii="Arial" w:cs="Arial" w:eastAsia="Arial" w:hAnsi="Arial"/>
                <w:sz w:val="18"/>
                <w:szCs w:val="18"/>
                <w:color w:val="auto"/>
              </w:rPr>
              <w:t>Granite Productions, Inc.</w:t>
            </w:r>
          </w:p>
        </w:tc>
        <w:tc>
          <w:tcPr>
            <w:tcW w:w="6740" w:type="dxa"/>
            <w:vAlign w:val="bottom"/>
          </w:tcPr>
          <w:p>
            <w:pPr>
              <w:ind w:left="1420"/>
              <w:spacing w:after="0"/>
              <w:rPr>
                <w:sz w:val="20"/>
                <w:szCs w:val="20"/>
                <w:color w:val="auto"/>
              </w:rPr>
            </w:pPr>
            <w:r>
              <w:rPr>
                <w:rFonts w:ascii="Arial" w:cs="Arial" w:eastAsia="Arial" w:hAnsi="Arial"/>
                <w:sz w:val="18"/>
                <w:szCs w:val="18"/>
                <w:color w:val="auto"/>
              </w:rPr>
              <w:t>California</w:t>
            </w:r>
          </w:p>
        </w:tc>
      </w:tr>
      <w:tr>
        <w:trPr>
          <w:trHeight w:val="432"/>
        </w:trPr>
        <w:tc>
          <w:tcPr>
            <w:tcW w:w="4680" w:type="dxa"/>
            <w:vAlign w:val="bottom"/>
          </w:tcPr>
          <w:p>
            <w:pPr>
              <w:spacing w:after="0"/>
              <w:rPr>
                <w:sz w:val="20"/>
                <w:szCs w:val="20"/>
                <w:color w:val="auto"/>
              </w:rPr>
            </w:pPr>
            <w:r>
              <w:rPr>
                <w:rFonts w:ascii="Arial" w:cs="Arial" w:eastAsia="Arial" w:hAnsi="Arial"/>
                <w:sz w:val="18"/>
                <w:szCs w:val="18"/>
                <w:color w:val="auto"/>
              </w:rPr>
              <w:t>Great American Entertainment Motion Pictures, Inc.</w:t>
            </w:r>
          </w:p>
        </w:tc>
        <w:tc>
          <w:tcPr>
            <w:tcW w:w="6740" w:type="dxa"/>
            <w:vAlign w:val="bottom"/>
          </w:tcPr>
          <w:p>
            <w:pPr>
              <w:ind w:left="1420"/>
              <w:spacing w:after="0"/>
              <w:rPr>
                <w:sz w:val="20"/>
                <w:szCs w:val="20"/>
                <w:color w:val="auto"/>
              </w:rPr>
            </w:pPr>
            <w:r>
              <w:rPr>
                <w:rFonts w:ascii="Arial" w:cs="Arial" w:eastAsia="Arial" w:hAnsi="Arial"/>
                <w:sz w:val="18"/>
                <w:szCs w:val="18"/>
                <w:color w:val="auto"/>
              </w:rPr>
              <w:t>California</w:t>
            </w:r>
          </w:p>
        </w:tc>
      </w:tr>
      <w:tr>
        <w:trPr>
          <w:trHeight w:val="432"/>
        </w:trPr>
        <w:tc>
          <w:tcPr>
            <w:tcW w:w="4680" w:type="dxa"/>
            <w:vAlign w:val="bottom"/>
          </w:tcPr>
          <w:p>
            <w:pPr>
              <w:spacing w:after="0"/>
              <w:rPr>
                <w:sz w:val="20"/>
                <w:szCs w:val="20"/>
                <w:color w:val="auto"/>
              </w:rPr>
            </w:pPr>
            <w:r>
              <w:rPr>
                <w:rFonts w:ascii="Arial" w:cs="Arial" w:eastAsia="Arial" w:hAnsi="Arial"/>
                <w:sz w:val="18"/>
                <w:szCs w:val="18"/>
                <w:color w:val="auto"/>
              </w:rPr>
              <w:t>Great American Entertainment Television, Inc.</w:t>
            </w:r>
          </w:p>
        </w:tc>
        <w:tc>
          <w:tcPr>
            <w:tcW w:w="6740" w:type="dxa"/>
            <w:vAlign w:val="bottom"/>
          </w:tcPr>
          <w:p>
            <w:pPr>
              <w:ind w:left="1420"/>
              <w:spacing w:after="0"/>
              <w:rPr>
                <w:sz w:val="20"/>
                <w:szCs w:val="20"/>
                <w:color w:val="auto"/>
              </w:rPr>
            </w:pPr>
            <w:r>
              <w:rPr>
                <w:rFonts w:ascii="Arial" w:cs="Arial" w:eastAsia="Arial" w:hAnsi="Arial"/>
                <w:sz w:val="18"/>
                <w:szCs w:val="18"/>
                <w:color w:val="auto"/>
              </w:rPr>
              <w:t>California</w:t>
            </w:r>
          </w:p>
        </w:tc>
      </w:tr>
      <w:tr>
        <w:trPr>
          <w:trHeight w:val="432"/>
        </w:trPr>
        <w:tc>
          <w:tcPr>
            <w:tcW w:w="4680" w:type="dxa"/>
            <w:vAlign w:val="bottom"/>
          </w:tcPr>
          <w:p>
            <w:pPr>
              <w:spacing w:after="0"/>
              <w:rPr>
                <w:sz w:val="24"/>
                <w:szCs w:val="24"/>
                <w:color w:val="auto"/>
              </w:rPr>
            </w:pPr>
          </w:p>
        </w:tc>
        <w:tc>
          <w:tcPr>
            <w:tcW w:w="6740" w:type="dxa"/>
            <w:vAlign w:val="bottom"/>
          </w:tcPr>
          <w:p>
            <w:pPr>
              <w:ind w:left="1000"/>
              <w:spacing w:after="0"/>
              <w:rPr>
                <w:sz w:val="20"/>
                <w:szCs w:val="20"/>
                <w:color w:val="auto"/>
              </w:rPr>
            </w:pPr>
            <w:r>
              <w:rPr>
                <w:rFonts w:ascii="Arial" w:cs="Arial" w:eastAsia="Arial" w:hAnsi="Arial"/>
                <w:sz w:val="18"/>
                <w:szCs w:val="18"/>
                <w:color w:val="auto"/>
              </w:rPr>
              <w:t>6</w:t>
            </w:r>
          </w:p>
        </w:tc>
      </w:tr>
      <w:tr>
        <w:trPr>
          <w:trHeight w:val="228"/>
        </w:trPr>
        <w:tc>
          <w:tcPr>
            <w:tcW w:w="4680" w:type="dxa"/>
            <w:vAlign w:val="bottom"/>
            <w:tcBorders>
              <w:bottom w:val="single" w:sz="8" w:color="808080"/>
            </w:tcBorders>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-276225</wp:posOffset>
            </wp:positionV>
            <wp:extent cx="7250430" cy="3619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250430" cy="36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212725</wp:posOffset>
            </wp:positionV>
            <wp:extent cx="7250430" cy="215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4119"/>
          </w:cols>
          <w:pgMar w:left="240" w:top="437" w:right="1440" w:bottom="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Green Tiger Press, Inc.</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Grundstueck-Verwaltungsgesellschaft Genfer Strasser MBH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California</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8" w:lineRule="exact"/>
        <w:rPr>
          <w:sz w:val="20"/>
          <w:szCs w:val="20"/>
          <w:color w:val="auto"/>
        </w:rPr>
      </w:pPr>
    </w:p>
    <w:p>
      <w:pPr>
        <w:sectPr>
          <w:pgSz w:w="11900" w:h="16838" w:orient="portrait"/>
          <w:cols w:equalWidth="0" w:num="2">
            <w:col w:w="5380" w:space="720"/>
            <w:col w:w="4119"/>
          </w:cols>
          <w:pgMar w:left="240" w:top="437" w:right="1440" w:bottom="0" w:gutter="0" w:footer="0" w:header="0"/>
          <w:type w:val="continuous"/>
        </w:sectPr>
      </w:pPr>
    </w:p>
    <w:p>
      <w:pPr>
        <w:spacing w:after="0"/>
        <w:rPr>
          <w:sz w:val="20"/>
          <w:szCs w:val="20"/>
          <w:color w:val="auto"/>
        </w:rPr>
      </w:pPr>
      <w:r>
        <w:rPr>
          <w:rFonts w:ascii="Arial" w:cs="Arial" w:eastAsia="Arial" w:hAnsi="Arial"/>
          <w:sz w:val="16"/>
          <w:szCs w:val="16"/>
          <w:color w:val="auto"/>
        </w:rPr>
        <w:t>liquidation)</w:t>
      </w:r>
    </w:p>
    <w:p>
      <w:pPr>
        <w:sectPr>
          <w:pgSz w:w="11900" w:h="16838" w:orient="portrait"/>
          <w:cols w:equalWidth="0" w:num="1">
            <w:col w:w="10219"/>
          </w:cols>
          <w:pgMar w:left="240" w:top="437" w:right="1440" w:bottom="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GS Films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Gulf &amp; Western do Brasil Limitada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Gulf &amp; Western Indonesia,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Gulf &amp; Western International N.V.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Gulf &amp; Western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Hamilton Projects,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Haunted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Heartland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Hemisphere Broadcasting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Hey Yeah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HFM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High Command Productions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Hit Radio,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House of Yes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HTL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Image Edit,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Imagine Radio,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IMR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INFCO Network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Broadcasting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Broadcasting Corporation of Atlanta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Broadcasting Corporation of Baltimore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Broadcasting Corporation of Boston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Broadcasting Corporation of Chesapeake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Broadcasting Corporation of Chicago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Broadcasting Corporation of Detroit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Broadcasting Corporation of Florida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Broadcasting Corporation of Glendale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Broadcasting Corporation of Illinois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Broadcasting Corporation of Los Angeles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Broadcasting Corporation of Maryland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Broadcasting Corporation of Michigan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Infinity Broadcasting Corporation of Northern California</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Canada (Ontario)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Netherlands Antilles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Bahamas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(B.C.)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(Alberta)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(Ontario)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(Ontario)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5380" w:space="720"/>
            <w:col w:w="4119"/>
          </w:cols>
          <w:pgMar w:left="240" w:top="437" w:right="1440" w:bottom="0" w:gutter="0" w:footer="0" w:header="0"/>
          <w:type w:val="continuous"/>
        </w:sectPr>
      </w:pPr>
    </w:p>
    <w:bookmarkStart w:id="165" w:name="page166"/>
    <w:bookmarkEnd w:id="165"/>
    <w:tbl>
      <w:tblPr>
        <w:tblLayout w:type="fixed"/>
        <w:tblInd w:w="0" w:type="dxa"/>
        <w:tblCellMar>
          <w:top w:w="0" w:type="dxa"/>
          <w:left w:w="0" w:type="dxa"/>
          <w:bottom w:w="0" w:type="dxa"/>
          <w:right w:w="0" w:type="dxa"/>
        </w:tblCellMar>
      </w:tblP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Infinity Broadcasting Corporation of Philadelphia</w:t>
            </w:r>
          </w:p>
        </w:tc>
        <w:tc>
          <w:tcPr>
            <w:tcW w:w="664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432"/>
        </w:trPr>
        <w:tc>
          <w:tcPr>
            <w:tcW w:w="4780" w:type="dxa"/>
            <w:vAlign w:val="bottom"/>
          </w:tcPr>
          <w:p>
            <w:pPr>
              <w:spacing w:after="0"/>
              <w:rPr>
                <w:sz w:val="20"/>
                <w:szCs w:val="20"/>
                <w:color w:val="auto"/>
              </w:rPr>
            </w:pPr>
            <w:r>
              <w:rPr>
                <w:rFonts w:ascii="Arial" w:cs="Arial" w:eastAsia="Arial" w:hAnsi="Arial"/>
                <w:sz w:val="18"/>
                <w:szCs w:val="18"/>
                <w:color w:val="auto"/>
              </w:rPr>
              <w:t>Infinity Broadcasting Corporation of Tampa</w:t>
            </w:r>
          </w:p>
        </w:tc>
        <w:tc>
          <w:tcPr>
            <w:tcW w:w="664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432"/>
        </w:trPr>
        <w:tc>
          <w:tcPr>
            <w:tcW w:w="4780" w:type="dxa"/>
            <w:vAlign w:val="bottom"/>
          </w:tcPr>
          <w:p>
            <w:pPr>
              <w:spacing w:after="0"/>
              <w:rPr>
                <w:sz w:val="20"/>
                <w:szCs w:val="20"/>
                <w:color w:val="auto"/>
              </w:rPr>
            </w:pPr>
            <w:r>
              <w:rPr>
                <w:rFonts w:ascii="Arial" w:cs="Arial" w:eastAsia="Arial" w:hAnsi="Arial"/>
                <w:sz w:val="18"/>
                <w:szCs w:val="18"/>
                <w:color w:val="auto"/>
              </w:rPr>
              <w:t>Infinity Broadcasting Corporation of Texas</w:t>
            </w:r>
          </w:p>
        </w:tc>
        <w:tc>
          <w:tcPr>
            <w:tcW w:w="664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432"/>
        </w:trPr>
        <w:tc>
          <w:tcPr>
            <w:tcW w:w="4780" w:type="dxa"/>
            <w:vAlign w:val="bottom"/>
          </w:tcPr>
          <w:p>
            <w:pPr>
              <w:spacing w:after="0"/>
              <w:rPr>
                <w:sz w:val="20"/>
                <w:szCs w:val="20"/>
                <w:color w:val="auto"/>
              </w:rPr>
            </w:pPr>
            <w:r>
              <w:rPr>
                <w:rFonts w:ascii="Arial" w:cs="Arial" w:eastAsia="Arial" w:hAnsi="Arial"/>
                <w:sz w:val="18"/>
                <w:szCs w:val="18"/>
                <w:color w:val="auto"/>
              </w:rPr>
              <w:t>Infinity Broadcasting Corporation of Washington</w:t>
            </w:r>
          </w:p>
        </w:tc>
        <w:tc>
          <w:tcPr>
            <w:tcW w:w="664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432"/>
        </w:trPr>
        <w:tc>
          <w:tcPr>
            <w:tcW w:w="4780" w:type="dxa"/>
            <w:vAlign w:val="bottom"/>
          </w:tcPr>
          <w:p>
            <w:pPr>
              <w:spacing w:after="0"/>
              <w:rPr>
                <w:sz w:val="20"/>
                <w:szCs w:val="20"/>
                <w:color w:val="auto"/>
              </w:rPr>
            </w:pPr>
            <w:r>
              <w:rPr>
                <w:rFonts w:ascii="Arial" w:cs="Arial" w:eastAsia="Arial" w:hAnsi="Arial"/>
                <w:sz w:val="18"/>
                <w:szCs w:val="18"/>
                <w:color w:val="auto"/>
              </w:rPr>
              <w:t>Infinity Broadcasting Corporation of Washington, D.C.</w:t>
            </w:r>
          </w:p>
        </w:tc>
        <w:tc>
          <w:tcPr>
            <w:tcW w:w="664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432"/>
        </w:trPr>
        <w:tc>
          <w:tcPr>
            <w:tcW w:w="4780" w:type="dxa"/>
            <w:vAlign w:val="bottom"/>
          </w:tcPr>
          <w:p>
            <w:pPr>
              <w:spacing w:after="0"/>
              <w:rPr>
                <w:sz w:val="20"/>
                <w:szCs w:val="20"/>
                <w:color w:val="auto"/>
              </w:rPr>
            </w:pPr>
            <w:r>
              <w:rPr>
                <w:rFonts w:ascii="Arial" w:cs="Arial" w:eastAsia="Arial" w:hAnsi="Arial"/>
                <w:sz w:val="18"/>
                <w:szCs w:val="18"/>
                <w:color w:val="auto"/>
              </w:rPr>
              <w:t>Infinity Broadcasting East Holdings Corporation</w:t>
            </w:r>
          </w:p>
        </w:tc>
        <w:tc>
          <w:tcPr>
            <w:tcW w:w="664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432"/>
        </w:trPr>
        <w:tc>
          <w:tcPr>
            <w:tcW w:w="4780" w:type="dxa"/>
            <w:vAlign w:val="bottom"/>
          </w:tcPr>
          <w:p>
            <w:pPr>
              <w:spacing w:after="0"/>
              <w:rPr>
                <w:sz w:val="24"/>
                <w:szCs w:val="24"/>
                <w:color w:val="auto"/>
              </w:rPr>
            </w:pPr>
          </w:p>
        </w:tc>
        <w:tc>
          <w:tcPr>
            <w:tcW w:w="6640" w:type="dxa"/>
            <w:vAlign w:val="bottom"/>
          </w:tcPr>
          <w:p>
            <w:pPr>
              <w:ind w:left="900"/>
              <w:spacing w:after="0"/>
              <w:rPr>
                <w:sz w:val="20"/>
                <w:szCs w:val="20"/>
                <w:color w:val="auto"/>
              </w:rPr>
            </w:pPr>
            <w:r>
              <w:rPr>
                <w:rFonts w:ascii="Arial" w:cs="Arial" w:eastAsia="Arial" w:hAnsi="Arial"/>
                <w:sz w:val="18"/>
                <w:szCs w:val="18"/>
                <w:color w:val="auto"/>
              </w:rPr>
              <w:t>7</w:t>
            </w:r>
          </w:p>
        </w:tc>
      </w:tr>
      <w:tr>
        <w:trPr>
          <w:trHeight w:val="228"/>
        </w:trPr>
        <w:tc>
          <w:tcPr>
            <w:tcW w:w="4780" w:type="dxa"/>
            <w:vAlign w:val="bottom"/>
            <w:tcBorders>
              <w:bottom w:val="single" w:sz="8" w:color="808080"/>
            </w:tcBorders>
          </w:tcPr>
          <w:p>
            <w:pPr>
              <w:spacing w:after="0"/>
              <w:rPr>
                <w:sz w:val="19"/>
                <w:szCs w:val="19"/>
                <w:color w:val="auto"/>
              </w:rPr>
            </w:pPr>
          </w:p>
        </w:tc>
        <w:tc>
          <w:tcPr>
            <w:tcW w:w="6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66" w:name="page167"/>
    <w:bookmarkEnd w:id="166"/>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-276225</wp:posOffset>
            </wp:positionV>
            <wp:extent cx="7250430" cy="3619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250430" cy="36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212725</wp:posOffset>
            </wp:positionV>
            <wp:extent cx="7250430" cy="215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4119"/>
          </w:cols>
          <w:pgMar w:left="240" w:top="437" w:right="1440" w:bottom="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Infinity Broadcasting East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Broadcasting Partner I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Infinity Broadcasting Radio Tower Inc.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Infinity Holdings Corp. of Chesapeake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Infinity Holdings Corp. of Massachusetts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Infinity Holdings Corp. of Orlando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KFRC-AM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KFRC-FM,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Media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Network,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Infinity Outdoor of Florida Holding Co.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Infinity Outdoor of Florida,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Promotions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Radio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Radio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Radio of Cleveland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Radio of Portland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Radio of Sacramento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Radio of San Jose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Technical Services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Texas Partner II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Ventures,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WLIF,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WLIF-AM,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WOAZ-FM,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WPGC (AM),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Inside Edition Inc.</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International Overseas Film Services, Inc.</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International Overseas Productions,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Raw Materials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Intersales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Interstitial Programs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Invision Holdings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Games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Games USA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Massachusetts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Bahamas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The Netherlands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The Netherlands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5380" w:space="720"/>
            <w:col w:w="4119"/>
          </w:cols>
          <w:pgMar w:left="240" w:top="437" w:right="1440" w:bottom="0" w:gutter="0" w:footer="0" w:header="0"/>
          <w:type w:val="continuous"/>
        </w:sectPr>
      </w:pPr>
    </w:p>
    <w:bookmarkStart w:id="167" w:name="page168"/>
    <w:bookmarkEnd w:id="167"/>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Jerry's Outdoor Advertising, Inc.</w:t>
            </w:r>
          </w:p>
        </w:tc>
        <w:tc>
          <w:tcPr>
            <w:tcW w:w="7420" w:type="dxa"/>
            <w:vAlign w:val="bottom"/>
          </w:tcPr>
          <w:p>
            <w:pPr>
              <w:ind w:left="2100"/>
              <w:spacing w:after="0"/>
              <w:rPr>
                <w:sz w:val="20"/>
                <w:szCs w:val="20"/>
                <w:color w:val="auto"/>
              </w:rPr>
            </w:pPr>
            <w:r>
              <w:rPr>
                <w:rFonts w:ascii="Arial" w:cs="Arial" w:eastAsia="Arial" w:hAnsi="Arial"/>
                <w:sz w:val="18"/>
                <w:szCs w:val="18"/>
                <w:color w:val="auto"/>
              </w:rPr>
              <w:t>Florida</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Jiffy Billboards, Inc.</w:t>
            </w:r>
          </w:p>
        </w:tc>
        <w:tc>
          <w:tcPr>
            <w:tcW w:w="7420" w:type="dxa"/>
            <w:vAlign w:val="bottom"/>
          </w:tcPr>
          <w:p>
            <w:pPr>
              <w:ind w:left="2100"/>
              <w:spacing w:after="0"/>
              <w:rPr>
                <w:sz w:val="20"/>
                <w:szCs w:val="20"/>
                <w:color w:val="auto"/>
              </w:rPr>
            </w:pPr>
            <w:r>
              <w:rPr>
                <w:rFonts w:ascii="Arial" w:cs="Arial" w:eastAsia="Arial" w:hAnsi="Arial"/>
                <w:sz w:val="18"/>
                <w:szCs w:val="18"/>
                <w:color w:val="auto"/>
              </w:rPr>
              <w:t>Florida</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Joseph Productions Inc.</w:t>
            </w:r>
          </w:p>
        </w:tc>
        <w:tc>
          <w:tcPr>
            <w:tcW w:w="7420" w:type="dxa"/>
            <w:vAlign w:val="bottom"/>
          </w:tcPr>
          <w:p>
            <w:pPr>
              <w:ind w:left="2100"/>
              <w:spacing w:after="0"/>
              <w:rPr>
                <w:sz w:val="20"/>
                <w:szCs w:val="20"/>
                <w:color w:val="auto"/>
              </w:rPr>
            </w:pPr>
            <w:r>
              <w:rPr>
                <w:rFonts w:ascii="Arial" w:cs="Arial" w:eastAsia="Arial" w:hAnsi="Arial"/>
                <w:sz w:val="18"/>
                <w:szCs w:val="18"/>
                <w:color w:val="auto"/>
              </w:rPr>
              <w:t>Delaware</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Jumbo Ticket Songs Inc.</w:t>
            </w:r>
          </w:p>
        </w:tc>
        <w:tc>
          <w:tcPr>
            <w:tcW w:w="7420" w:type="dxa"/>
            <w:vAlign w:val="bottom"/>
          </w:tcPr>
          <w:p>
            <w:pPr>
              <w:ind w:left="2100"/>
              <w:spacing w:after="0"/>
              <w:rPr>
                <w:sz w:val="20"/>
                <w:szCs w:val="20"/>
                <w:color w:val="auto"/>
              </w:rPr>
            </w:pPr>
            <w:r>
              <w:rPr>
                <w:rFonts w:ascii="Arial" w:cs="Arial" w:eastAsia="Arial" w:hAnsi="Arial"/>
                <w:sz w:val="18"/>
                <w:szCs w:val="18"/>
                <w:color w:val="auto"/>
              </w:rPr>
              <w:t>Delaware</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Just U Productions, Inc.</w:t>
            </w:r>
          </w:p>
        </w:tc>
        <w:tc>
          <w:tcPr>
            <w:tcW w:w="7420" w:type="dxa"/>
            <w:vAlign w:val="bottom"/>
          </w:tcPr>
          <w:p>
            <w:pPr>
              <w:ind w:left="2100"/>
              <w:spacing w:after="0"/>
              <w:rPr>
                <w:sz w:val="20"/>
                <w:szCs w:val="20"/>
                <w:color w:val="auto"/>
              </w:rPr>
            </w:pPr>
            <w:r>
              <w:rPr>
                <w:rFonts w:ascii="Arial" w:cs="Arial" w:eastAsia="Arial" w:hAnsi="Arial"/>
                <w:sz w:val="18"/>
                <w:szCs w:val="18"/>
                <w:color w:val="auto"/>
              </w:rPr>
              <w:t>California</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Justice Productions Inc.</w:t>
            </w:r>
          </w:p>
        </w:tc>
        <w:tc>
          <w:tcPr>
            <w:tcW w:w="7420" w:type="dxa"/>
            <w:vAlign w:val="bottom"/>
          </w:tcPr>
          <w:p>
            <w:pPr>
              <w:ind w:left="2100"/>
              <w:spacing w:after="0"/>
              <w:rPr>
                <w:sz w:val="20"/>
                <w:szCs w:val="20"/>
                <w:color w:val="auto"/>
              </w:rPr>
            </w:pPr>
            <w:r>
              <w:rPr>
                <w:rFonts w:ascii="Arial" w:cs="Arial" w:eastAsia="Arial" w:hAnsi="Arial"/>
                <w:sz w:val="18"/>
                <w:szCs w:val="18"/>
                <w:color w:val="auto"/>
              </w:rPr>
              <w:t>Canada (Ontario)</w:t>
            </w:r>
          </w:p>
        </w:tc>
      </w:tr>
      <w:tr>
        <w:trPr>
          <w:trHeight w:val="432"/>
        </w:trPr>
        <w:tc>
          <w:tcPr>
            <w:tcW w:w="4000" w:type="dxa"/>
            <w:vAlign w:val="bottom"/>
          </w:tcPr>
          <w:p>
            <w:pPr>
              <w:spacing w:after="0"/>
              <w:rPr>
                <w:sz w:val="24"/>
                <w:szCs w:val="24"/>
                <w:color w:val="auto"/>
              </w:rPr>
            </w:pPr>
          </w:p>
        </w:tc>
        <w:tc>
          <w:tcPr>
            <w:tcW w:w="7420" w:type="dxa"/>
            <w:vAlign w:val="bottom"/>
          </w:tcPr>
          <w:p>
            <w:pPr>
              <w:ind w:left="1680"/>
              <w:spacing w:after="0"/>
              <w:rPr>
                <w:sz w:val="20"/>
                <w:szCs w:val="20"/>
                <w:color w:val="auto"/>
              </w:rPr>
            </w:pPr>
            <w:r>
              <w:rPr>
                <w:rFonts w:ascii="Arial" w:cs="Arial" w:eastAsia="Arial" w:hAnsi="Arial"/>
                <w:sz w:val="18"/>
                <w:szCs w:val="18"/>
                <w:color w:val="auto"/>
              </w:rPr>
              <w:t>8</w:t>
            </w:r>
          </w:p>
        </w:tc>
      </w:tr>
      <w:tr>
        <w:trPr>
          <w:trHeight w:val="228"/>
        </w:trPr>
        <w:tc>
          <w:tcPr>
            <w:tcW w:w="400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-276225</wp:posOffset>
            </wp:positionV>
            <wp:extent cx="7250430" cy="3619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250430" cy="36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212725</wp:posOffset>
            </wp:positionV>
            <wp:extent cx="7250430" cy="215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4119"/>
          </w:cols>
          <w:pgMar w:left="240" w:top="438" w:right="1440" w:bottom="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Kindernet C.V.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Köln Comedy Festival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K.W.M.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King World Animation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King World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King World Development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King World Direct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King World Media Sales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King World Merchandising,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King World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King World Studios West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King World/CC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King World/LR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Kings Island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KUTV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KW Development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KWP Studios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KWTS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L23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Ladies Man Productions USA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Large Ticket Songs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Last Holiday Productions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Laurel Entertainment,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LDI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Nine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Levitt Property Managers,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Lisarb Holding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List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 Road Productions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Longest Yard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Low Key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LS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Maarten Investerings Partnership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Magic Hour Productions, Ltd.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Magic Molehill Productions,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Louisiana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Canada (B.C.)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(B.C.)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ectPr>
          <w:pgSz w:w="11900" w:h="16838" w:orient="portrait"/>
          <w:cols w:equalWidth="0" w:num="2">
            <w:col w:w="5380" w:space="720"/>
            <w:col w:w="4119"/>
          </w:cols>
          <w:pgMar w:left="240" w:top="438" w:right="1440" w:bottom="0" w:gutter="0" w:footer="0" w:header="0"/>
          <w:type w:val="continuous"/>
        </w:sectPr>
      </w:pPr>
    </w:p>
    <w:bookmarkStart w:id="169" w:name="page170"/>
    <w:bookmarkEnd w:id="169"/>
    <w:tbl>
      <w:tblPr>
        <w:tblLayout w:type="fixed"/>
        <w:tblInd w:w="0" w:type="dxa"/>
        <w:tblCellMar>
          <w:top w:w="0" w:type="dxa"/>
          <w:left w:w="0" w:type="dxa"/>
          <w:bottom w:w="0" w:type="dxa"/>
          <w:right w:w="0" w:type="dxa"/>
        </w:tblCellMar>
      </w:tblP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Magical Motion Pictures Inc.</w:t>
            </w:r>
          </w:p>
        </w:tc>
        <w:tc>
          <w:tcPr>
            <w:tcW w:w="700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Magicam, Inc.</w:t>
            </w:r>
          </w:p>
        </w:tc>
        <w:tc>
          <w:tcPr>
            <w:tcW w:w="700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Marathon Holdings Inc.</w:t>
            </w:r>
          </w:p>
        </w:tc>
        <w:tc>
          <w:tcPr>
            <w:tcW w:w="700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Mars Film Produzione S.P.A. (in liquidation)</w:t>
            </w:r>
          </w:p>
        </w:tc>
        <w:tc>
          <w:tcPr>
            <w:tcW w:w="7000" w:type="dxa"/>
            <w:vAlign w:val="bottom"/>
          </w:tcPr>
          <w:p>
            <w:pPr>
              <w:ind w:left="1680"/>
              <w:spacing w:after="0"/>
              <w:rPr>
                <w:sz w:val="20"/>
                <w:szCs w:val="20"/>
                <w:color w:val="auto"/>
              </w:rPr>
            </w:pPr>
            <w:r>
              <w:rPr>
                <w:rFonts w:ascii="Arial" w:cs="Arial" w:eastAsia="Arial" w:hAnsi="Arial"/>
                <w:sz w:val="18"/>
                <w:szCs w:val="18"/>
                <w:color w:val="auto"/>
              </w:rPr>
              <w:t>Italy</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Martha Productions Inc.</w:t>
            </w:r>
          </w:p>
        </w:tc>
        <w:tc>
          <w:tcPr>
            <w:tcW w:w="7000" w:type="dxa"/>
            <w:vAlign w:val="bottom"/>
          </w:tcPr>
          <w:p>
            <w:pPr>
              <w:ind w:left="1680"/>
              <w:spacing w:after="0"/>
              <w:rPr>
                <w:sz w:val="20"/>
                <w:szCs w:val="20"/>
                <w:color w:val="auto"/>
              </w:rPr>
            </w:pPr>
            <w:r>
              <w:rPr>
                <w:rFonts w:ascii="Arial" w:cs="Arial" w:eastAsia="Arial" w:hAnsi="Arial"/>
                <w:sz w:val="18"/>
                <w:szCs w:val="18"/>
                <w:color w:val="auto"/>
              </w:rPr>
              <w:t>Canada (Ontario)</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Matlock Company, The</w:t>
            </w:r>
          </w:p>
        </w:tc>
        <w:tc>
          <w:tcPr>
            <w:tcW w:w="700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432"/>
        </w:trPr>
        <w:tc>
          <w:tcPr>
            <w:tcW w:w="4420" w:type="dxa"/>
            <w:vAlign w:val="bottom"/>
          </w:tcPr>
          <w:p>
            <w:pPr>
              <w:spacing w:after="0"/>
              <w:rPr>
                <w:sz w:val="24"/>
                <w:szCs w:val="24"/>
                <w:color w:val="auto"/>
              </w:rPr>
            </w:pPr>
          </w:p>
        </w:tc>
        <w:tc>
          <w:tcPr>
            <w:tcW w:w="7000" w:type="dxa"/>
            <w:vAlign w:val="bottom"/>
          </w:tcPr>
          <w:p>
            <w:pPr>
              <w:ind w:left="1260"/>
              <w:spacing w:after="0"/>
              <w:rPr>
                <w:sz w:val="20"/>
                <w:szCs w:val="20"/>
                <w:color w:val="auto"/>
              </w:rPr>
            </w:pPr>
            <w:r>
              <w:rPr>
                <w:rFonts w:ascii="Arial" w:cs="Arial" w:eastAsia="Arial" w:hAnsi="Arial"/>
                <w:sz w:val="18"/>
                <w:szCs w:val="18"/>
                <w:color w:val="auto"/>
              </w:rPr>
              <w:t>9</w:t>
            </w:r>
          </w:p>
        </w:tc>
      </w:tr>
      <w:tr>
        <w:trPr>
          <w:trHeight w:val="228"/>
        </w:trPr>
        <w:tc>
          <w:tcPr>
            <w:tcW w:w="4420" w:type="dxa"/>
            <w:vAlign w:val="bottom"/>
            <w:tcBorders>
              <w:bottom w:val="single" w:sz="8" w:color="808080"/>
            </w:tcBorders>
          </w:tcPr>
          <w:p>
            <w:pPr>
              <w:spacing w:after="0"/>
              <w:rPr>
                <w:sz w:val="19"/>
                <w:szCs w:val="19"/>
                <w:color w:val="auto"/>
              </w:rPr>
            </w:pPr>
          </w:p>
        </w:tc>
        <w:tc>
          <w:tcPr>
            <w:tcW w:w="7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-276225</wp:posOffset>
            </wp:positionV>
            <wp:extent cx="7250430" cy="3619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250430" cy="36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212725</wp:posOffset>
            </wp:positionV>
            <wp:extent cx="7250430" cy="215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4119"/>
          </w:cols>
          <w:pgMar w:left="240" w:top="437" w:right="1440" w:bottom="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Mattalex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Maxmedia,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 Culpa Mediaverwert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 Culpa TV Produktions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Media Trend S.R.L.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Mega Publicidad Exterior SL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Melrose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Meredith Productions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Merlot Film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Merritt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Metro Poster Advertising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Metrobus Advertising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MG Films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Michaela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Mischief New Media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Mobi Espace S.A.R.L.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MTV Animation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MTV Asia Development Company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MTV Asia LDC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MTV Asia Ownership One LDC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MTV Asia Ownership Two LDC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MTV Asia Ventures (India) Pte.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MTV Asia Ventures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MTV Australia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MTV Channel Espana SL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MTV Europe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MTV Hong Kong Limited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MTV India Development Company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MTV India LDC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MTV Networks 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MTV Networks Argentina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MTV Networks Argentina Srl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MTV Networks Australia Pty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MTV Networks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MTV Networks Belgium BVBA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ectPr>
          <w:pgSz w:w="11900" w:h="16838" w:orient="portrait"/>
          <w:cols w:equalWidth="0" w:num="2">
            <w:col w:w="5380" w:space="720"/>
            <w:col w:w="4119"/>
          </w:cols>
          <w:pgMar w:left="240" w:top="437" w:right="1440" w:bottom="0" w:gutter="0" w:footer="0" w:header="0"/>
          <w:type w:val="continuous"/>
        </w:sectPr>
      </w:pPr>
    </w:p>
    <w:bookmarkStart w:id="171" w:name="page172"/>
    <w:bookmarkEnd w:id="171"/>
    <w:tbl>
      <w:tblPr>
        <w:tblLayout w:type="fixed"/>
        <w:tblInd w:w="0" w:type="dxa"/>
        <w:tblCellMar>
          <w:top w:w="0" w:type="dxa"/>
          <w:left w:w="0" w:type="dxa"/>
          <w:bottom w:w="0" w:type="dxa"/>
          <w:right w:w="0" w:type="dxa"/>
        </w:tblCellMar>
      </w:tblP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MTV Networks Beteiligungen GmbH</w:t>
            </w:r>
          </w:p>
        </w:tc>
        <w:tc>
          <w:tcPr>
            <w:tcW w:w="7000" w:type="dxa"/>
            <w:vAlign w:val="bottom"/>
          </w:tcPr>
          <w:p>
            <w:pPr>
              <w:ind w:left="1680"/>
              <w:spacing w:after="0"/>
              <w:rPr>
                <w:sz w:val="20"/>
                <w:szCs w:val="20"/>
                <w:color w:val="auto"/>
              </w:rPr>
            </w:pPr>
            <w:r>
              <w:rPr>
                <w:rFonts w:ascii="Arial" w:cs="Arial" w:eastAsia="Arial" w:hAnsi="Arial"/>
                <w:sz w:val="18"/>
                <w:szCs w:val="18"/>
                <w:color w:val="auto"/>
              </w:rPr>
              <w:t>Germany</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MTV Networks Company</w:t>
            </w:r>
          </w:p>
        </w:tc>
        <w:tc>
          <w:tcPr>
            <w:tcW w:w="700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MTV Networks de Mexico S. de R.L. de C.V.</w:t>
            </w:r>
          </w:p>
        </w:tc>
        <w:tc>
          <w:tcPr>
            <w:tcW w:w="7000" w:type="dxa"/>
            <w:vAlign w:val="bottom"/>
          </w:tcPr>
          <w:p>
            <w:pPr>
              <w:ind w:left="1680"/>
              <w:spacing w:after="0"/>
              <w:rPr>
                <w:sz w:val="20"/>
                <w:szCs w:val="20"/>
                <w:color w:val="auto"/>
              </w:rPr>
            </w:pPr>
            <w:r>
              <w:rPr>
                <w:rFonts w:ascii="Arial" w:cs="Arial" w:eastAsia="Arial" w:hAnsi="Arial"/>
                <w:sz w:val="18"/>
                <w:szCs w:val="18"/>
                <w:color w:val="auto"/>
              </w:rPr>
              <w:t>Mexico</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MTV Networks Enterprises Inc.</w:t>
            </w:r>
          </w:p>
        </w:tc>
        <w:tc>
          <w:tcPr>
            <w:tcW w:w="700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MTV Networks Europe Inc.</w:t>
            </w:r>
          </w:p>
        </w:tc>
        <w:tc>
          <w:tcPr>
            <w:tcW w:w="700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MTV Networks Global Services Inc.</w:t>
            </w:r>
          </w:p>
        </w:tc>
        <w:tc>
          <w:tcPr>
            <w:tcW w:w="700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432"/>
        </w:trPr>
        <w:tc>
          <w:tcPr>
            <w:tcW w:w="4420" w:type="dxa"/>
            <w:vAlign w:val="bottom"/>
          </w:tcPr>
          <w:p>
            <w:pPr>
              <w:spacing w:after="0"/>
              <w:rPr>
                <w:sz w:val="24"/>
                <w:szCs w:val="24"/>
                <w:color w:val="auto"/>
              </w:rPr>
            </w:pPr>
          </w:p>
        </w:tc>
        <w:tc>
          <w:tcPr>
            <w:tcW w:w="7000" w:type="dxa"/>
            <w:vAlign w:val="bottom"/>
          </w:tcPr>
          <w:p>
            <w:pPr>
              <w:ind w:left="1200"/>
              <w:spacing w:after="0"/>
              <w:rPr>
                <w:sz w:val="20"/>
                <w:szCs w:val="20"/>
                <w:color w:val="auto"/>
              </w:rPr>
            </w:pPr>
            <w:r>
              <w:rPr>
                <w:rFonts w:ascii="Arial" w:cs="Arial" w:eastAsia="Arial" w:hAnsi="Arial"/>
                <w:sz w:val="18"/>
                <w:szCs w:val="18"/>
                <w:color w:val="auto"/>
              </w:rPr>
              <w:t>10</w:t>
            </w:r>
          </w:p>
        </w:tc>
      </w:tr>
      <w:tr>
        <w:trPr>
          <w:trHeight w:val="228"/>
        </w:trPr>
        <w:tc>
          <w:tcPr>
            <w:tcW w:w="4420" w:type="dxa"/>
            <w:vAlign w:val="bottom"/>
            <w:tcBorders>
              <w:bottom w:val="single" w:sz="8" w:color="808080"/>
            </w:tcBorders>
          </w:tcPr>
          <w:p>
            <w:pPr>
              <w:spacing w:after="0"/>
              <w:rPr>
                <w:sz w:val="19"/>
                <w:szCs w:val="19"/>
                <w:color w:val="auto"/>
              </w:rPr>
            </w:pPr>
          </w:p>
        </w:tc>
        <w:tc>
          <w:tcPr>
            <w:tcW w:w="7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ind w:left="610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3619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250430" cy="36195"/>
                    </a:xfrm>
                    <a:prstGeom prst="rect">
                      <a:avLst/>
                    </a:prstGeom>
                    <a:noFill/>
                  </pic:spPr>
                </pic:pic>
              </a:graphicData>
            </a:graphic>
          </wp:anchor>
        </w:drawing>
        <w:t>Place of Incorporation</w:t>
      </w:r>
    </w:p>
    <w:p>
      <w:pPr>
        <w:spacing w:after="0" w:line="24" w:lineRule="exact"/>
        <w:rPr>
          <w:sz w:val="20"/>
          <w:szCs w:val="20"/>
          <w:color w:val="auto"/>
        </w:rPr>
      </w:pPr>
    </w:p>
    <w:p>
      <w:pPr>
        <w:spacing w:after="0"/>
        <w:tabs>
          <w:tab w:leader="none" w:pos="6220" w:val="left"/>
        </w:tabs>
        <w:rPr>
          <w:sz w:val="20"/>
          <w:szCs w:val="20"/>
          <w:color w:val="auto"/>
        </w:rPr>
      </w:pPr>
      <w:r>
        <w:rPr>
          <w:rFonts w:ascii="Arial" w:cs="Arial" w:eastAsia="Arial" w:hAnsi="Arial"/>
          <w:sz w:val="14"/>
          <w:szCs w:val="14"/>
          <w:b w:val="1"/>
          <w:bCs w:val="1"/>
          <w:color w:val="auto"/>
        </w:rPr>
        <w:t>Subsidiary Name</w:t>
      </w:r>
      <w:r>
        <w:rPr>
          <w:sz w:val="20"/>
          <w:szCs w:val="20"/>
          <w:color w:val="auto"/>
        </w:rPr>
        <w:tab/>
      </w:r>
      <w:r>
        <w:rPr>
          <w:rFonts w:ascii="Arial" w:cs="Arial" w:eastAsia="Arial" w:hAnsi="Arial"/>
          <w:sz w:val="12"/>
          <w:szCs w:val="12"/>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 Networks GmbH &amp; Co OHG</w:t>
      </w:r>
      <w:r>
        <w:rPr>
          <w:sz w:val="20"/>
          <w:szCs w:val="20"/>
          <w:color w:val="auto"/>
        </w:rPr>
        <w:tab/>
      </w:r>
      <w:r>
        <w:rPr>
          <w:rFonts w:ascii="Arial" w:cs="Arial" w:eastAsia="Arial" w:hAnsi="Arial"/>
          <w:sz w:val="16"/>
          <w:szCs w:val="16"/>
          <w:color w:val="auto"/>
        </w:rPr>
        <w:t>Germany</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 Networks India Private Limited</w:t>
      </w:r>
      <w:r>
        <w:rPr>
          <w:sz w:val="20"/>
          <w:szCs w:val="20"/>
          <w:color w:val="auto"/>
        </w:rPr>
        <w:tab/>
      </w:r>
      <w:r>
        <w:rPr>
          <w:rFonts w:ascii="Arial" w:cs="Arial" w:eastAsia="Arial" w:hAnsi="Arial"/>
          <w:sz w:val="16"/>
          <w:szCs w:val="16"/>
          <w:color w:val="auto"/>
        </w:rPr>
        <w:t>India</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 Networks Japan B.V.</w:t>
      </w:r>
      <w:r>
        <w:rPr>
          <w:sz w:val="20"/>
          <w:szCs w:val="20"/>
          <w:color w:val="auto"/>
        </w:rPr>
        <w:tab/>
      </w:r>
      <w:r>
        <w:rPr>
          <w:rFonts w:ascii="Arial" w:cs="Arial" w:eastAsia="Arial" w:hAnsi="Arial"/>
          <w:sz w:val="15"/>
          <w:szCs w:val="15"/>
          <w:color w:val="auto"/>
        </w:rPr>
        <w:t>The Netherlands</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 Networks Latin America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 Networks Ltda</w:t>
      </w:r>
      <w:r>
        <w:rPr>
          <w:sz w:val="20"/>
          <w:szCs w:val="20"/>
          <w:color w:val="auto"/>
        </w:rPr>
        <w:tab/>
      </w:r>
      <w:r>
        <w:rPr>
          <w:rFonts w:ascii="Arial" w:cs="Arial" w:eastAsia="Arial" w:hAnsi="Arial"/>
          <w:sz w:val="16"/>
          <w:szCs w:val="16"/>
          <w:color w:val="auto"/>
        </w:rPr>
        <w:t>Portugal</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 Networks On Campus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 Networks Productions B.V.</w:t>
      </w:r>
      <w:r>
        <w:rPr>
          <w:sz w:val="20"/>
          <w:szCs w:val="20"/>
          <w:color w:val="auto"/>
        </w:rPr>
        <w:tab/>
      </w:r>
      <w:r>
        <w:rPr>
          <w:rFonts w:ascii="Arial" w:cs="Arial" w:eastAsia="Arial" w:hAnsi="Arial"/>
          <w:sz w:val="15"/>
          <w:szCs w:val="15"/>
          <w:color w:val="auto"/>
        </w:rPr>
        <w:t>Netherlands</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 Networks SARL</w:t>
      </w:r>
      <w:r>
        <w:rPr>
          <w:sz w:val="20"/>
          <w:szCs w:val="20"/>
          <w:color w:val="auto"/>
        </w:rPr>
        <w:tab/>
      </w:r>
      <w:r>
        <w:rPr>
          <w:rFonts w:ascii="Arial" w:cs="Arial" w:eastAsia="Arial" w:hAnsi="Arial"/>
          <w:sz w:val="15"/>
          <w:szCs w:val="15"/>
          <w:color w:val="auto"/>
        </w:rPr>
        <w:t>France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 Networks Shopping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 Networks South Africa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 Networks Srl</w:t>
      </w:r>
      <w:r>
        <w:rPr>
          <w:sz w:val="20"/>
          <w:szCs w:val="20"/>
          <w:color w:val="auto"/>
        </w:rPr>
        <w:tab/>
      </w:r>
      <w:r>
        <w:rPr>
          <w:rFonts w:ascii="Arial" w:cs="Arial" w:eastAsia="Arial" w:hAnsi="Arial"/>
          <w:sz w:val="16"/>
          <w:szCs w:val="16"/>
          <w:color w:val="auto"/>
        </w:rPr>
        <w:t>Italy</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 Networks Verwaltung GmbH</w:t>
      </w:r>
      <w:r>
        <w:rPr>
          <w:sz w:val="20"/>
          <w:szCs w:val="20"/>
          <w:color w:val="auto"/>
        </w:rPr>
        <w:tab/>
      </w:r>
      <w:r>
        <w:rPr>
          <w:rFonts w:ascii="Arial" w:cs="Arial" w:eastAsia="Arial" w:hAnsi="Arial"/>
          <w:sz w:val="16"/>
          <w:szCs w:val="16"/>
          <w:color w:val="auto"/>
        </w:rPr>
        <w:t>Germany</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 Radio Productions Limited</w:t>
      </w:r>
      <w:r>
        <w:rPr>
          <w:sz w:val="20"/>
          <w:szCs w:val="20"/>
          <w:color w:val="auto"/>
        </w:rPr>
        <w:tab/>
      </w:r>
      <w:r>
        <w:rPr>
          <w:rFonts w:ascii="Arial" w:cs="Arial" w:eastAsia="Arial" w:hAnsi="Arial"/>
          <w:sz w:val="16"/>
          <w:szCs w:val="16"/>
          <w:color w:val="auto"/>
        </w:rPr>
        <w:t>United Kingdom</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 Russia Holdings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 SA LDC</w:t>
      </w:r>
      <w:r>
        <w:rPr>
          <w:sz w:val="20"/>
          <w:szCs w:val="20"/>
          <w:color w:val="auto"/>
        </w:rPr>
        <w:tab/>
      </w:r>
      <w:r>
        <w:rPr>
          <w:rFonts w:ascii="Arial" w:cs="Arial" w:eastAsia="Arial" w:hAnsi="Arial"/>
          <w:sz w:val="15"/>
          <w:szCs w:val="15"/>
          <w:color w:val="auto"/>
        </w:rPr>
        <w:t>Cayman Islands</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 Songs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 Taiwan LDC</w:t>
      </w:r>
      <w:r>
        <w:rPr>
          <w:sz w:val="20"/>
          <w:szCs w:val="20"/>
          <w:color w:val="auto"/>
        </w:rPr>
        <w:tab/>
      </w:r>
      <w:r>
        <w:rPr>
          <w:rFonts w:ascii="Arial" w:cs="Arial" w:eastAsia="Arial" w:hAnsi="Arial"/>
          <w:sz w:val="15"/>
          <w:szCs w:val="15"/>
          <w:color w:val="auto"/>
        </w:rPr>
        <w:t>Cayman Islands</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MTVBVI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MTVi Group, Inc., The</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MTVi Group, L.P., The</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MTVN Direct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MTVN Online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MTVN Online Partner I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MTVN Online Partner I LLC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MTVN Shopping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MTVN Video Hits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Music By Nickelodeon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Music By Video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MVP.com Sports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Nanobot Productions Inc.</w:t>
      </w:r>
      <w:r>
        <w:rPr>
          <w:sz w:val="20"/>
          <w:szCs w:val="20"/>
          <w:color w:val="auto"/>
        </w:rPr>
        <w:tab/>
      </w:r>
      <w:r>
        <w:rPr>
          <w:rFonts w:ascii="Arial" w:cs="Arial" w:eastAsia="Arial" w:hAnsi="Arial"/>
          <w:sz w:val="15"/>
          <w:szCs w:val="15"/>
          <w:color w:val="auto"/>
        </w:rPr>
        <w:t>Canada (Ontario)</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National Advertising Company</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Network Enterprises, Inc.</w:t>
      </w:r>
      <w:r>
        <w:rPr>
          <w:sz w:val="20"/>
          <w:szCs w:val="20"/>
          <w:color w:val="auto"/>
        </w:rPr>
        <w:tab/>
      </w:r>
      <w:r>
        <w:rPr>
          <w:rFonts w:ascii="Arial" w:cs="Arial" w:eastAsia="Arial" w:hAnsi="Arial"/>
          <w:sz w:val="14"/>
          <w:szCs w:val="14"/>
          <w:color w:val="auto"/>
        </w:rPr>
        <w:t>Tennessee</w:t>
      </w:r>
    </w:p>
    <w:p>
      <w:pPr>
        <w:sectPr>
          <w:pgSz w:w="11900" w:h="16838" w:orient="portrait"/>
          <w:cols w:equalWidth="0" w:num="1">
            <w:col w:w="10219"/>
          </w:cols>
          <w:pgMar w:left="240" w:top="438" w:right="1440" w:bottom="3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38" w:right="1440" w:bottom="359" w:gutter="0" w:footer="0" w:header="0"/>
          <w:type w:val="continuous"/>
        </w:sectPr>
      </w:pPr>
    </w:p>
    <w:bookmarkStart w:id="173" w:name="page174"/>
    <w:bookmarkEnd w:id="173"/>
    <w:tbl>
      <w:tblPr>
        <w:tblLayout w:type="fixed"/>
        <w:tblInd w:w="0" w:type="dxa"/>
        <w:tblCellMar>
          <w:top w:w="0" w:type="dxa"/>
          <w:left w:w="0" w:type="dxa"/>
          <w:bottom w:w="0" w:type="dxa"/>
          <w:right w:w="0" w:type="dxa"/>
        </w:tblCellMar>
      </w:tblP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Network Talent, LLC</w:t>
            </w:r>
          </w:p>
        </w:tc>
        <w:tc>
          <w:tcPr>
            <w:tcW w:w="7080" w:type="dxa"/>
            <w:vAlign w:val="bottom"/>
          </w:tcPr>
          <w:p>
            <w:pPr>
              <w:ind w:left="1760"/>
              <w:spacing w:after="0"/>
              <w:rPr>
                <w:sz w:val="20"/>
                <w:szCs w:val="20"/>
                <w:color w:val="auto"/>
              </w:rPr>
            </w:pPr>
            <w:r>
              <w:rPr>
                <w:rFonts w:ascii="Arial" w:cs="Arial" w:eastAsia="Arial" w:hAnsi="Arial"/>
                <w:sz w:val="18"/>
                <w:szCs w:val="18"/>
                <w:color w:val="auto"/>
              </w:rPr>
              <w:t>Tennessee</w:t>
            </w:r>
          </w:p>
        </w:tc>
      </w:tr>
      <w:tr>
        <w:trPr>
          <w:trHeight w:val="432"/>
        </w:trPr>
        <w:tc>
          <w:tcPr>
            <w:tcW w:w="4340" w:type="dxa"/>
            <w:vAlign w:val="bottom"/>
          </w:tcPr>
          <w:p>
            <w:pPr>
              <w:spacing w:after="0"/>
              <w:rPr>
                <w:sz w:val="20"/>
                <w:szCs w:val="20"/>
                <w:color w:val="auto"/>
              </w:rPr>
            </w:pPr>
            <w:r>
              <w:rPr>
                <w:rFonts w:ascii="Arial" w:cs="Arial" w:eastAsia="Arial" w:hAnsi="Arial"/>
                <w:sz w:val="18"/>
                <w:szCs w:val="18"/>
                <w:color w:val="auto"/>
              </w:rPr>
              <w:t>Neutronium Inc.</w:t>
            </w:r>
          </w:p>
        </w:tc>
        <w:tc>
          <w:tcPr>
            <w:tcW w:w="7080" w:type="dxa"/>
            <w:vAlign w:val="bottom"/>
          </w:tcPr>
          <w:p>
            <w:pPr>
              <w:ind w:left="1760"/>
              <w:spacing w:after="0"/>
              <w:rPr>
                <w:sz w:val="20"/>
                <w:szCs w:val="20"/>
                <w:color w:val="auto"/>
              </w:rPr>
            </w:pPr>
            <w:r>
              <w:rPr>
                <w:rFonts w:ascii="Arial" w:cs="Arial" w:eastAsia="Arial" w:hAnsi="Arial"/>
                <w:sz w:val="18"/>
                <w:szCs w:val="18"/>
                <w:color w:val="auto"/>
              </w:rPr>
              <w:t>Delaware</w:t>
            </w:r>
          </w:p>
        </w:tc>
      </w:tr>
      <w:tr>
        <w:trPr>
          <w:trHeight w:val="432"/>
        </w:trPr>
        <w:tc>
          <w:tcPr>
            <w:tcW w:w="4340" w:type="dxa"/>
            <w:vAlign w:val="bottom"/>
          </w:tcPr>
          <w:p>
            <w:pPr>
              <w:spacing w:after="0"/>
              <w:rPr>
                <w:sz w:val="20"/>
                <w:szCs w:val="20"/>
                <w:color w:val="auto"/>
              </w:rPr>
            </w:pPr>
            <w:r>
              <w:rPr>
                <w:rFonts w:ascii="Arial" w:cs="Arial" w:eastAsia="Arial" w:hAnsi="Arial"/>
                <w:sz w:val="18"/>
                <w:szCs w:val="18"/>
                <w:color w:val="auto"/>
              </w:rPr>
              <w:t>New York Subways Advertising Co., Inc.</w:t>
            </w:r>
          </w:p>
        </w:tc>
        <w:tc>
          <w:tcPr>
            <w:tcW w:w="7080" w:type="dxa"/>
            <w:vAlign w:val="bottom"/>
          </w:tcPr>
          <w:p>
            <w:pPr>
              <w:ind w:left="1760"/>
              <w:spacing w:after="0"/>
              <w:rPr>
                <w:sz w:val="20"/>
                <w:szCs w:val="20"/>
                <w:color w:val="auto"/>
              </w:rPr>
            </w:pPr>
            <w:r>
              <w:rPr>
                <w:rFonts w:ascii="Arial" w:cs="Arial" w:eastAsia="Arial" w:hAnsi="Arial"/>
                <w:sz w:val="18"/>
                <w:szCs w:val="18"/>
                <w:color w:val="auto"/>
              </w:rPr>
              <w:t>Arizona</w:t>
            </w:r>
          </w:p>
        </w:tc>
      </w:tr>
      <w:tr>
        <w:trPr>
          <w:trHeight w:val="432"/>
        </w:trPr>
        <w:tc>
          <w:tcPr>
            <w:tcW w:w="4340" w:type="dxa"/>
            <w:vAlign w:val="bottom"/>
          </w:tcPr>
          <w:p>
            <w:pPr>
              <w:spacing w:after="0"/>
              <w:rPr>
                <w:sz w:val="20"/>
                <w:szCs w:val="20"/>
                <w:color w:val="auto"/>
              </w:rPr>
            </w:pPr>
            <w:r>
              <w:rPr>
                <w:rFonts w:ascii="Arial" w:cs="Arial" w:eastAsia="Arial" w:hAnsi="Arial"/>
                <w:sz w:val="18"/>
                <w:szCs w:val="18"/>
                <w:color w:val="auto"/>
              </w:rPr>
              <w:t>Newdon Productions</w:t>
            </w:r>
          </w:p>
        </w:tc>
        <w:tc>
          <w:tcPr>
            <w:tcW w:w="7080" w:type="dxa"/>
            <w:vAlign w:val="bottom"/>
          </w:tcPr>
          <w:p>
            <w:pPr>
              <w:ind w:left="1760"/>
              <w:spacing w:after="0"/>
              <w:rPr>
                <w:sz w:val="20"/>
                <w:szCs w:val="20"/>
                <w:color w:val="auto"/>
              </w:rPr>
            </w:pPr>
            <w:r>
              <w:rPr>
                <w:rFonts w:ascii="Arial" w:cs="Arial" w:eastAsia="Arial" w:hAnsi="Arial"/>
                <w:sz w:val="18"/>
                <w:szCs w:val="18"/>
                <w:color w:val="auto"/>
              </w:rPr>
              <w:t>Illinois</w:t>
            </w:r>
          </w:p>
        </w:tc>
      </w:tr>
      <w:tr>
        <w:trPr>
          <w:trHeight w:val="432"/>
        </w:trPr>
        <w:tc>
          <w:tcPr>
            <w:tcW w:w="4340" w:type="dxa"/>
            <w:vAlign w:val="bottom"/>
          </w:tcPr>
          <w:p>
            <w:pPr>
              <w:spacing w:after="0"/>
              <w:rPr>
                <w:sz w:val="20"/>
                <w:szCs w:val="20"/>
                <w:color w:val="auto"/>
              </w:rPr>
            </w:pPr>
            <w:r>
              <w:rPr>
                <w:rFonts w:ascii="Arial" w:cs="Arial" w:eastAsia="Arial" w:hAnsi="Arial"/>
                <w:sz w:val="18"/>
                <w:szCs w:val="18"/>
                <w:color w:val="auto"/>
              </w:rPr>
              <w:t>Nick At Nite's TV Land Retromercials Inc.</w:t>
            </w:r>
          </w:p>
        </w:tc>
        <w:tc>
          <w:tcPr>
            <w:tcW w:w="7080" w:type="dxa"/>
            <w:vAlign w:val="bottom"/>
          </w:tcPr>
          <w:p>
            <w:pPr>
              <w:ind w:left="1760"/>
              <w:spacing w:after="0"/>
              <w:rPr>
                <w:sz w:val="20"/>
                <w:szCs w:val="20"/>
                <w:color w:val="auto"/>
              </w:rPr>
            </w:pPr>
            <w:r>
              <w:rPr>
                <w:rFonts w:ascii="Arial" w:cs="Arial" w:eastAsia="Arial" w:hAnsi="Arial"/>
                <w:sz w:val="18"/>
                <w:szCs w:val="18"/>
                <w:color w:val="auto"/>
              </w:rPr>
              <w:t>Delaware</w:t>
            </w:r>
          </w:p>
        </w:tc>
      </w:tr>
      <w:tr>
        <w:trPr>
          <w:trHeight w:val="432"/>
        </w:trPr>
        <w:tc>
          <w:tcPr>
            <w:tcW w:w="4340" w:type="dxa"/>
            <w:vAlign w:val="bottom"/>
          </w:tcPr>
          <w:p>
            <w:pPr>
              <w:spacing w:after="0"/>
              <w:rPr>
                <w:sz w:val="20"/>
                <w:szCs w:val="20"/>
                <w:color w:val="auto"/>
              </w:rPr>
            </w:pPr>
            <w:r>
              <w:rPr>
                <w:rFonts w:ascii="Arial" w:cs="Arial" w:eastAsia="Arial" w:hAnsi="Arial"/>
                <w:sz w:val="18"/>
                <w:szCs w:val="18"/>
                <w:color w:val="auto"/>
              </w:rPr>
              <w:t>Nickelodeon Animation Studios Inc.</w:t>
            </w:r>
          </w:p>
        </w:tc>
        <w:tc>
          <w:tcPr>
            <w:tcW w:w="7080" w:type="dxa"/>
            <w:vAlign w:val="bottom"/>
          </w:tcPr>
          <w:p>
            <w:pPr>
              <w:ind w:left="1760"/>
              <w:spacing w:after="0"/>
              <w:rPr>
                <w:sz w:val="20"/>
                <w:szCs w:val="20"/>
                <w:color w:val="auto"/>
              </w:rPr>
            </w:pPr>
            <w:r>
              <w:rPr>
                <w:rFonts w:ascii="Arial" w:cs="Arial" w:eastAsia="Arial" w:hAnsi="Arial"/>
                <w:sz w:val="18"/>
                <w:szCs w:val="18"/>
                <w:color w:val="auto"/>
              </w:rPr>
              <w:t>Delaware</w:t>
            </w:r>
          </w:p>
        </w:tc>
      </w:tr>
      <w:tr>
        <w:trPr>
          <w:trHeight w:val="432"/>
        </w:trPr>
        <w:tc>
          <w:tcPr>
            <w:tcW w:w="4340" w:type="dxa"/>
            <w:vAlign w:val="bottom"/>
          </w:tcPr>
          <w:p>
            <w:pPr>
              <w:spacing w:after="0"/>
              <w:rPr>
                <w:sz w:val="20"/>
                <w:szCs w:val="20"/>
                <w:color w:val="auto"/>
              </w:rPr>
            </w:pPr>
            <w:r>
              <w:rPr>
                <w:rFonts w:ascii="Arial" w:cs="Arial" w:eastAsia="Arial" w:hAnsi="Arial"/>
                <w:sz w:val="18"/>
                <w:szCs w:val="18"/>
                <w:color w:val="auto"/>
              </w:rPr>
              <w:t>Nickelodeon Asia Holdings Pte. Ltd.</w:t>
            </w:r>
          </w:p>
        </w:tc>
        <w:tc>
          <w:tcPr>
            <w:tcW w:w="7080" w:type="dxa"/>
            <w:vAlign w:val="bottom"/>
          </w:tcPr>
          <w:p>
            <w:pPr>
              <w:ind w:left="1760"/>
              <w:spacing w:after="0"/>
              <w:rPr>
                <w:sz w:val="20"/>
                <w:szCs w:val="20"/>
                <w:color w:val="auto"/>
              </w:rPr>
            </w:pPr>
            <w:r>
              <w:rPr>
                <w:rFonts w:ascii="Arial" w:cs="Arial" w:eastAsia="Arial" w:hAnsi="Arial"/>
                <w:sz w:val="18"/>
                <w:szCs w:val="18"/>
                <w:color w:val="auto"/>
              </w:rPr>
              <w:t>Singapore</w:t>
            </w:r>
          </w:p>
        </w:tc>
      </w:tr>
      <w:tr>
        <w:trPr>
          <w:trHeight w:val="432"/>
        </w:trPr>
        <w:tc>
          <w:tcPr>
            <w:tcW w:w="4340" w:type="dxa"/>
            <w:vAlign w:val="bottom"/>
          </w:tcPr>
          <w:p>
            <w:pPr>
              <w:spacing w:after="0"/>
              <w:rPr>
                <w:sz w:val="20"/>
                <w:szCs w:val="20"/>
                <w:color w:val="auto"/>
              </w:rPr>
            </w:pPr>
            <w:r>
              <w:rPr>
                <w:rFonts w:ascii="Arial" w:cs="Arial" w:eastAsia="Arial" w:hAnsi="Arial"/>
                <w:sz w:val="18"/>
                <w:szCs w:val="18"/>
                <w:color w:val="auto"/>
              </w:rPr>
              <w:t>Nickelodeon Australia Inc.</w:t>
            </w:r>
          </w:p>
        </w:tc>
        <w:tc>
          <w:tcPr>
            <w:tcW w:w="7080" w:type="dxa"/>
            <w:vAlign w:val="bottom"/>
          </w:tcPr>
          <w:p>
            <w:pPr>
              <w:ind w:left="1760"/>
              <w:spacing w:after="0"/>
              <w:rPr>
                <w:sz w:val="20"/>
                <w:szCs w:val="20"/>
                <w:color w:val="auto"/>
              </w:rPr>
            </w:pPr>
            <w:r>
              <w:rPr>
                <w:rFonts w:ascii="Arial" w:cs="Arial" w:eastAsia="Arial" w:hAnsi="Arial"/>
                <w:sz w:val="18"/>
                <w:szCs w:val="18"/>
                <w:color w:val="auto"/>
              </w:rPr>
              <w:t>Delaware</w:t>
            </w:r>
          </w:p>
        </w:tc>
      </w:tr>
      <w:tr>
        <w:trPr>
          <w:trHeight w:val="432"/>
        </w:trPr>
        <w:tc>
          <w:tcPr>
            <w:tcW w:w="4340" w:type="dxa"/>
            <w:vAlign w:val="bottom"/>
          </w:tcPr>
          <w:p>
            <w:pPr>
              <w:spacing w:after="0"/>
              <w:rPr>
                <w:sz w:val="20"/>
                <w:szCs w:val="20"/>
                <w:color w:val="auto"/>
              </w:rPr>
            </w:pPr>
            <w:r>
              <w:rPr>
                <w:rFonts w:ascii="Arial" w:cs="Arial" w:eastAsia="Arial" w:hAnsi="Arial"/>
                <w:sz w:val="18"/>
                <w:szCs w:val="18"/>
                <w:color w:val="auto"/>
              </w:rPr>
              <w:t>Nickelodeon Brasil Inc.</w:t>
            </w:r>
          </w:p>
        </w:tc>
        <w:tc>
          <w:tcPr>
            <w:tcW w:w="7080" w:type="dxa"/>
            <w:vAlign w:val="bottom"/>
          </w:tcPr>
          <w:p>
            <w:pPr>
              <w:ind w:left="1760"/>
              <w:spacing w:after="0"/>
              <w:rPr>
                <w:sz w:val="20"/>
                <w:szCs w:val="20"/>
                <w:color w:val="auto"/>
              </w:rPr>
            </w:pPr>
            <w:r>
              <w:rPr>
                <w:rFonts w:ascii="Arial" w:cs="Arial" w:eastAsia="Arial" w:hAnsi="Arial"/>
                <w:sz w:val="18"/>
                <w:szCs w:val="18"/>
                <w:color w:val="auto"/>
              </w:rPr>
              <w:t>Delaware</w:t>
            </w:r>
          </w:p>
        </w:tc>
      </w:tr>
      <w:tr>
        <w:trPr>
          <w:trHeight w:val="432"/>
        </w:trPr>
        <w:tc>
          <w:tcPr>
            <w:tcW w:w="4340" w:type="dxa"/>
            <w:vAlign w:val="bottom"/>
          </w:tcPr>
          <w:p>
            <w:pPr>
              <w:spacing w:after="0"/>
              <w:rPr>
                <w:sz w:val="24"/>
                <w:szCs w:val="24"/>
                <w:color w:val="auto"/>
              </w:rPr>
            </w:pPr>
          </w:p>
        </w:tc>
        <w:tc>
          <w:tcPr>
            <w:tcW w:w="7080" w:type="dxa"/>
            <w:vAlign w:val="bottom"/>
          </w:tcPr>
          <w:p>
            <w:pPr>
              <w:ind w:left="1280"/>
              <w:spacing w:after="0"/>
              <w:rPr>
                <w:sz w:val="20"/>
                <w:szCs w:val="20"/>
                <w:color w:val="auto"/>
              </w:rPr>
            </w:pPr>
            <w:r>
              <w:rPr>
                <w:rFonts w:ascii="Arial" w:cs="Arial" w:eastAsia="Arial" w:hAnsi="Arial"/>
                <w:sz w:val="18"/>
                <w:szCs w:val="18"/>
                <w:color w:val="auto"/>
              </w:rPr>
              <w:t>12</w:t>
            </w:r>
          </w:p>
        </w:tc>
      </w:tr>
      <w:tr>
        <w:trPr>
          <w:trHeight w:val="228"/>
        </w:trPr>
        <w:tc>
          <w:tcPr>
            <w:tcW w:w="4340" w:type="dxa"/>
            <w:vAlign w:val="bottom"/>
            <w:tcBorders>
              <w:bottom w:val="single" w:sz="8" w:color="808080"/>
            </w:tcBorders>
          </w:tcPr>
          <w:p>
            <w:pPr>
              <w:spacing w:after="0"/>
              <w:rPr>
                <w:sz w:val="19"/>
                <w:szCs w:val="19"/>
                <w:color w:val="auto"/>
              </w:rPr>
            </w:pPr>
          </w:p>
        </w:tc>
        <w:tc>
          <w:tcPr>
            <w:tcW w:w="7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74" w:name="page175"/>
    <w:bookmarkEnd w:id="174"/>
    <w:p>
      <w:pPr>
        <w:ind w:left="610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3619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250430" cy="36195"/>
                    </a:xfrm>
                    <a:prstGeom prst="rect">
                      <a:avLst/>
                    </a:prstGeom>
                    <a:noFill/>
                  </pic:spPr>
                </pic:pic>
              </a:graphicData>
            </a:graphic>
          </wp:anchor>
        </w:drawing>
        <w:t>Place of Incorporation</w:t>
      </w:r>
    </w:p>
    <w:p>
      <w:pPr>
        <w:spacing w:after="0" w:line="24" w:lineRule="exact"/>
        <w:rPr>
          <w:sz w:val="20"/>
          <w:szCs w:val="20"/>
          <w:color w:val="auto"/>
        </w:rPr>
      </w:pPr>
    </w:p>
    <w:p>
      <w:pPr>
        <w:spacing w:after="0"/>
        <w:tabs>
          <w:tab w:leader="none" w:pos="6220" w:val="left"/>
        </w:tabs>
        <w:rPr>
          <w:sz w:val="20"/>
          <w:szCs w:val="20"/>
          <w:color w:val="auto"/>
        </w:rPr>
      </w:pPr>
      <w:r>
        <w:rPr>
          <w:rFonts w:ascii="Arial" w:cs="Arial" w:eastAsia="Arial" w:hAnsi="Arial"/>
          <w:sz w:val="14"/>
          <w:szCs w:val="14"/>
          <w:b w:val="1"/>
          <w:bCs w:val="1"/>
          <w:color w:val="auto"/>
        </w:rPr>
        <w:t>Subsidiary Name</w:t>
      </w:r>
      <w:r>
        <w:rPr>
          <w:sz w:val="20"/>
          <w:szCs w:val="20"/>
          <w:color w:val="auto"/>
        </w:rPr>
        <w:tab/>
      </w:r>
      <w:r>
        <w:rPr>
          <w:rFonts w:ascii="Arial" w:cs="Arial" w:eastAsia="Arial" w:hAnsi="Arial"/>
          <w:sz w:val="12"/>
          <w:szCs w:val="12"/>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Nickelodeon Brazil Ltda.</w:t>
      </w:r>
      <w:r>
        <w:rPr>
          <w:sz w:val="20"/>
          <w:szCs w:val="20"/>
          <w:color w:val="auto"/>
        </w:rPr>
        <w:tab/>
      </w:r>
      <w:r>
        <w:rPr>
          <w:rFonts w:ascii="Arial" w:cs="Arial" w:eastAsia="Arial" w:hAnsi="Arial"/>
          <w:sz w:val="16"/>
          <w:szCs w:val="16"/>
          <w:color w:val="auto"/>
        </w:rPr>
        <w:t>Brazil</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Nickelodeon Direct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Nickelodeon France SAS</w:t>
      </w:r>
      <w:r>
        <w:rPr>
          <w:sz w:val="20"/>
          <w:szCs w:val="20"/>
          <w:color w:val="auto"/>
        </w:rPr>
        <w:tab/>
      </w:r>
      <w:r>
        <w:rPr>
          <w:rFonts w:ascii="Arial" w:cs="Arial" w:eastAsia="Arial" w:hAnsi="Arial"/>
          <w:sz w:val="15"/>
          <w:szCs w:val="15"/>
          <w:color w:val="auto"/>
        </w:rPr>
        <w:t>France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Nickelodeon Global Network Ventures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Nickelodeon Huggings U.K. Limited</w:t>
      </w:r>
      <w:r>
        <w:rPr>
          <w:sz w:val="20"/>
          <w:szCs w:val="20"/>
          <w:color w:val="auto"/>
        </w:rPr>
        <w:tab/>
      </w:r>
      <w:r>
        <w:rPr>
          <w:rFonts w:ascii="Arial" w:cs="Arial" w:eastAsia="Arial" w:hAnsi="Arial"/>
          <w:sz w:val="16"/>
          <w:szCs w:val="16"/>
          <w:color w:val="auto"/>
        </w:rPr>
        <w:t>United Kingdom</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Nickelodeon International Ltd.</w:t>
      </w:r>
      <w:r>
        <w:rPr>
          <w:sz w:val="20"/>
          <w:szCs w:val="20"/>
          <w:color w:val="auto"/>
        </w:rPr>
        <w:tab/>
      </w:r>
      <w:r>
        <w:rPr>
          <w:rFonts w:ascii="Arial" w:cs="Arial" w:eastAsia="Arial" w:hAnsi="Arial"/>
          <w:sz w:val="16"/>
          <w:szCs w:val="16"/>
          <w:color w:val="auto"/>
        </w:rPr>
        <w:t>United Kingdom</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Nickelodeon Magazines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Nickelodeon Management Pte. Ltd.</w:t>
      </w:r>
      <w:r>
        <w:rPr>
          <w:sz w:val="20"/>
          <w:szCs w:val="20"/>
          <w:color w:val="auto"/>
        </w:rPr>
        <w:tab/>
      </w:r>
      <w:r>
        <w:rPr>
          <w:rFonts w:ascii="Arial" w:cs="Arial" w:eastAsia="Arial" w:hAnsi="Arial"/>
          <w:sz w:val="15"/>
          <w:szCs w:val="15"/>
          <w:color w:val="auto"/>
        </w:rPr>
        <w:t>Singapore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Nickelodeon Movies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Nickelodeon Notes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Nickelodeon Online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Nicki Film Productions, Inc.</w:t>
      </w:r>
      <w:r>
        <w:rPr>
          <w:sz w:val="20"/>
          <w:szCs w:val="20"/>
          <w:color w:val="auto"/>
        </w:rPr>
        <w:tab/>
      </w:r>
      <w:r>
        <w:rPr>
          <w:rFonts w:ascii="Arial" w:cs="Arial" w:eastAsia="Arial" w:hAnsi="Arial"/>
          <w:sz w:val="16"/>
          <w:szCs w:val="16"/>
          <w:color w:val="auto"/>
        </w:rPr>
        <w:t>California</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Night Falls Productions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North Shore Productions Inc.</w:t>
      </w:r>
      <w:r>
        <w:rPr>
          <w:sz w:val="20"/>
          <w:szCs w:val="20"/>
          <w:color w:val="auto"/>
        </w:rPr>
        <w:tab/>
      </w:r>
      <w:r>
        <w:rPr>
          <w:rFonts w:ascii="Arial" w:cs="Arial" w:eastAsia="Arial" w:hAnsi="Arial"/>
          <w:sz w:val="16"/>
          <w:szCs w:val="16"/>
          <w:color w:val="auto"/>
        </w:rPr>
        <w:t>California</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Now Pentagon Production Inc.</w:t>
      </w:r>
      <w:r>
        <w:rPr>
          <w:sz w:val="20"/>
          <w:szCs w:val="20"/>
          <w:color w:val="auto"/>
        </w:rPr>
        <w:tab/>
      </w:r>
      <w:r>
        <w:rPr>
          <w:rFonts w:ascii="Arial" w:cs="Arial" w:eastAsia="Arial" w:hAnsi="Arial"/>
          <w:sz w:val="15"/>
          <w:szCs w:val="15"/>
          <w:color w:val="auto"/>
        </w:rPr>
        <w:t>Canada (Ontario)</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NTA Films, Inc.</w:t>
      </w:r>
      <w:r>
        <w:rPr>
          <w:sz w:val="20"/>
          <w:szCs w:val="20"/>
          <w:color w:val="auto"/>
        </w:rPr>
        <w:tab/>
      </w:r>
      <w:r>
        <w:rPr>
          <w:rFonts w:ascii="Arial" w:cs="Arial" w:eastAsia="Arial" w:hAnsi="Arial"/>
          <w:sz w:val="16"/>
          <w:szCs w:val="16"/>
          <w:color w:val="auto"/>
        </w:rPr>
        <w:t>New York</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NTA, Inc.</w:t>
      </w:r>
      <w:r>
        <w:rPr>
          <w:sz w:val="20"/>
          <w:szCs w:val="20"/>
          <w:color w:val="auto"/>
        </w:rPr>
        <w:tab/>
      </w:r>
      <w:r>
        <w:rPr>
          <w:rFonts w:ascii="Arial" w:cs="Arial" w:eastAsia="Arial" w:hAnsi="Arial"/>
          <w:sz w:val="16"/>
          <w:szCs w:val="16"/>
          <w:color w:val="auto"/>
        </w:rPr>
        <w:t>New York</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Number One FSC Ltd.</w:t>
      </w:r>
      <w:r>
        <w:rPr>
          <w:sz w:val="20"/>
          <w:szCs w:val="20"/>
          <w:color w:val="auto"/>
        </w:rPr>
        <w:tab/>
      </w:r>
      <w:r>
        <w:rPr>
          <w:rFonts w:ascii="Arial" w:cs="Arial" w:eastAsia="Arial" w:hAnsi="Arial"/>
          <w:sz w:val="16"/>
          <w:szCs w:val="16"/>
          <w:color w:val="auto"/>
        </w:rPr>
        <w:t>US Virgin Islands</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NV Broadcasting (Canada) Inc.</w:t>
      </w:r>
      <w:r>
        <w:rPr>
          <w:sz w:val="20"/>
          <w:szCs w:val="20"/>
          <w:color w:val="auto"/>
        </w:rPr>
        <w:tab/>
      </w:r>
      <w:r>
        <w:rPr>
          <w:rFonts w:ascii="Arial" w:cs="Arial" w:eastAsia="Arial" w:hAnsi="Arial"/>
          <w:sz w:val="15"/>
          <w:szCs w:val="15"/>
          <w:color w:val="auto"/>
        </w:rPr>
        <w:t>Canada (Federal)</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NV International, Inc.</w:t>
      </w:r>
      <w:r>
        <w:rPr>
          <w:sz w:val="20"/>
          <w:szCs w:val="20"/>
          <w:color w:val="auto"/>
        </w:rPr>
        <w:tab/>
      </w:r>
      <w:r>
        <w:rPr>
          <w:rFonts w:ascii="Arial" w:cs="Arial" w:eastAsia="Arial" w:hAnsi="Arial"/>
          <w:sz w:val="15"/>
          <w:szCs w:val="15"/>
          <w:color w:val="auto"/>
        </w:rPr>
        <w:t>Georgia</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O &amp; W Corporation</w:t>
      </w:r>
      <w:r>
        <w:rPr>
          <w:sz w:val="20"/>
          <w:szCs w:val="20"/>
          <w:color w:val="auto"/>
        </w:rPr>
        <w:tab/>
      </w:r>
      <w:r>
        <w:rPr>
          <w:rFonts w:ascii="Arial" w:cs="Arial" w:eastAsia="Arial" w:hAnsi="Arial"/>
          <w:sz w:val="14"/>
          <w:szCs w:val="14"/>
          <w:color w:val="auto"/>
        </w:rPr>
        <w:t>Tennessee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O Good Songs Company</w:t>
      </w:r>
      <w:r>
        <w:rPr>
          <w:sz w:val="20"/>
          <w:szCs w:val="20"/>
          <w:color w:val="auto"/>
        </w:rPr>
        <w:tab/>
      </w:r>
      <w:r>
        <w:rPr>
          <w:rFonts w:ascii="Arial" w:cs="Arial" w:eastAsia="Arial" w:hAnsi="Arial"/>
          <w:sz w:val="16"/>
          <w:szCs w:val="16"/>
          <w:color w:val="auto"/>
        </w:rPr>
        <w:t>California</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OM/TV Productions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On-Site Productions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Open Door Productions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OS Bus, Inc.</w:t>
      </w:r>
      <w:r>
        <w:rPr>
          <w:sz w:val="20"/>
          <w:szCs w:val="20"/>
          <w:color w:val="auto"/>
        </w:rPr>
        <w:tab/>
      </w:r>
      <w:r>
        <w:rPr>
          <w:rFonts w:ascii="Arial" w:cs="Arial" w:eastAsia="Arial" w:hAnsi="Arial"/>
          <w:sz w:val="15"/>
          <w:szCs w:val="15"/>
          <w:color w:val="auto"/>
        </w:rPr>
        <w:t>Georgia</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OS Florida, Inc.</w:t>
      </w:r>
      <w:r>
        <w:rPr>
          <w:sz w:val="20"/>
          <w:szCs w:val="20"/>
          <w:color w:val="auto"/>
        </w:rPr>
        <w:tab/>
      </w:r>
      <w:r>
        <w:rPr>
          <w:rFonts w:ascii="Arial" w:cs="Arial" w:eastAsia="Arial" w:hAnsi="Arial"/>
          <w:sz w:val="16"/>
          <w:szCs w:val="16"/>
          <w:color w:val="auto"/>
        </w:rPr>
        <w:t>Florida</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OSI Tall Wall Media, LLC</w:t>
      </w:r>
      <w:r>
        <w:rPr>
          <w:sz w:val="20"/>
          <w:szCs w:val="20"/>
          <w:color w:val="auto"/>
        </w:rPr>
        <w:tab/>
      </w:r>
      <w:r>
        <w:rPr>
          <w:rFonts w:ascii="Arial" w:cs="Arial" w:eastAsia="Arial" w:hAnsi="Arial"/>
          <w:sz w:val="16"/>
          <w:szCs w:val="16"/>
          <w:color w:val="auto"/>
        </w:rPr>
        <w:t>California</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Our Home Productions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Outatown Productions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Outdoor Communications, Inc.</w:t>
      </w:r>
      <w:r>
        <w:rPr>
          <w:sz w:val="20"/>
          <w:szCs w:val="20"/>
          <w:color w:val="auto"/>
        </w:rPr>
        <w:tab/>
      </w:r>
      <w:r>
        <w:rPr>
          <w:rFonts w:ascii="Arial" w:cs="Arial" w:eastAsia="Arial" w:hAnsi="Arial"/>
          <w:sz w:val="16"/>
          <w:szCs w:val="16"/>
          <w:color w:val="auto"/>
        </w:rPr>
        <w:t>Florida</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Outdoor Entertainment, Inc.</w:t>
      </w:r>
      <w:r>
        <w:rPr>
          <w:sz w:val="20"/>
          <w:szCs w:val="20"/>
          <w:color w:val="auto"/>
        </w:rPr>
        <w:tab/>
      </w:r>
      <w:r>
        <w:rPr>
          <w:rFonts w:ascii="Arial" w:cs="Arial" w:eastAsia="Arial" w:hAnsi="Arial"/>
          <w:sz w:val="14"/>
          <w:szCs w:val="14"/>
          <w:color w:val="auto"/>
        </w:rPr>
        <w:t>Tennessee</w:t>
      </w:r>
    </w:p>
    <w:p>
      <w:pPr>
        <w:sectPr>
          <w:pgSz w:w="11900" w:h="16838" w:orient="portrait"/>
          <w:cols w:equalWidth="0" w:num="1">
            <w:col w:w="10219"/>
          </w:cols>
          <w:pgMar w:left="240" w:top="438" w:right="1440" w:bottom="3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38" w:right="1440" w:bottom="359" w:gutter="0" w:footer="0" w:header="0"/>
          <w:type w:val="continuous"/>
        </w:sectPr>
      </w:pPr>
    </w:p>
    <w:bookmarkStart w:id="175" w:name="page176"/>
    <w:bookmarkEnd w:id="175"/>
    <w:tbl>
      <w:tblPr>
        <w:tblLayout w:type="fixed"/>
        <w:tblInd w:w="0" w:type="dxa"/>
        <w:tblCellMar>
          <w:top w:w="0" w:type="dxa"/>
          <w:left w:w="0" w:type="dxa"/>
          <w:bottom w:w="0" w:type="dxa"/>
          <w:right w:w="0" w:type="dxa"/>
        </w:tblCellMar>
      </w:tblP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Outdoor Images Limited</w:t>
            </w:r>
          </w:p>
        </w:tc>
        <w:tc>
          <w:tcPr>
            <w:tcW w:w="7320" w:type="dxa"/>
            <w:vAlign w:val="bottom"/>
          </w:tcPr>
          <w:p>
            <w:pPr>
              <w:ind w:left="2000"/>
              <w:spacing w:after="0"/>
              <w:rPr>
                <w:sz w:val="20"/>
                <w:szCs w:val="20"/>
                <w:color w:val="auto"/>
              </w:rPr>
            </w:pPr>
            <w:r>
              <w:rPr>
                <w:rFonts w:ascii="Arial" w:cs="Arial" w:eastAsia="Arial" w:hAnsi="Arial"/>
                <w:sz w:val="18"/>
                <w:szCs w:val="18"/>
                <w:color w:val="auto"/>
              </w:rPr>
              <w:t>United Kingdom</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Outdoor Management Network, Inc.</w:t>
            </w:r>
          </w:p>
        </w:tc>
        <w:tc>
          <w:tcPr>
            <w:tcW w:w="7320" w:type="dxa"/>
            <w:vAlign w:val="bottom"/>
          </w:tcPr>
          <w:p>
            <w:pPr>
              <w:ind w:left="2000"/>
              <w:spacing w:after="0"/>
              <w:rPr>
                <w:sz w:val="20"/>
                <w:szCs w:val="20"/>
                <w:color w:val="auto"/>
              </w:rPr>
            </w:pPr>
            <w:r>
              <w:rPr>
                <w:rFonts w:ascii="Arial" w:cs="Arial" w:eastAsia="Arial" w:hAnsi="Arial"/>
                <w:sz w:val="18"/>
                <w:szCs w:val="18"/>
                <w:color w:val="auto"/>
              </w:rPr>
              <w:t>California</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Outdoor Systems (New York), Inc.</w:t>
            </w:r>
          </w:p>
        </w:tc>
        <w:tc>
          <w:tcPr>
            <w:tcW w:w="7320" w:type="dxa"/>
            <w:vAlign w:val="bottom"/>
          </w:tcPr>
          <w:p>
            <w:pPr>
              <w:ind w:left="2000"/>
              <w:spacing w:after="0"/>
              <w:rPr>
                <w:sz w:val="20"/>
                <w:szCs w:val="20"/>
                <w:color w:val="auto"/>
              </w:rPr>
            </w:pPr>
            <w:r>
              <w:rPr>
                <w:rFonts w:ascii="Arial" w:cs="Arial" w:eastAsia="Arial" w:hAnsi="Arial"/>
                <w:sz w:val="18"/>
                <w:szCs w:val="18"/>
                <w:color w:val="auto"/>
              </w:rPr>
              <w:t>New York</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Outdoor Systems Electrical Corp.</w:t>
            </w:r>
          </w:p>
        </w:tc>
        <w:tc>
          <w:tcPr>
            <w:tcW w:w="7320" w:type="dxa"/>
            <w:vAlign w:val="bottom"/>
          </w:tcPr>
          <w:p>
            <w:pPr>
              <w:ind w:left="2000"/>
              <w:spacing w:after="0"/>
              <w:rPr>
                <w:sz w:val="20"/>
                <w:szCs w:val="20"/>
                <w:color w:val="auto"/>
              </w:rPr>
            </w:pPr>
            <w:r>
              <w:rPr>
                <w:rFonts w:ascii="Arial" w:cs="Arial" w:eastAsia="Arial" w:hAnsi="Arial"/>
                <w:sz w:val="18"/>
                <w:szCs w:val="18"/>
                <w:color w:val="auto"/>
              </w:rPr>
              <w:t>New York</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Outdoor Systems, Inc.</w:t>
            </w:r>
          </w:p>
        </w:tc>
        <w:tc>
          <w:tcPr>
            <w:tcW w:w="73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Overseas Services B.V.</w:t>
            </w:r>
          </w:p>
        </w:tc>
        <w:tc>
          <w:tcPr>
            <w:tcW w:w="7320" w:type="dxa"/>
            <w:vAlign w:val="bottom"/>
          </w:tcPr>
          <w:p>
            <w:pPr>
              <w:ind w:left="2000"/>
              <w:spacing w:after="0"/>
              <w:rPr>
                <w:sz w:val="20"/>
                <w:szCs w:val="20"/>
                <w:color w:val="auto"/>
              </w:rPr>
            </w:pPr>
            <w:r>
              <w:rPr>
                <w:rFonts w:ascii="Arial" w:cs="Arial" w:eastAsia="Arial" w:hAnsi="Arial"/>
                <w:sz w:val="18"/>
                <w:szCs w:val="18"/>
                <w:color w:val="auto"/>
              </w:rPr>
              <w:t>The Netherlands</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Paramount (PDI) Distribution Inc.</w:t>
            </w:r>
          </w:p>
        </w:tc>
        <w:tc>
          <w:tcPr>
            <w:tcW w:w="73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Paramount Advertiser Services Inc.</w:t>
            </w:r>
          </w:p>
        </w:tc>
        <w:tc>
          <w:tcPr>
            <w:tcW w:w="73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Paramount Asia Inc.</w:t>
            </w:r>
          </w:p>
        </w:tc>
        <w:tc>
          <w:tcPr>
            <w:tcW w:w="73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432"/>
        </w:trPr>
        <w:tc>
          <w:tcPr>
            <w:tcW w:w="4100" w:type="dxa"/>
            <w:vAlign w:val="bottom"/>
          </w:tcPr>
          <w:p>
            <w:pPr>
              <w:spacing w:after="0"/>
              <w:rPr>
                <w:sz w:val="24"/>
                <w:szCs w:val="24"/>
                <w:color w:val="auto"/>
              </w:rPr>
            </w:pPr>
          </w:p>
        </w:tc>
        <w:tc>
          <w:tcPr>
            <w:tcW w:w="7320" w:type="dxa"/>
            <w:vAlign w:val="bottom"/>
          </w:tcPr>
          <w:p>
            <w:pPr>
              <w:ind w:left="1520"/>
              <w:spacing w:after="0"/>
              <w:rPr>
                <w:sz w:val="20"/>
                <w:szCs w:val="20"/>
                <w:color w:val="auto"/>
              </w:rPr>
            </w:pPr>
            <w:r>
              <w:rPr>
                <w:rFonts w:ascii="Arial" w:cs="Arial" w:eastAsia="Arial" w:hAnsi="Arial"/>
                <w:sz w:val="18"/>
                <w:szCs w:val="18"/>
                <w:color w:val="auto"/>
              </w:rPr>
              <w:t>14</w:t>
            </w:r>
          </w:p>
        </w:tc>
      </w:tr>
      <w:tr>
        <w:trPr>
          <w:trHeight w:val="228"/>
        </w:trPr>
        <w:tc>
          <w:tcPr>
            <w:tcW w:w="4100" w:type="dxa"/>
            <w:vAlign w:val="bottom"/>
            <w:tcBorders>
              <w:bottom w:val="single" w:sz="8" w:color="808080"/>
            </w:tcBorders>
          </w:tcPr>
          <w:p>
            <w:pPr>
              <w:spacing w:after="0"/>
              <w:rPr>
                <w:sz w:val="19"/>
                <w:szCs w:val="19"/>
                <w:color w:val="auto"/>
              </w:rPr>
            </w:pPr>
          </w:p>
        </w:tc>
        <w:tc>
          <w:tcPr>
            <w:tcW w:w="7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76" w:name="page177"/>
    <w:bookmarkEnd w:id="176"/>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-276225</wp:posOffset>
            </wp:positionV>
            <wp:extent cx="7250430" cy="3619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250430" cy="36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212725</wp:posOffset>
            </wp:positionV>
            <wp:extent cx="7250430" cy="215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4119"/>
          </w:cols>
          <w:pgMar w:left="240" w:top="437" w:right="1440" w:bottom="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Paramount British Pictures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Canadian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Comedy Channel Espana S.L.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Communications Technology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Digital Entertainment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Entertainment Services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Film Production (Deutschland)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Films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Films of Australia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Films of China,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Films of Egypt,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Films of India,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Films of Italy,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Films of Lebanon,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Films of Pakistan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Films of Southeast Asia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General Entertainment Australia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Home Entertainment (Australasia) Pty.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Home Entertainment (Brazil) Limitada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Home Entertainment (Denmark) 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Home Entertainment (France) S.A.S.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Home Entertainment (Germany)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Home Entertainment (Italy) SRL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Home Entertainment (Japan)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Home Entertainment (Korea)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Home Entertainment (Mexico) S de RL de CV</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Paramount Home Entertainment (Mexico) Services S de RL de CV</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Paramount Home Entertainment (New Zealand)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Home Entertainment (Norway) 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Home Entertainment (Spain) S.L.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Home Entertainment (Sweden) 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Home Entertainment (UK)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Home Entertainment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Home Entertainment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Paramount Home Entertainment International (Holdings) B.V.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The Netherlands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The Netherlands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ectPr>
          <w:pgSz w:w="11900" w:h="16838" w:orient="portrait"/>
          <w:cols w:equalWidth="0" w:num="2">
            <w:col w:w="5380" w:space="720"/>
            <w:col w:w="4119"/>
          </w:cols>
          <w:pgMar w:left="240" w:top="437" w:right="1440" w:bottom="0" w:gutter="0" w:footer="0" w:header="0"/>
          <w:type w:val="continuous"/>
        </w:sectPr>
      </w:pPr>
    </w:p>
    <w:bookmarkStart w:id="177" w:name="page178"/>
    <w:bookmarkEnd w:id="177"/>
    <w:tbl>
      <w:tblPr>
        <w:tblLayout w:type="fixed"/>
        <w:tblInd w:w="0" w:type="dxa"/>
        <w:tblCellMar>
          <w:top w:w="0" w:type="dxa"/>
          <w:left w:w="0" w:type="dxa"/>
          <w:bottom w:w="0" w:type="dxa"/>
          <w:right w:w="0" w:type="dxa"/>
        </w:tblCellMar>
      </w:tblP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Paramount Home Entertainment International B.V.</w:t>
            </w:r>
          </w:p>
        </w:tc>
        <w:tc>
          <w:tcPr>
            <w:tcW w:w="6700" w:type="dxa"/>
            <w:vAlign w:val="bottom"/>
          </w:tcPr>
          <w:p>
            <w:pPr>
              <w:ind w:left="1380"/>
              <w:spacing w:after="0"/>
              <w:rPr>
                <w:sz w:val="20"/>
                <w:szCs w:val="20"/>
                <w:color w:val="auto"/>
              </w:rPr>
            </w:pPr>
            <w:r>
              <w:rPr>
                <w:rFonts w:ascii="Arial" w:cs="Arial" w:eastAsia="Arial" w:hAnsi="Arial"/>
                <w:sz w:val="18"/>
                <w:szCs w:val="18"/>
                <w:color w:val="auto"/>
              </w:rPr>
              <w:t>The Netherlands</w:t>
            </w:r>
          </w:p>
        </w:tc>
      </w:tr>
      <w:tr>
        <w:trPr>
          <w:trHeight w:val="432"/>
        </w:trPr>
        <w:tc>
          <w:tcPr>
            <w:tcW w:w="4720" w:type="dxa"/>
            <w:vAlign w:val="bottom"/>
          </w:tcPr>
          <w:p>
            <w:pPr>
              <w:spacing w:after="0"/>
              <w:rPr>
                <w:sz w:val="20"/>
                <w:szCs w:val="20"/>
                <w:color w:val="auto"/>
              </w:rPr>
            </w:pPr>
            <w:r>
              <w:rPr>
                <w:rFonts w:ascii="Arial" w:cs="Arial" w:eastAsia="Arial" w:hAnsi="Arial"/>
                <w:sz w:val="18"/>
                <w:szCs w:val="18"/>
                <w:color w:val="auto"/>
              </w:rPr>
              <w:t>Paramount Home Entertainment International Limited</w:t>
            </w:r>
          </w:p>
        </w:tc>
        <w:tc>
          <w:tcPr>
            <w:tcW w:w="6700" w:type="dxa"/>
            <w:vAlign w:val="bottom"/>
          </w:tcPr>
          <w:p>
            <w:pPr>
              <w:ind w:left="1380"/>
              <w:spacing w:after="0"/>
              <w:rPr>
                <w:sz w:val="20"/>
                <w:szCs w:val="20"/>
                <w:color w:val="auto"/>
              </w:rPr>
            </w:pPr>
            <w:r>
              <w:rPr>
                <w:rFonts w:ascii="Arial" w:cs="Arial" w:eastAsia="Arial" w:hAnsi="Arial"/>
                <w:sz w:val="18"/>
                <w:szCs w:val="18"/>
                <w:color w:val="auto"/>
              </w:rPr>
              <w:t>United Kingdom</w:t>
            </w:r>
          </w:p>
        </w:tc>
      </w:tr>
      <w:tr>
        <w:trPr>
          <w:trHeight w:val="432"/>
        </w:trPr>
        <w:tc>
          <w:tcPr>
            <w:tcW w:w="4720" w:type="dxa"/>
            <w:vAlign w:val="bottom"/>
          </w:tcPr>
          <w:p>
            <w:pPr>
              <w:spacing w:after="0"/>
              <w:rPr>
                <w:sz w:val="20"/>
                <w:szCs w:val="20"/>
                <w:color w:val="auto"/>
              </w:rPr>
            </w:pPr>
            <w:r>
              <w:rPr>
                <w:rFonts w:ascii="Arial" w:cs="Arial" w:eastAsia="Arial" w:hAnsi="Arial"/>
                <w:sz w:val="18"/>
                <w:szCs w:val="18"/>
                <w:color w:val="auto"/>
              </w:rPr>
              <w:t>Paramount Images Inc.</w:t>
            </w:r>
          </w:p>
        </w:tc>
        <w:tc>
          <w:tcPr>
            <w:tcW w:w="670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432"/>
        </w:trPr>
        <w:tc>
          <w:tcPr>
            <w:tcW w:w="4720" w:type="dxa"/>
            <w:vAlign w:val="bottom"/>
          </w:tcPr>
          <w:p>
            <w:pPr>
              <w:spacing w:after="0"/>
              <w:rPr>
                <w:sz w:val="20"/>
                <w:szCs w:val="20"/>
                <w:color w:val="auto"/>
              </w:rPr>
            </w:pPr>
            <w:r>
              <w:rPr>
                <w:rFonts w:ascii="Arial" w:cs="Arial" w:eastAsia="Arial" w:hAnsi="Arial"/>
                <w:sz w:val="18"/>
                <w:szCs w:val="18"/>
                <w:color w:val="auto"/>
              </w:rPr>
              <w:t>Paramount International Netherlands B.V.</w:t>
            </w:r>
          </w:p>
        </w:tc>
        <w:tc>
          <w:tcPr>
            <w:tcW w:w="6700" w:type="dxa"/>
            <w:vAlign w:val="bottom"/>
          </w:tcPr>
          <w:p>
            <w:pPr>
              <w:ind w:left="1380"/>
              <w:spacing w:after="0"/>
              <w:rPr>
                <w:sz w:val="20"/>
                <w:szCs w:val="20"/>
                <w:color w:val="auto"/>
              </w:rPr>
            </w:pPr>
            <w:r>
              <w:rPr>
                <w:rFonts w:ascii="Arial" w:cs="Arial" w:eastAsia="Arial" w:hAnsi="Arial"/>
                <w:sz w:val="18"/>
                <w:szCs w:val="18"/>
                <w:color w:val="auto"/>
              </w:rPr>
              <w:t>The Netherlands</w:t>
            </w:r>
          </w:p>
        </w:tc>
      </w:tr>
      <w:tr>
        <w:trPr>
          <w:trHeight w:val="432"/>
        </w:trPr>
        <w:tc>
          <w:tcPr>
            <w:tcW w:w="4720" w:type="dxa"/>
            <w:vAlign w:val="bottom"/>
          </w:tcPr>
          <w:p>
            <w:pPr>
              <w:spacing w:after="0"/>
              <w:rPr>
                <w:sz w:val="20"/>
                <w:szCs w:val="20"/>
                <w:color w:val="auto"/>
              </w:rPr>
            </w:pPr>
            <w:r>
              <w:rPr>
                <w:rFonts w:ascii="Arial" w:cs="Arial" w:eastAsia="Arial" w:hAnsi="Arial"/>
                <w:sz w:val="18"/>
                <w:szCs w:val="18"/>
                <w:color w:val="auto"/>
              </w:rPr>
              <w:t>Paramount Italy SrL</w:t>
            </w:r>
          </w:p>
        </w:tc>
        <w:tc>
          <w:tcPr>
            <w:tcW w:w="6700" w:type="dxa"/>
            <w:vAlign w:val="bottom"/>
          </w:tcPr>
          <w:p>
            <w:pPr>
              <w:ind w:left="1380"/>
              <w:spacing w:after="0"/>
              <w:rPr>
                <w:sz w:val="20"/>
                <w:szCs w:val="20"/>
                <w:color w:val="auto"/>
              </w:rPr>
            </w:pPr>
            <w:r>
              <w:rPr>
                <w:rFonts w:ascii="Arial" w:cs="Arial" w:eastAsia="Arial" w:hAnsi="Arial"/>
                <w:sz w:val="18"/>
                <w:szCs w:val="18"/>
                <w:color w:val="auto"/>
              </w:rPr>
              <w:t>Italy</w:t>
            </w:r>
          </w:p>
        </w:tc>
      </w:tr>
      <w:tr>
        <w:trPr>
          <w:trHeight w:val="432"/>
        </w:trPr>
        <w:tc>
          <w:tcPr>
            <w:tcW w:w="4720" w:type="dxa"/>
            <w:vAlign w:val="bottom"/>
          </w:tcPr>
          <w:p>
            <w:pPr>
              <w:spacing w:after="0"/>
              <w:rPr>
                <w:sz w:val="20"/>
                <w:szCs w:val="20"/>
                <w:color w:val="auto"/>
              </w:rPr>
            </w:pPr>
            <w:r>
              <w:rPr>
                <w:rFonts w:ascii="Arial" w:cs="Arial" w:eastAsia="Arial" w:hAnsi="Arial"/>
                <w:sz w:val="18"/>
                <w:szCs w:val="18"/>
                <w:color w:val="auto"/>
              </w:rPr>
              <w:t>Paramount LAPTV Inc.</w:t>
            </w:r>
          </w:p>
        </w:tc>
        <w:tc>
          <w:tcPr>
            <w:tcW w:w="670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864"/>
        </w:trPr>
        <w:tc>
          <w:tcPr>
            <w:tcW w:w="4720" w:type="dxa"/>
            <w:vAlign w:val="bottom"/>
          </w:tcPr>
          <w:p>
            <w:pPr>
              <w:spacing w:after="0"/>
              <w:rPr>
                <w:sz w:val="24"/>
                <w:szCs w:val="24"/>
                <w:color w:val="auto"/>
              </w:rPr>
            </w:pPr>
          </w:p>
        </w:tc>
        <w:tc>
          <w:tcPr>
            <w:tcW w:w="6700" w:type="dxa"/>
            <w:vAlign w:val="bottom"/>
          </w:tcPr>
          <w:p>
            <w:pPr>
              <w:ind w:left="900"/>
              <w:spacing w:after="0"/>
              <w:rPr>
                <w:sz w:val="20"/>
                <w:szCs w:val="20"/>
                <w:color w:val="auto"/>
              </w:rPr>
            </w:pPr>
            <w:r>
              <w:rPr>
                <w:rFonts w:ascii="Arial" w:cs="Arial" w:eastAsia="Arial" w:hAnsi="Arial"/>
                <w:sz w:val="18"/>
                <w:szCs w:val="18"/>
                <w:color w:val="auto"/>
              </w:rPr>
              <w:t>15</w:t>
            </w:r>
          </w:p>
        </w:tc>
      </w:tr>
      <w:tr>
        <w:trPr>
          <w:trHeight w:val="228"/>
        </w:trPr>
        <w:tc>
          <w:tcPr>
            <w:tcW w:w="4720" w:type="dxa"/>
            <w:vAlign w:val="bottom"/>
            <w:tcBorders>
              <w:bottom w:val="single" w:sz="8" w:color="808080"/>
            </w:tcBorders>
          </w:tcPr>
          <w:p>
            <w:pPr>
              <w:spacing w:after="0"/>
              <w:rPr>
                <w:sz w:val="19"/>
                <w:szCs w:val="19"/>
                <w:color w:val="auto"/>
              </w:rPr>
            </w:pPr>
          </w:p>
        </w:tc>
        <w:tc>
          <w:tcPr>
            <w:tcW w:w="6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-276225</wp:posOffset>
            </wp:positionV>
            <wp:extent cx="7250430" cy="3619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250430" cy="36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212725</wp:posOffset>
            </wp:positionV>
            <wp:extent cx="7250430" cy="215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4119"/>
          </w:cols>
          <w:pgMar w:left="240" w:top="437" w:right="1440" w:bottom="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Paramount Music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Overseas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Parks Experience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Parks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Parks International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Pay TV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Pictures Australia Pty.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Pictures (Canada)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Pictures Canada Distribution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Pictures (U.K.)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Pictures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Pictures Corporation (Canada)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Paramount Pictures Louisiana Production Investments LLC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Paramount Pictures Productions Australia Pty Limited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Paramount Production Support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Productions Service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Show Services International LDC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Television International Services,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Television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Television Service,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UK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Paramount Worldwide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Para-Sac Music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Park Court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Part-Time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PCI Canada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PCI Network Partner II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PCI Network Partner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Peak FSC,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Peanut Worm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Pentagon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Peppercorn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Perfect Score Films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Permutation Productions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Louisiana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Tennessee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(B.C.)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5380" w:space="720"/>
            <w:col w:w="4119"/>
          </w:cols>
          <w:pgMar w:left="240" w:top="437" w:right="1440" w:bottom="0" w:gutter="0" w:footer="0" w:header="0"/>
          <w:type w:val="continuous"/>
        </w:sectPr>
      </w:pPr>
    </w:p>
    <w:bookmarkStart w:id="179" w:name="page180"/>
    <w:bookmarkEnd w:id="179"/>
    <w:tbl>
      <w:tblPr>
        <w:tblLayout w:type="fixed"/>
        <w:tblInd w:w="0" w:type="dxa"/>
        <w:tblCellMar>
          <w:top w:w="0" w:type="dxa"/>
          <w:left w:w="0" w:type="dxa"/>
          <w:bottom w:w="0" w:type="dxa"/>
          <w:right w:w="0" w:type="dxa"/>
        </w:tblCellMar>
      </w:tblP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Pet II Productions Inc.</w:t>
            </w:r>
          </w:p>
        </w:tc>
        <w:tc>
          <w:tcPr>
            <w:tcW w:w="7300" w:type="dxa"/>
            <w:vAlign w:val="bottom"/>
          </w:tcPr>
          <w:p>
            <w:pPr>
              <w:ind w:left="1980"/>
              <w:spacing w:after="0"/>
              <w:rPr>
                <w:sz w:val="20"/>
                <w:szCs w:val="20"/>
                <w:color w:val="auto"/>
              </w:rPr>
            </w:pPr>
            <w:r>
              <w:rPr>
                <w:rFonts w:ascii="Arial" w:cs="Arial" w:eastAsia="Arial" w:hAnsi="Arial"/>
                <w:sz w:val="18"/>
                <w:szCs w:val="18"/>
                <w:color w:val="auto"/>
              </w:rPr>
              <w:t>Delaware</w:t>
            </w: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PF Films Inc.</w:t>
            </w:r>
          </w:p>
        </w:tc>
        <w:tc>
          <w:tcPr>
            <w:tcW w:w="7300" w:type="dxa"/>
            <w:vAlign w:val="bottom"/>
          </w:tcPr>
          <w:p>
            <w:pPr>
              <w:ind w:left="1980"/>
              <w:spacing w:after="0"/>
              <w:rPr>
                <w:sz w:val="20"/>
                <w:szCs w:val="20"/>
                <w:color w:val="auto"/>
              </w:rPr>
            </w:pPr>
            <w:r>
              <w:rPr>
                <w:rFonts w:ascii="Arial" w:cs="Arial" w:eastAsia="Arial" w:hAnsi="Arial"/>
                <w:sz w:val="18"/>
                <w:szCs w:val="18"/>
                <w:color w:val="auto"/>
              </w:rPr>
              <w:t>Canada (Ontario)</w:t>
            </w: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Platinum Television Productions Inc.</w:t>
            </w:r>
          </w:p>
        </w:tc>
        <w:tc>
          <w:tcPr>
            <w:tcW w:w="7300" w:type="dxa"/>
            <w:vAlign w:val="bottom"/>
          </w:tcPr>
          <w:p>
            <w:pPr>
              <w:ind w:left="1980"/>
              <w:spacing w:after="0"/>
              <w:rPr>
                <w:sz w:val="20"/>
                <w:szCs w:val="20"/>
                <w:color w:val="auto"/>
              </w:rPr>
            </w:pPr>
            <w:r>
              <w:rPr>
                <w:rFonts w:ascii="Arial" w:cs="Arial" w:eastAsia="Arial" w:hAnsi="Arial"/>
                <w:sz w:val="18"/>
                <w:szCs w:val="18"/>
                <w:color w:val="auto"/>
              </w:rPr>
              <w:t>Canada (Ontario)</w:t>
            </w: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PMV Productions Inc.</w:t>
            </w:r>
          </w:p>
        </w:tc>
        <w:tc>
          <w:tcPr>
            <w:tcW w:w="7300" w:type="dxa"/>
            <w:vAlign w:val="bottom"/>
          </w:tcPr>
          <w:p>
            <w:pPr>
              <w:ind w:left="1980"/>
              <w:spacing w:after="0"/>
              <w:rPr>
                <w:sz w:val="20"/>
                <w:szCs w:val="20"/>
                <w:color w:val="auto"/>
              </w:rPr>
            </w:pPr>
            <w:r>
              <w:rPr>
                <w:rFonts w:ascii="Arial" w:cs="Arial" w:eastAsia="Arial" w:hAnsi="Arial"/>
                <w:sz w:val="18"/>
                <w:szCs w:val="18"/>
                <w:color w:val="auto"/>
              </w:rPr>
              <w:t>Delaware</w:t>
            </w: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Pocket Books of Canada Ltd.</w:t>
            </w:r>
          </w:p>
        </w:tc>
        <w:tc>
          <w:tcPr>
            <w:tcW w:w="7300" w:type="dxa"/>
            <w:vAlign w:val="bottom"/>
          </w:tcPr>
          <w:p>
            <w:pPr>
              <w:ind w:left="1980"/>
              <w:spacing w:after="0"/>
              <w:rPr>
                <w:sz w:val="20"/>
                <w:szCs w:val="20"/>
                <w:color w:val="auto"/>
              </w:rPr>
            </w:pPr>
            <w:r>
              <w:rPr>
                <w:rFonts w:ascii="Arial" w:cs="Arial" w:eastAsia="Arial" w:hAnsi="Arial"/>
                <w:sz w:val="18"/>
                <w:szCs w:val="18"/>
                <w:color w:val="auto"/>
              </w:rPr>
              <w:t>Canada (Federal)</w:t>
            </w: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Pop Channel Productions Inc.</w:t>
            </w:r>
          </w:p>
        </w:tc>
        <w:tc>
          <w:tcPr>
            <w:tcW w:w="7300" w:type="dxa"/>
            <w:vAlign w:val="bottom"/>
          </w:tcPr>
          <w:p>
            <w:pPr>
              <w:ind w:left="1980"/>
              <w:spacing w:after="0"/>
              <w:rPr>
                <w:sz w:val="20"/>
                <w:szCs w:val="20"/>
                <w:color w:val="auto"/>
              </w:rPr>
            </w:pPr>
            <w:r>
              <w:rPr>
                <w:rFonts w:ascii="Arial" w:cs="Arial" w:eastAsia="Arial" w:hAnsi="Arial"/>
                <w:sz w:val="18"/>
                <w:szCs w:val="18"/>
                <w:color w:val="auto"/>
              </w:rPr>
              <w:t>Delaware</w:t>
            </w:r>
          </w:p>
        </w:tc>
      </w:tr>
      <w:tr>
        <w:trPr>
          <w:trHeight w:val="432"/>
        </w:trPr>
        <w:tc>
          <w:tcPr>
            <w:tcW w:w="4120" w:type="dxa"/>
            <w:vAlign w:val="bottom"/>
          </w:tcPr>
          <w:p>
            <w:pPr>
              <w:spacing w:after="0"/>
              <w:rPr>
                <w:sz w:val="24"/>
                <w:szCs w:val="24"/>
                <w:color w:val="auto"/>
              </w:rPr>
            </w:pPr>
          </w:p>
        </w:tc>
        <w:tc>
          <w:tcPr>
            <w:tcW w:w="7300" w:type="dxa"/>
            <w:vAlign w:val="bottom"/>
          </w:tcPr>
          <w:p>
            <w:pPr>
              <w:ind w:left="1500"/>
              <w:spacing w:after="0"/>
              <w:rPr>
                <w:sz w:val="20"/>
                <w:szCs w:val="20"/>
                <w:color w:val="auto"/>
              </w:rPr>
            </w:pPr>
            <w:r>
              <w:rPr>
                <w:rFonts w:ascii="Arial" w:cs="Arial" w:eastAsia="Arial" w:hAnsi="Arial"/>
                <w:sz w:val="18"/>
                <w:szCs w:val="18"/>
                <w:color w:val="auto"/>
              </w:rPr>
              <w:t>16</w:t>
            </w:r>
          </w:p>
        </w:tc>
      </w:tr>
      <w:tr>
        <w:trPr>
          <w:trHeight w:val="228"/>
        </w:trPr>
        <w:tc>
          <w:tcPr>
            <w:tcW w:w="4120" w:type="dxa"/>
            <w:vAlign w:val="bottom"/>
            <w:tcBorders>
              <w:bottom w:val="single" w:sz="8" w:color="808080"/>
            </w:tcBorders>
          </w:tcPr>
          <w:p>
            <w:pPr>
              <w:spacing w:after="0"/>
              <w:rPr>
                <w:sz w:val="19"/>
                <w:szCs w:val="19"/>
                <w:color w:val="auto"/>
              </w:rPr>
            </w:pPr>
          </w:p>
        </w:tc>
        <w:tc>
          <w:tcPr>
            <w:tcW w:w="7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-276225</wp:posOffset>
            </wp:positionV>
            <wp:extent cx="7250430" cy="3619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250430" cy="36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212725</wp:posOffset>
            </wp:positionV>
            <wp:extent cx="7250430" cy="215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4119"/>
          </w:cols>
          <w:pgMar w:left="240" w:top="437" w:right="1440" w:bottom="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Pop Culture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Pop Toons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Possum Point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Pottle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PPC Film Management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Premiere House,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Preye,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Preview Investments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Proxy Music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PSG of PHA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PT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Publishing FSC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R.G.L. Realty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Radford Studio Center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Radio Data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Raianna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Rat Race USA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Raven Media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Real TV Music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Reality Check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Recovery Ventures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Regional Asia Investments Ventures Pte. Ltd.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Remote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Republic Distribution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Republic Entertainment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Republic Pictures Corporation of Canada Ltd.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Republic Pictures Enterprises,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Republic Pictures Netherlands Antilles N.V.</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Republic Pictures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RH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Ripple Vale Holdings,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ROA Media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Roadshow Advertising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RR Films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Virgin Islands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(Federal)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(Ontario)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Netherlands Antilles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British Virgin Islands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(Alberta)</w:t>
      </w:r>
    </w:p>
    <w:p>
      <w:pPr>
        <w:sectPr>
          <w:pgSz w:w="11900" w:h="16838" w:orient="portrait"/>
          <w:cols w:equalWidth="0" w:num="2">
            <w:col w:w="5380" w:space="720"/>
            <w:col w:w="4119"/>
          </w:cols>
          <w:pgMar w:left="240" w:top="437" w:right="1440" w:bottom="0" w:gutter="0" w:footer="0" w:header="0"/>
          <w:type w:val="continuous"/>
        </w:sectPr>
      </w:pPr>
    </w:p>
    <w:bookmarkStart w:id="181" w:name="page182"/>
    <w:bookmarkEnd w:id="181"/>
    <w:tbl>
      <w:tblPr>
        <w:tblLayout w:type="fixed"/>
        <w:tblInd w:w="0" w:type="dxa"/>
        <w:tblCellMar>
          <w:top w:w="0" w:type="dxa"/>
          <w:left w:w="0" w:type="dxa"/>
          <w:bottom w:w="0" w:type="dxa"/>
          <w:right w:w="0" w:type="dxa"/>
        </w:tblCellMar>
      </w:tblP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RTV News Inc.</w:t>
            </w:r>
          </w:p>
        </w:tc>
        <w:tc>
          <w:tcPr>
            <w:tcW w:w="782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RTV News Music Inc.</w:t>
            </w:r>
          </w:p>
        </w:tc>
        <w:tc>
          <w:tcPr>
            <w:tcW w:w="782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RWS Productions Inc.</w:t>
            </w:r>
          </w:p>
        </w:tc>
        <w:tc>
          <w:tcPr>
            <w:tcW w:w="7820" w:type="dxa"/>
            <w:vAlign w:val="bottom"/>
          </w:tcPr>
          <w:p>
            <w:pPr>
              <w:ind w:left="2500"/>
              <w:spacing w:after="0"/>
              <w:rPr>
                <w:sz w:val="20"/>
                <w:szCs w:val="20"/>
                <w:color w:val="auto"/>
              </w:rPr>
            </w:pPr>
            <w:r>
              <w:rPr>
                <w:rFonts w:ascii="Arial" w:cs="Arial" w:eastAsia="Arial" w:hAnsi="Arial"/>
                <w:sz w:val="18"/>
                <w:szCs w:val="18"/>
                <w:color w:val="auto"/>
              </w:rPr>
              <w:t>Canada (B.C.)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S Media Vision AG</w:t>
            </w:r>
          </w:p>
        </w:tc>
        <w:tc>
          <w:tcPr>
            <w:tcW w:w="7820" w:type="dxa"/>
            <w:vAlign w:val="bottom"/>
          </w:tcPr>
          <w:p>
            <w:pPr>
              <w:ind w:left="2500"/>
              <w:spacing w:after="0"/>
              <w:rPr>
                <w:sz w:val="20"/>
                <w:szCs w:val="20"/>
                <w:color w:val="auto"/>
              </w:rPr>
            </w:pPr>
            <w:r>
              <w:rPr>
                <w:rFonts w:ascii="Arial" w:cs="Arial" w:eastAsia="Arial" w:hAnsi="Arial"/>
                <w:sz w:val="18"/>
                <w:szCs w:val="18"/>
                <w:color w:val="auto"/>
              </w:rPr>
              <w:t>Switzerland</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Sagia Productions Inc.</w:t>
            </w:r>
          </w:p>
        </w:tc>
        <w:tc>
          <w:tcPr>
            <w:tcW w:w="7820" w:type="dxa"/>
            <w:vAlign w:val="bottom"/>
          </w:tcPr>
          <w:p>
            <w:pPr>
              <w:ind w:left="2500"/>
              <w:spacing w:after="0"/>
              <w:rPr>
                <w:sz w:val="20"/>
                <w:szCs w:val="20"/>
                <w:color w:val="auto"/>
              </w:rPr>
            </w:pPr>
            <w:r>
              <w:rPr>
                <w:rFonts w:ascii="Arial" w:cs="Arial" w:eastAsia="Arial" w:hAnsi="Arial"/>
                <w:sz w:val="18"/>
                <w:szCs w:val="18"/>
                <w:color w:val="auto"/>
              </w:rPr>
              <w:t>Canada (Ontario)</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Salm Enterprises, Inc.</w:t>
            </w:r>
          </w:p>
        </w:tc>
        <w:tc>
          <w:tcPr>
            <w:tcW w:w="7820" w:type="dxa"/>
            <w:vAlign w:val="bottom"/>
          </w:tcPr>
          <w:p>
            <w:pPr>
              <w:ind w:left="2500"/>
              <w:spacing w:after="0"/>
              <w:rPr>
                <w:sz w:val="20"/>
                <w:szCs w:val="20"/>
                <w:color w:val="auto"/>
              </w:rPr>
            </w:pPr>
            <w:r>
              <w:rPr>
                <w:rFonts w:ascii="Arial" w:cs="Arial" w:eastAsia="Arial" w:hAnsi="Arial"/>
                <w:sz w:val="18"/>
                <w:szCs w:val="18"/>
                <w:color w:val="auto"/>
              </w:rPr>
              <w:t>California</w:t>
            </w:r>
          </w:p>
        </w:tc>
      </w:tr>
      <w:tr>
        <w:trPr>
          <w:trHeight w:val="432"/>
        </w:trPr>
        <w:tc>
          <w:tcPr>
            <w:tcW w:w="3600" w:type="dxa"/>
            <w:vAlign w:val="bottom"/>
          </w:tcPr>
          <w:p>
            <w:pPr>
              <w:spacing w:after="0"/>
              <w:rPr>
                <w:sz w:val="24"/>
                <w:szCs w:val="24"/>
                <w:color w:val="auto"/>
              </w:rPr>
            </w:pPr>
          </w:p>
        </w:tc>
        <w:tc>
          <w:tcPr>
            <w:tcW w:w="7820" w:type="dxa"/>
            <w:vAlign w:val="bottom"/>
          </w:tcPr>
          <w:p>
            <w:pPr>
              <w:ind w:left="2020"/>
              <w:spacing w:after="0"/>
              <w:rPr>
                <w:sz w:val="20"/>
                <w:szCs w:val="20"/>
                <w:color w:val="auto"/>
              </w:rPr>
            </w:pPr>
            <w:r>
              <w:rPr>
                <w:rFonts w:ascii="Arial" w:cs="Arial" w:eastAsia="Arial" w:hAnsi="Arial"/>
                <w:sz w:val="18"/>
                <w:szCs w:val="18"/>
                <w:color w:val="auto"/>
              </w:rPr>
              <w:t>17</w:t>
            </w:r>
          </w:p>
        </w:tc>
      </w:tr>
      <w:tr>
        <w:trPr>
          <w:trHeight w:val="228"/>
        </w:trPr>
        <w:tc>
          <w:tcPr>
            <w:tcW w:w="3600" w:type="dxa"/>
            <w:vAlign w:val="bottom"/>
            <w:tcBorders>
              <w:bottom w:val="single" w:sz="8" w:color="808080"/>
            </w:tcBorders>
          </w:tcPr>
          <w:p>
            <w:pPr>
              <w:spacing w:after="0"/>
              <w:rPr>
                <w:sz w:val="19"/>
                <w:szCs w:val="19"/>
                <w:color w:val="auto"/>
              </w:rPr>
            </w:pPr>
          </w:p>
        </w:tc>
        <w:tc>
          <w:tcPr>
            <w:tcW w:w="7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-276225</wp:posOffset>
            </wp:positionV>
            <wp:extent cx="7250430" cy="3619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250430" cy="36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212725</wp:posOffset>
            </wp:positionV>
            <wp:extent cx="7250430" cy="215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4119"/>
          </w:cols>
          <w:pgMar w:left="240" w:top="438" w:right="1440" w:bottom="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Sammarnick Insurance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Walls,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SBX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Satellite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Scarab Publishing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Scott-Mattson Farms,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SDI Raven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Season Four Sentinel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Season Three Soul Food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Season Three Seven Days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Season Three Viper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Season Two CI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Season Two Seven Days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Season Four Soul Food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Sentinel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Servicios Administrativos Amercia S. de R.L. de C.V.</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Servicios Para Empresas de Entretenimiento, S. de R.L. de C.V.</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Servicios Westinghouse De Chile Ltda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SF Films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SFI Song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Ship House,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Show Works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Showtime Live Entertainment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Showtime Marketing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Showtime Networks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Showtime Networks Inc. (U.K.)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Showtime Networks Middle East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Showtime Networks Satellite Programming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Showtime Online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Showtime Pictures Development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Showtime Satellite Networks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Showtime UK Holdings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Showtime Ventures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Showtime/Sundance Holding Company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SIFO 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SIFO Two Inc.</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(B.C.)</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(Federal)</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Canada (B.C.)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(B.C.)</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Canada (B.C.)</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Canada (B.C.)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5380" w:space="720"/>
            <w:col w:w="4119"/>
          </w:cols>
          <w:pgMar w:left="240" w:top="438" w:right="1440" w:bottom="0" w:gutter="0" w:footer="0" w:header="0"/>
          <w:type w:val="continuous"/>
        </w:sectPr>
      </w:pPr>
    </w:p>
    <w:bookmarkStart w:id="183" w:name="page184"/>
    <w:bookmarkEnd w:id="183"/>
    <w:tbl>
      <w:tblPr>
        <w:tblLayout w:type="fixed"/>
        <w:tblInd w:w="0" w:type="dxa"/>
        <w:tblCellMar>
          <w:top w:w="0" w:type="dxa"/>
          <w:left w:w="0" w:type="dxa"/>
          <w:bottom w:w="0" w:type="dxa"/>
          <w:right w:w="0" w:type="dxa"/>
        </w:tblCellMar>
      </w:tblP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Signways Holdings Limited</w:t>
            </w:r>
          </w:p>
        </w:tc>
        <w:tc>
          <w:tcPr>
            <w:tcW w:w="7100" w:type="dxa"/>
            <w:vAlign w:val="bottom"/>
          </w:tcPr>
          <w:p>
            <w:pPr>
              <w:ind w:left="1780"/>
              <w:spacing w:after="0"/>
              <w:rPr>
                <w:sz w:val="20"/>
                <w:szCs w:val="20"/>
                <w:color w:val="auto"/>
              </w:rPr>
            </w:pPr>
            <w:r>
              <w:rPr>
                <w:rFonts w:ascii="Arial" w:cs="Arial" w:eastAsia="Arial" w:hAnsi="Arial"/>
                <w:sz w:val="18"/>
                <w:szCs w:val="18"/>
                <w:color w:val="auto"/>
              </w:rPr>
              <w:t>Ireland</w:t>
            </w:r>
          </w:p>
        </w:tc>
      </w:tr>
      <w:tr>
        <w:trPr>
          <w:trHeight w:val="432"/>
        </w:trPr>
        <w:tc>
          <w:tcPr>
            <w:tcW w:w="4320" w:type="dxa"/>
            <w:vAlign w:val="bottom"/>
          </w:tcPr>
          <w:p>
            <w:pPr>
              <w:spacing w:after="0"/>
              <w:rPr>
                <w:sz w:val="20"/>
                <w:szCs w:val="20"/>
                <w:color w:val="auto"/>
              </w:rPr>
            </w:pPr>
            <w:r>
              <w:rPr>
                <w:rFonts w:ascii="Arial" w:cs="Arial" w:eastAsia="Arial" w:hAnsi="Arial"/>
                <w:sz w:val="18"/>
                <w:szCs w:val="18"/>
                <w:color w:val="auto"/>
              </w:rPr>
              <w:t>Simon &amp; Schuster (Australia) Pty. Limited</w:t>
            </w:r>
          </w:p>
        </w:tc>
        <w:tc>
          <w:tcPr>
            <w:tcW w:w="7100" w:type="dxa"/>
            <w:vAlign w:val="bottom"/>
          </w:tcPr>
          <w:p>
            <w:pPr>
              <w:ind w:left="1780"/>
              <w:spacing w:after="0"/>
              <w:rPr>
                <w:sz w:val="20"/>
                <w:szCs w:val="20"/>
                <w:color w:val="auto"/>
              </w:rPr>
            </w:pPr>
            <w:r>
              <w:rPr>
                <w:rFonts w:ascii="Arial" w:cs="Arial" w:eastAsia="Arial" w:hAnsi="Arial"/>
                <w:sz w:val="18"/>
                <w:szCs w:val="18"/>
                <w:color w:val="auto"/>
              </w:rPr>
              <w:t>Australia</w:t>
            </w:r>
          </w:p>
        </w:tc>
      </w:tr>
      <w:tr>
        <w:trPr>
          <w:trHeight w:val="432"/>
        </w:trPr>
        <w:tc>
          <w:tcPr>
            <w:tcW w:w="4320" w:type="dxa"/>
            <w:vAlign w:val="bottom"/>
          </w:tcPr>
          <w:p>
            <w:pPr>
              <w:spacing w:after="0"/>
              <w:rPr>
                <w:sz w:val="20"/>
                <w:szCs w:val="20"/>
                <w:color w:val="auto"/>
              </w:rPr>
            </w:pPr>
            <w:r>
              <w:rPr>
                <w:rFonts w:ascii="Arial" w:cs="Arial" w:eastAsia="Arial" w:hAnsi="Arial"/>
                <w:sz w:val="18"/>
                <w:szCs w:val="18"/>
                <w:color w:val="auto"/>
              </w:rPr>
              <w:t>Simon &amp; Schuster (U.K.) Limited</w:t>
            </w:r>
          </w:p>
        </w:tc>
        <w:tc>
          <w:tcPr>
            <w:tcW w:w="7100" w:type="dxa"/>
            <w:vAlign w:val="bottom"/>
          </w:tcPr>
          <w:p>
            <w:pPr>
              <w:ind w:left="1780"/>
              <w:spacing w:after="0"/>
              <w:rPr>
                <w:sz w:val="20"/>
                <w:szCs w:val="20"/>
                <w:color w:val="auto"/>
              </w:rPr>
            </w:pPr>
            <w:r>
              <w:rPr>
                <w:rFonts w:ascii="Arial" w:cs="Arial" w:eastAsia="Arial" w:hAnsi="Arial"/>
                <w:sz w:val="18"/>
                <w:szCs w:val="18"/>
                <w:color w:val="auto"/>
              </w:rPr>
              <w:t>United Kingdom</w:t>
            </w:r>
          </w:p>
        </w:tc>
      </w:tr>
      <w:tr>
        <w:trPr>
          <w:trHeight w:val="432"/>
        </w:trPr>
        <w:tc>
          <w:tcPr>
            <w:tcW w:w="4320" w:type="dxa"/>
            <w:vAlign w:val="bottom"/>
          </w:tcPr>
          <w:p>
            <w:pPr>
              <w:spacing w:after="0"/>
              <w:rPr>
                <w:sz w:val="20"/>
                <w:szCs w:val="20"/>
                <w:color w:val="auto"/>
              </w:rPr>
            </w:pPr>
            <w:r>
              <w:rPr>
                <w:rFonts w:ascii="Arial" w:cs="Arial" w:eastAsia="Arial" w:hAnsi="Arial"/>
                <w:sz w:val="18"/>
                <w:szCs w:val="18"/>
                <w:color w:val="auto"/>
              </w:rPr>
              <w:t>Simon &amp; Schuster Global Services Inc.</w:t>
            </w:r>
          </w:p>
        </w:tc>
        <w:tc>
          <w:tcPr>
            <w:tcW w:w="7100" w:type="dxa"/>
            <w:vAlign w:val="bottom"/>
          </w:tcPr>
          <w:p>
            <w:pPr>
              <w:ind w:left="1780"/>
              <w:spacing w:after="0"/>
              <w:rPr>
                <w:sz w:val="20"/>
                <w:szCs w:val="20"/>
                <w:color w:val="auto"/>
              </w:rPr>
            </w:pPr>
            <w:r>
              <w:rPr>
                <w:rFonts w:ascii="Arial" w:cs="Arial" w:eastAsia="Arial" w:hAnsi="Arial"/>
                <w:sz w:val="18"/>
                <w:szCs w:val="18"/>
                <w:color w:val="auto"/>
              </w:rPr>
              <w:t>Delaware</w:t>
            </w:r>
          </w:p>
        </w:tc>
      </w:tr>
      <w:tr>
        <w:trPr>
          <w:trHeight w:val="432"/>
        </w:trPr>
        <w:tc>
          <w:tcPr>
            <w:tcW w:w="4320" w:type="dxa"/>
            <w:vAlign w:val="bottom"/>
          </w:tcPr>
          <w:p>
            <w:pPr>
              <w:spacing w:after="0"/>
              <w:rPr>
                <w:sz w:val="20"/>
                <w:szCs w:val="20"/>
                <w:color w:val="auto"/>
              </w:rPr>
            </w:pPr>
            <w:r>
              <w:rPr>
                <w:rFonts w:ascii="Arial" w:cs="Arial" w:eastAsia="Arial" w:hAnsi="Arial"/>
                <w:sz w:val="18"/>
                <w:szCs w:val="18"/>
                <w:color w:val="auto"/>
              </w:rPr>
              <w:t>Simon &amp; Schuster International Inc.</w:t>
            </w:r>
          </w:p>
        </w:tc>
        <w:tc>
          <w:tcPr>
            <w:tcW w:w="7100" w:type="dxa"/>
            <w:vAlign w:val="bottom"/>
          </w:tcPr>
          <w:p>
            <w:pPr>
              <w:ind w:left="1780"/>
              <w:spacing w:after="0"/>
              <w:rPr>
                <w:sz w:val="20"/>
                <w:szCs w:val="20"/>
                <w:color w:val="auto"/>
              </w:rPr>
            </w:pPr>
            <w:r>
              <w:rPr>
                <w:rFonts w:ascii="Arial" w:cs="Arial" w:eastAsia="Arial" w:hAnsi="Arial"/>
                <w:sz w:val="18"/>
                <w:szCs w:val="18"/>
                <w:color w:val="auto"/>
              </w:rPr>
              <w:t>Delaware</w:t>
            </w:r>
          </w:p>
        </w:tc>
      </w:tr>
      <w:tr>
        <w:trPr>
          <w:trHeight w:val="432"/>
        </w:trPr>
        <w:tc>
          <w:tcPr>
            <w:tcW w:w="4320" w:type="dxa"/>
            <w:vAlign w:val="bottom"/>
          </w:tcPr>
          <w:p>
            <w:pPr>
              <w:spacing w:after="0"/>
              <w:rPr>
                <w:sz w:val="24"/>
                <w:szCs w:val="24"/>
                <w:color w:val="auto"/>
              </w:rPr>
            </w:pPr>
          </w:p>
        </w:tc>
        <w:tc>
          <w:tcPr>
            <w:tcW w:w="7100" w:type="dxa"/>
            <w:vAlign w:val="bottom"/>
          </w:tcPr>
          <w:p>
            <w:pPr>
              <w:ind w:left="1300"/>
              <w:spacing w:after="0"/>
              <w:rPr>
                <w:sz w:val="20"/>
                <w:szCs w:val="20"/>
                <w:color w:val="auto"/>
              </w:rPr>
            </w:pPr>
            <w:r>
              <w:rPr>
                <w:rFonts w:ascii="Arial" w:cs="Arial" w:eastAsia="Arial" w:hAnsi="Arial"/>
                <w:sz w:val="18"/>
                <w:szCs w:val="18"/>
                <w:color w:val="auto"/>
              </w:rPr>
              <w:t>18</w:t>
            </w:r>
          </w:p>
        </w:tc>
      </w:tr>
      <w:tr>
        <w:trPr>
          <w:trHeight w:val="228"/>
        </w:trPr>
        <w:tc>
          <w:tcPr>
            <w:tcW w:w="4320" w:type="dxa"/>
            <w:vAlign w:val="bottom"/>
            <w:tcBorders>
              <w:bottom w:val="single" w:sz="8" w:color="808080"/>
            </w:tcBorders>
          </w:tcPr>
          <w:p>
            <w:pPr>
              <w:spacing w:after="0"/>
              <w:rPr>
                <w:sz w:val="19"/>
                <w:szCs w:val="19"/>
                <w:color w:val="auto"/>
              </w:rPr>
            </w:pPr>
          </w:p>
        </w:tc>
        <w:tc>
          <w:tcPr>
            <w:tcW w:w="7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84" w:name="page185"/>
    <w:bookmarkEnd w:id="184"/>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-276225</wp:posOffset>
            </wp:positionV>
            <wp:extent cx="7250430" cy="3619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250430" cy="36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212725</wp:posOffset>
            </wp:positionV>
            <wp:extent cx="7250430" cy="215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4119"/>
          </w:cols>
          <w:pgMar w:left="240" w:top="438" w:right="1440" w:bottom="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Simon &amp; Schuster of Canada (1976) Ltd.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Simon &amp; Schuster,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Skaroo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Sky Blue Investments,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SNI Development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Snow Day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Soapmusic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SonicNet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SongFair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Space TV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Spelling Daytime Songs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Spelling Daytime Television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Spelling Entertainment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Spelling Entertainment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Spelling Films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Spelling Films Music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Spelling Pictures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Spelling Satellite Networks,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Spelling Television (Canada)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Spelling Television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Spelling Television Quebec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Sports.com,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SportsLine.com,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SportsLine Europe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SportsLine UK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Starfish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Stargate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Stargate Acquisition Corp. 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State of Mind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STLD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Stranglehold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Streak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Street Information Systems, Inc., The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SU 2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Sunn Classic Pictures,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auto"/>
        </w:rPr>
        <w:t>Canada (Federal)</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Canada (Alberta)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(B.C.)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(Federal)</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ectPr>
          <w:pgSz w:w="11900" w:h="16838" w:orient="portrait"/>
          <w:cols w:equalWidth="0" w:num="2">
            <w:col w:w="5380" w:space="720"/>
            <w:col w:w="4119"/>
          </w:cols>
          <w:pgMar w:left="240" w:top="438" w:right="1440" w:bottom="0" w:gutter="0" w:footer="0" w:header="0"/>
          <w:type w:val="continuous"/>
        </w:sectPr>
      </w:pPr>
    </w:p>
    <w:bookmarkStart w:id="185" w:name="page186"/>
    <w:bookmarkEnd w:id="185"/>
    <w:tbl>
      <w:tblPr>
        <w:tblLayout w:type="fixed"/>
        <w:tblInd w:w="0" w:type="dxa"/>
        <w:tblCellMar>
          <w:top w:w="0" w:type="dxa"/>
          <w:left w:w="0" w:type="dxa"/>
          <w:bottom w:w="0" w:type="dxa"/>
          <w:right w:w="0" w:type="dxa"/>
        </w:tblCellMar>
      </w:tblP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Sunset Beach Productions, Inc.</w:t>
            </w:r>
          </w:p>
        </w:tc>
        <w:tc>
          <w:tcPr>
            <w:tcW w:w="748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432"/>
        </w:trPr>
        <w:tc>
          <w:tcPr>
            <w:tcW w:w="3940" w:type="dxa"/>
            <w:vAlign w:val="bottom"/>
          </w:tcPr>
          <w:p>
            <w:pPr>
              <w:spacing w:after="0"/>
              <w:rPr>
                <w:sz w:val="20"/>
                <w:szCs w:val="20"/>
                <w:color w:val="auto"/>
              </w:rPr>
            </w:pPr>
            <w:r>
              <w:rPr>
                <w:rFonts w:ascii="Arial" w:cs="Arial" w:eastAsia="Arial" w:hAnsi="Arial"/>
                <w:sz w:val="18"/>
                <w:szCs w:val="18"/>
                <w:color w:val="auto"/>
              </w:rPr>
              <w:t>Superstar Productions USA Inc.</w:t>
            </w:r>
          </w:p>
        </w:tc>
        <w:tc>
          <w:tcPr>
            <w:tcW w:w="748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432"/>
        </w:trPr>
        <w:tc>
          <w:tcPr>
            <w:tcW w:w="3940" w:type="dxa"/>
            <w:vAlign w:val="bottom"/>
          </w:tcPr>
          <w:p>
            <w:pPr>
              <w:spacing w:after="0"/>
              <w:rPr>
                <w:sz w:val="20"/>
                <w:szCs w:val="20"/>
                <w:color w:val="auto"/>
              </w:rPr>
            </w:pPr>
            <w:r>
              <w:rPr>
                <w:rFonts w:ascii="Arial" w:cs="Arial" w:eastAsia="Arial" w:hAnsi="Arial"/>
                <w:sz w:val="18"/>
                <w:szCs w:val="18"/>
                <w:color w:val="auto"/>
              </w:rPr>
              <w:t>T &amp; R Payroll Company</w:t>
            </w:r>
          </w:p>
        </w:tc>
        <w:tc>
          <w:tcPr>
            <w:tcW w:w="748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432"/>
        </w:trPr>
        <w:tc>
          <w:tcPr>
            <w:tcW w:w="3940" w:type="dxa"/>
            <w:vAlign w:val="bottom"/>
          </w:tcPr>
          <w:p>
            <w:pPr>
              <w:spacing w:after="0"/>
              <w:rPr>
                <w:sz w:val="20"/>
                <w:szCs w:val="20"/>
                <w:color w:val="auto"/>
              </w:rPr>
            </w:pPr>
            <w:r>
              <w:rPr>
                <w:rFonts w:ascii="Arial" w:cs="Arial" w:eastAsia="Arial" w:hAnsi="Arial"/>
                <w:sz w:val="18"/>
                <w:szCs w:val="18"/>
                <w:color w:val="auto"/>
              </w:rPr>
              <w:t>Talent Court Productions, Inc.</w:t>
            </w:r>
          </w:p>
        </w:tc>
        <w:tc>
          <w:tcPr>
            <w:tcW w:w="748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432"/>
        </w:trPr>
        <w:tc>
          <w:tcPr>
            <w:tcW w:w="3940" w:type="dxa"/>
            <w:vAlign w:val="bottom"/>
          </w:tcPr>
          <w:p>
            <w:pPr>
              <w:spacing w:after="0"/>
              <w:rPr>
                <w:sz w:val="20"/>
                <w:szCs w:val="20"/>
                <w:color w:val="auto"/>
              </w:rPr>
            </w:pPr>
            <w:r>
              <w:rPr>
                <w:rFonts w:ascii="Arial" w:cs="Arial" w:eastAsia="Arial" w:hAnsi="Arial"/>
                <w:sz w:val="18"/>
                <w:szCs w:val="18"/>
                <w:color w:val="auto"/>
              </w:rPr>
              <w:t>TC Productions Inc.</w:t>
            </w:r>
          </w:p>
        </w:tc>
        <w:tc>
          <w:tcPr>
            <w:tcW w:w="748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432"/>
        </w:trPr>
        <w:tc>
          <w:tcPr>
            <w:tcW w:w="3940" w:type="dxa"/>
            <w:vAlign w:val="bottom"/>
          </w:tcPr>
          <w:p>
            <w:pPr>
              <w:spacing w:after="0"/>
              <w:rPr>
                <w:sz w:val="24"/>
                <w:szCs w:val="24"/>
                <w:color w:val="auto"/>
              </w:rPr>
            </w:pPr>
          </w:p>
        </w:tc>
        <w:tc>
          <w:tcPr>
            <w:tcW w:w="7480" w:type="dxa"/>
            <w:vAlign w:val="bottom"/>
          </w:tcPr>
          <w:p>
            <w:pPr>
              <w:ind w:left="1680"/>
              <w:spacing w:after="0"/>
              <w:rPr>
                <w:sz w:val="20"/>
                <w:szCs w:val="20"/>
                <w:color w:val="auto"/>
              </w:rPr>
            </w:pPr>
            <w:r>
              <w:rPr>
                <w:rFonts w:ascii="Arial" w:cs="Arial" w:eastAsia="Arial" w:hAnsi="Arial"/>
                <w:sz w:val="18"/>
                <w:szCs w:val="18"/>
                <w:color w:val="auto"/>
              </w:rPr>
              <w:t>19</w:t>
            </w:r>
          </w:p>
        </w:tc>
      </w:tr>
      <w:tr>
        <w:trPr>
          <w:trHeight w:val="228"/>
        </w:trPr>
        <w:tc>
          <w:tcPr>
            <w:tcW w:w="3940" w:type="dxa"/>
            <w:vAlign w:val="bottom"/>
            <w:tcBorders>
              <w:bottom w:val="single" w:sz="8" w:color="808080"/>
            </w:tcBorders>
          </w:tcPr>
          <w:p>
            <w:pPr>
              <w:spacing w:after="0"/>
              <w:rPr>
                <w:sz w:val="19"/>
                <w:szCs w:val="19"/>
                <w:color w:val="auto"/>
              </w:rPr>
            </w:pPr>
          </w:p>
        </w:tc>
        <w:tc>
          <w:tcPr>
            <w:tcW w:w="7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-276225</wp:posOffset>
            </wp:positionV>
            <wp:extent cx="7250430" cy="3619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250430" cy="36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212725</wp:posOffset>
            </wp:positionV>
            <wp:extent cx="7250430" cy="215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4119"/>
          </w:cols>
          <w:pgMar w:left="240" w:top="437" w:right="1440" w:bottom="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TDI (BP)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TDI (FB)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TDI Buses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TDI France Holding SAS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TDI Holdings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TDI International,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TDI Luxembourg Sarl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TDI Mail Holdings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TDI Metro (NI)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TDI Metro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TDI Northwest,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TDI Transit Advertising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TDI Worldwide,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Tecno System 2000 S.R.L.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Tele-Vu Ltee.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Infinity Broadcasting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Infinity Radio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Box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Music Source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They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Things of the Wild Songs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Thinner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Third Century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Thirteenth Century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Thirtieth Century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Timeline Films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Titus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TMI International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TMRG,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TNN Classic Sessions,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TNN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Toe-To-Toe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Torand Payroll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Torand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Total Warehouse Services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Northern Ireland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Northern Ireland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(Federal)</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5380" w:space="720"/>
            <w:col w:w="4119"/>
          </w:cols>
          <w:pgMar w:left="240" w:top="437" w:right="1440" w:bottom="0" w:gutter="0" w:footer="0" w:header="0"/>
          <w:type w:val="continuous"/>
        </w:sectPr>
      </w:pPr>
    </w:p>
    <w:bookmarkStart w:id="187" w:name="page188"/>
    <w:bookmarkEnd w:id="187"/>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TRF III Entertainment, Inc.</w:t>
            </w:r>
          </w:p>
        </w:tc>
        <w:tc>
          <w:tcPr>
            <w:tcW w:w="7420" w:type="dxa"/>
            <w:vAlign w:val="bottom"/>
          </w:tcPr>
          <w:p>
            <w:pPr>
              <w:ind w:left="2100"/>
              <w:spacing w:after="0"/>
              <w:rPr>
                <w:sz w:val="20"/>
                <w:szCs w:val="20"/>
                <w:color w:val="auto"/>
              </w:rPr>
            </w:pPr>
            <w:r>
              <w:rPr>
                <w:rFonts w:ascii="Arial" w:cs="Arial" w:eastAsia="Arial" w:hAnsi="Arial"/>
                <w:sz w:val="18"/>
                <w:szCs w:val="18"/>
                <w:color w:val="auto"/>
              </w:rPr>
              <w:t>Delaware</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TSM Services Inc.</w:t>
            </w:r>
          </w:p>
        </w:tc>
        <w:tc>
          <w:tcPr>
            <w:tcW w:w="7420" w:type="dxa"/>
            <w:vAlign w:val="bottom"/>
          </w:tcPr>
          <w:p>
            <w:pPr>
              <w:ind w:left="2100"/>
              <w:spacing w:after="0"/>
              <w:rPr>
                <w:sz w:val="20"/>
                <w:szCs w:val="20"/>
                <w:color w:val="auto"/>
              </w:rPr>
            </w:pPr>
            <w:r>
              <w:rPr>
                <w:rFonts w:ascii="Arial" w:cs="Arial" w:eastAsia="Arial" w:hAnsi="Arial"/>
                <w:sz w:val="18"/>
                <w:szCs w:val="18"/>
                <w:color w:val="auto"/>
              </w:rPr>
              <w:t>Delaware</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Tunes By Nickelodeon Inc.</w:t>
            </w:r>
          </w:p>
        </w:tc>
        <w:tc>
          <w:tcPr>
            <w:tcW w:w="7420" w:type="dxa"/>
            <w:vAlign w:val="bottom"/>
          </w:tcPr>
          <w:p>
            <w:pPr>
              <w:ind w:left="2100"/>
              <w:spacing w:after="0"/>
              <w:rPr>
                <w:sz w:val="20"/>
                <w:szCs w:val="20"/>
                <w:color w:val="auto"/>
              </w:rPr>
            </w:pPr>
            <w:r>
              <w:rPr>
                <w:rFonts w:ascii="Arial" w:cs="Arial" w:eastAsia="Arial" w:hAnsi="Arial"/>
                <w:sz w:val="18"/>
                <w:szCs w:val="18"/>
                <w:color w:val="auto"/>
              </w:rPr>
              <w:t>Delaware</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TV Land Canada Holding Inc.</w:t>
            </w:r>
          </w:p>
        </w:tc>
        <w:tc>
          <w:tcPr>
            <w:tcW w:w="7420" w:type="dxa"/>
            <w:vAlign w:val="bottom"/>
          </w:tcPr>
          <w:p>
            <w:pPr>
              <w:ind w:left="2100"/>
              <w:spacing w:after="0"/>
              <w:rPr>
                <w:sz w:val="20"/>
                <w:szCs w:val="20"/>
                <w:color w:val="auto"/>
              </w:rPr>
            </w:pPr>
            <w:r>
              <w:rPr>
                <w:rFonts w:ascii="Arial" w:cs="Arial" w:eastAsia="Arial" w:hAnsi="Arial"/>
                <w:sz w:val="18"/>
                <w:szCs w:val="18"/>
                <w:color w:val="auto"/>
              </w:rPr>
              <w:t>Delaware</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TV on tour Veranstaltungs GmbH</w:t>
            </w:r>
          </w:p>
        </w:tc>
        <w:tc>
          <w:tcPr>
            <w:tcW w:w="7420" w:type="dxa"/>
            <w:vAlign w:val="bottom"/>
          </w:tcPr>
          <w:p>
            <w:pPr>
              <w:ind w:left="2100"/>
              <w:spacing w:after="0"/>
              <w:rPr>
                <w:sz w:val="20"/>
                <w:szCs w:val="20"/>
                <w:color w:val="auto"/>
              </w:rPr>
            </w:pPr>
            <w:r>
              <w:rPr>
                <w:rFonts w:ascii="Arial" w:cs="Arial" w:eastAsia="Arial" w:hAnsi="Arial"/>
                <w:sz w:val="18"/>
                <w:szCs w:val="18"/>
                <w:color w:val="auto"/>
              </w:rPr>
              <w:t>Germany</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Two of Us Films Inc.</w:t>
            </w:r>
          </w:p>
        </w:tc>
        <w:tc>
          <w:tcPr>
            <w:tcW w:w="7420" w:type="dxa"/>
            <w:vAlign w:val="bottom"/>
          </w:tcPr>
          <w:p>
            <w:pPr>
              <w:ind w:left="2100"/>
              <w:spacing w:after="0"/>
              <w:rPr>
                <w:sz w:val="20"/>
                <w:szCs w:val="20"/>
                <w:color w:val="auto"/>
              </w:rPr>
            </w:pPr>
            <w:r>
              <w:rPr>
                <w:rFonts w:ascii="Arial" w:cs="Arial" w:eastAsia="Arial" w:hAnsi="Arial"/>
                <w:sz w:val="18"/>
                <w:szCs w:val="18"/>
                <w:color w:val="auto"/>
              </w:rPr>
              <w:t>Canada (Ontario)</w:t>
            </w:r>
          </w:p>
        </w:tc>
      </w:tr>
      <w:tr>
        <w:trPr>
          <w:trHeight w:val="432"/>
        </w:trPr>
        <w:tc>
          <w:tcPr>
            <w:tcW w:w="4000" w:type="dxa"/>
            <w:vAlign w:val="bottom"/>
          </w:tcPr>
          <w:p>
            <w:pPr>
              <w:spacing w:after="0"/>
              <w:rPr>
                <w:sz w:val="24"/>
                <w:szCs w:val="24"/>
                <w:color w:val="auto"/>
              </w:rPr>
            </w:pPr>
          </w:p>
        </w:tc>
        <w:tc>
          <w:tcPr>
            <w:tcW w:w="7420" w:type="dxa"/>
            <w:vAlign w:val="bottom"/>
          </w:tcPr>
          <w:p>
            <w:pPr>
              <w:ind w:left="1620"/>
              <w:spacing w:after="0"/>
              <w:rPr>
                <w:sz w:val="20"/>
                <w:szCs w:val="20"/>
                <w:color w:val="auto"/>
              </w:rPr>
            </w:pPr>
            <w:r>
              <w:rPr>
                <w:rFonts w:ascii="Arial" w:cs="Arial" w:eastAsia="Arial" w:hAnsi="Arial"/>
                <w:sz w:val="18"/>
                <w:szCs w:val="18"/>
                <w:color w:val="auto"/>
              </w:rPr>
              <w:t>20</w:t>
            </w:r>
          </w:p>
        </w:tc>
      </w:tr>
      <w:tr>
        <w:trPr>
          <w:trHeight w:val="228"/>
        </w:trPr>
        <w:tc>
          <w:tcPr>
            <w:tcW w:w="400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8" w:name="page189"/>
    <w:bookmarkEnd w:id="188"/>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-276225</wp:posOffset>
            </wp:positionV>
            <wp:extent cx="7250430" cy="3619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250430" cy="36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212725</wp:posOffset>
            </wp:positionV>
            <wp:extent cx="7250430" cy="215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4119"/>
          </w:cols>
          <w:pgMar w:left="240" w:top="438" w:right="1440" w:bottom="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Two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 Just U Publishing,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 Music,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UCGI,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UGJ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Universal American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Untitled Productions 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UPN Holding Company,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UPN Properties,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UPN Stations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UPN Television Stations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Uptown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Ureal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 Development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 Drive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 Television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VH-1 Television GmbH &amp; Co OHG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 Services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 Aircraft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Animation of Korea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Asia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Brand Solutions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Brazil Holdings Ltda.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Camden Lock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Canada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Canadian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Communications Services,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Consumer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Corporate Services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DBS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Viacom (Deutschland) Beteiligungen GmbH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Viacom Employee Services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Enterprises Canada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(Federal)</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Canada (Ontario)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Canada (Federal)</w:t>
      </w:r>
    </w:p>
    <w:p>
      <w:pPr>
        <w:sectPr>
          <w:pgSz w:w="11900" w:h="16838" w:orient="portrait"/>
          <w:cols w:equalWidth="0" w:num="2">
            <w:col w:w="5380" w:space="720"/>
            <w:col w:w="4119"/>
          </w:cols>
          <w:pgMar w:left="240" w:top="438" w:right="1440" w:bottom="0" w:gutter="0" w:footer="0" w:header="0"/>
          <w:type w:val="continuous"/>
        </w:sectPr>
      </w:pPr>
    </w:p>
    <w:bookmarkStart w:id="189" w:name="page190"/>
    <w:bookmarkEnd w:id="189"/>
    <w:tbl>
      <w:tblPr>
        <w:tblLayout w:type="fixed"/>
        <w:tblInd w:w="0" w:type="dxa"/>
        <w:tblCellMar>
          <w:top w:w="0" w:type="dxa"/>
          <w:left w:w="0" w:type="dxa"/>
          <w:bottom w:w="0" w:type="dxa"/>
          <w:right w:w="0" w:type="dxa"/>
        </w:tblCellMar>
      </w:tblP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Viacom Executive Services Corporation</w:t>
            </w:r>
          </w:p>
        </w:tc>
        <w:tc>
          <w:tcPr>
            <w:tcW w:w="6960" w:type="dxa"/>
            <w:vAlign w:val="bottom"/>
          </w:tcPr>
          <w:p>
            <w:pPr>
              <w:ind w:left="1640"/>
              <w:spacing w:after="0"/>
              <w:rPr>
                <w:sz w:val="20"/>
                <w:szCs w:val="20"/>
                <w:color w:val="auto"/>
              </w:rPr>
            </w:pPr>
            <w:r>
              <w:rPr>
                <w:rFonts w:ascii="Arial" w:cs="Arial" w:eastAsia="Arial" w:hAnsi="Arial"/>
                <w:sz w:val="18"/>
                <w:szCs w:val="18"/>
                <w:color w:val="auto"/>
              </w:rPr>
              <w:t>Delaware</w:t>
            </w: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Viacom Express SpA</w:t>
            </w:r>
          </w:p>
        </w:tc>
        <w:tc>
          <w:tcPr>
            <w:tcW w:w="6960" w:type="dxa"/>
            <w:vAlign w:val="bottom"/>
          </w:tcPr>
          <w:p>
            <w:pPr>
              <w:ind w:left="1640"/>
              <w:spacing w:after="0"/>
              <w:rPr>
                <w:sz w:val="20"/>
                <w:szCs w:val="20"/>
                <w:color w:val="auto"/>
              </w:rPr>
            </w:pPr>
            <w:r>
              <w:rPr>
                <w:rFonts w:ascii="Arial" w:cs="Arial" w:eastAsia="Arial" w:hAnsi="Arial"/>
                <w:sz w:val="18"/>
                <w:szCs w:val="18"/>
                <w:color w:val="auto"/>
              </w:rPr>
              <w:t>Italy</w:t>
            </w: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Viacom Film Funding Company Inc.</w:t>
            </w:r>
          </w:p>
        </w:tc>
        <w:tc>
          <w:tcPr>
            <w:tcW w:w="6960" w:type="dxa"/>
            <w:vAlign w:val="bottom"/>
          </w:tcPr>
          <w:p>
            <w:pPr>
              <w:ind w:left="1640"/>
              <w:spacing w:after="0"/>
              <w:rPr>
                <w:sz w:val="20"/>
                <w:szCs w:val="20"/>
                <w:color w:val="auto"/>
              </w:rPr>
            </w:pPr>
            <w:r>
              <w:rPr>
                <w:rFonts w:ascii="Arial" w:cs="Arial" w:eastAsia="Arial" w:hAnsi="Arial"/>
                <w:sz w:val="18"/>
                <w:szCs w:val="18"/>
                <w:color w:val="auto"/>
              </w:rPr>
              <w:t>Delaware</w:t>
            </w: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Viacom Finanz AG</w:t>
            </w:r>
          </w:p>
        </w:tc>
        <w:tc>
          <w:tcPr>
            <w:tcW w:w="6960" w:type="dxa"/>
            <w:vAlign w:val="bottom"/>
          </w:tcPr>
          <w:p>
            <w:pPr>
              <w:ind w:left="1640"/>
              <w:spacing w:after="0"/>
              <w:rPr>
                <w:sz w:val="20"/>
                <w:szCs w:val="20"/>
                <w:color w:val="auto"/>
              </w:rPr>
            </w:pPr>
            <w:r>
              <w:rPr>
                <w:rFonts w:ascii="Arial" w:cs="Arial" w:eastAsia="Arial" w:hAnsi="Arial"/>
                <w:sz w:val="18"/>
                <w:szCs w:val="18"/>
                <w:color w:val="auto"/>
              </w:rPr>
              <w:t>Switzerland</w:t>
            </w: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Viacom First Run Development Company Inc.</w:t>
            </w:r>
          </w:p>
        </w:tc>
        <w:tc>
          <w:tcPr>
            <w:tcW w:w="6960" w:type="dxa"/>
            <w:vAlign w:val="bottom"/>
          </w:tcPr>
          <w:p>
            <w:pPr>
              <w:ind w:left="1640"/>
              <w:spacing w:after="0"/>
              <w:rPr>
                <w:sz w:val="20"/>
                <w:szCs w:val="20"/>
                <w:color w:val="auto"/>
              </w:rPr>
            </w:pPr>
            <w:r>
              <w:rPr>
                <w:rFonts w:ascii="Arial" w:cs="Arial" w:eastAsia="Arial" w:hAnsi="Arial"/>
                <w:sz w:val="18"/>
                <w:szCs w:val="18"/>
                <w:color w:val="auto"/>
              </w:rPr>
              <w:t>Delaware</w:t>
            </w: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Viacom First Run Limited</w:t>
            </w:r>
          </w:p>
        </w:tc>
        <w:tc>
          <w:tcPr>
            <w:tcW w:w="6960" w:type="dxa"/>
            <w:vAlign w:val="bottom"/>
          </w:tcPr>
          <w:p>
            <w:pPr>
              <w:ind w:left="1640"/>
              <w:spacing w:after="0"/>
              <w:rPr>
                <w:sz w:val="20"/>
                <w:szCs w:val="20"/>
                <w:color w:val="auto"/>
              </w:rPr>
            </w:pPr>
            <w:r>
              <w:rPr>
                <w:rFonts w:ascii="Arial" w:cs="Arial" w:eastAsia="Arial" w:hAnsi="Arial"/>
                <w:sz w:val="18"/>
                <w:szCs w:val="18"/>
                <w:color w:val="auto"/>
              </w:rPr>
              <w:t>Delaware</w:t>
            </w:r>
          </w:p>
        </w:tc>
      </w:tr>
      <w:tr>
        <w:trPr>
          <w:trHeight w:val="432"/>
        </w:trPr>
        <w:tc>
          <w:tcPr>
            <w:tcW w:w="4460" w:type="dxa"/>
            <w:vAlign w:val="bottom"/>
          </w:tcPr>
          <w:p>
            <w:pPr>
              <w:spacing w:after="0"/>
              <w:rPr>
                <w:sz w:val="24"/>
                <w:szCs w:val="24"/>
                <w:color w:val="auto"/>
              </w:rPr>
            </w:pPr>
          </w:p>
        </w:tc>
        <w:tc>
          <w:tcPr>
            <w:tcW w:w="6960" w:type="dxa"/>
            <w:vAlign w:val="bottom"/>
          </w:tcPr>
          <w:p>
            <w:pPr>
              <w:ind w:left="1160"/>
              <w:spacing w:after="0"/>
              <w:rPr>
                <w:sz w:val="20"/>
                <w:szCs w:val="20"/>
                <w:color w:val="auto"/>
              </w:rPr>
            </w:pPr>
            <w:r>
              <w:rPr>
                <w:rFonts w:ascii="Arial" w:cs="Arial" w:eastAsia="Arial" w:hAnsi="Arial"/>
                <w:sz w:val="18"/>
                <w:szCs w:val="18"/>
                <w:color w:val="auto"/>
              </w:rPr>
              <w:t>21</w:t>
            </w:r>
          </w:p>
        </w:tc>
      </w:tr>
      <w:tr>
        <w:trPr>
          <w:trHeight w:val="228"/>
        </w:trPr>
        <w:tc>
          <w:tcPr>
            <w:tcW w:w="4460" w:type="dxa"/>
            <w:vAlign w:val="bottom"/>
            <w:tcBorders>
              <w:bottom w:val="single" w:sz="8" w:color="808080"/>
            </w:tcBorders>
          </w:tcPr>
          <w:p>
            <w:pPr>
              <w:spacing w:after="0"/>
              <w:rPr>
                <w:sz w:val="19"/>
                <w:szCs w:val="19"/>
                <w:color w:val="auto"/>
              </w:rPr>
            </w:pPr>
          </w:p>
        </w:tc>
        <w:tc>
          <w:tcPr>
            <w:tcW w:w="6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-276225</wp:posOffset>
            </wp:positionV>
            <wp:extent cx="7250430" cy="3619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250430" cy="36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212725</wp:posOffset>
            </wp:positionV>
            <wp:extent cx="7250430" cy="215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4119"/>
          </w:cols>
          <w:pgMar w:left="240" w:top="437" w:right="1440" w:bottom="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Viacom Global Services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Hearty Ha! Ha!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Holdings Brasil Ltda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Holding (Germany)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Holdings (Germany) II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Holdings Germany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IDA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Viacom International (Netherlands) B.V.</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Viacom International Canada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International Holdings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International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International Pty.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Investments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IRB Acquisition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Japan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K-Band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Middle East Holdings VOF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Networks Europe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Networks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Networks Italia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Notes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Outdoor Advertising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Outdoor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Outdoor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Outdoor Holding Srl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Outdoor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Outdoor L.A.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Outdoor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Outdoor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Outdoor Mexico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Viacom Outdoor Mexico S. De R.L. de C.V.</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Viacom Outdoor Norte SL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Outdoor Oy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Outdoor 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Brasil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(Ontario)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Netherlands Antilles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Northern Ireland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ectPr>
          <w:pgSz w:w="11900" w:h="16838" w:orient="portrait"/>
          <w:cols w:equalWidth="0" w:num="2">
            <w:col w:w="5380" w:space="720"/>
            <w:col w:w="4119"/>
          </w:cols>
          <w:pgMar w:left="240" w:top="437" w:right="1440" w:bottom="0" w:gutter="0" w:footer="0" w:header="0"/>
          <w:type w:val="continuous"/>
        </w:sectPr>
      </w:pPr>
    </w:p>
    <w:bookmarkStart w:id="191" w:name="page192"/>
    <w:bookmarkEnd w:id="191"/>
    <w:tbl>
      <w:tblPr>
        <w:tblLayout w:type="fixed"/>
        <w:tblInd w:w="0" w:type="dxa"/>
        <w:tblCellMar>
          <w:top w:w="0" w:type="dxa"/>
          <w:left w:w="0" w:type="dxa"/>
          <w:bottom w:w="0" w:type="dxa"/>
          <w:right w:w="0" w:type="dxa"/>
        </w:tblCellMar>
      </w:tblP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Viacom Outdoor Sports Marketing Inc.</w:t>
            </w:r>
          </w:p>
        </w:tc>
        <w:tc>
          <w:tcPr>
            <w:tcW w:w="72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Viacom Outdoor Srl</w:t>
            </w:r>
          </w:p>
        </w:tc>
        <w:tc>
          <w:tcPr>
            <w:tcW w:w="7220" w:type="dxa"/>
            <w:vAlign w:val="bottom"/>
          </w:tcPr>
          <w:p>
            <w:pPr>
              <w:ind w:left="1900"/>
              <w:spacing w:after="0"/>
              <w:rPr>
                <w:sz w:val="20"/>
                <w:szCs w:val="20"/>
                <w:color w:val="auto"/>
              </w:rPr>
            </w:pPr>
            <w:r>
              <w:rPr>
                <w:rFonts w:ascii="Arial" w:cs="Arial" w:eastAsia="Arial" w:hAnsi="Arial"/>
                <w:sz w:val="18"/>
                <w:szCs w:val="18"/>
                <w:color w:val="auto"/>
              </w:rPr>
              <w:t>Italy</w:t>
            </w: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Viacom Phoenix Inc.</w:t>
            </w:r>
          </w:p>
        </w:tc>
        <w:tc>
          <w:tcPr>
            <w:tcW w:w="72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Viacom Pictures Inc.</w:t>
            </w:r>
          </w:p>
        </w:tc>
        <w:tc>
          <w:tcPr>
            <w:tcW w:w="72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Viacom Pictures Movie Music Inc.</w:t>
            </w:r>
          </w:p>
        </w:tc>
        <w:tc>
          <w:tcPr>
            <w:tcW w:w="72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Viacom Pictures Overseas Inc.</w:t>
            </w:r>
          </w:p>
        </w:tc>
        <w:tc>
          <w:tcPr>
            <w:tcW w:w="72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432"/>
        </w:trPr>
        <w:tc>
          <w:tcPr>
            <w:tcW w:w="4200" w:type="dxa"/>
            <w:vAlign w:val="bottom"/>
          </w:tcPr>
          <w:p>
            <w:pPr>
              <w:spacing w:after="0"/>
              <w:rPr>
                <w:sz w:val="24"/>
                <w:szCs w:val="24"/>
                <w:color w:val="auto"/>
              </w:rPr>
            </w:pPr>
          </w:p>
        </w:tc>
        <w:tc>
          <w:tcPr>
            <w:tcW w:w="7220" w:type="dxa"/>
            <w:vAlign w:val="bottom"/>
          </w:tcPr>
          <w:p>
            <w:pPr>
              <w:ind w:left="1420"/>
              <w:spacing w:after="0"/>
              <w:rPr>
                <w:sz w:val="20"/>
                <w:szCs w:val="20"/>
                <w:color w:val="auto"/>
              </w:rPr>
            </w:pPr>
            <w:r>
              <w:rPr>
                <w:rFonts w:ascii="Arial" w:cs="Arial" w:eastAsia="Arial" w:hAnsi="Arial"/>
                <w:sz w:val="18"/>
                <w:szCs w:val="18"/>
                <w:color w:val="auto"/>
              </w:rPr>
              <w:t>22</w:t>
            </w:r>
          </w:p>
        </w:tc>
      </w:tr>
      <w:tr>
        <w:trPr>
          <w:trHeight w:val="228"/>
        </w:trPr>
        <w:tc>
          <w:tcPr>
            <w:tcW w:w="4200" w:type="dxa"/>
            <w:vAlign w:val="bottom"/>
            <w:tcBorders>
              <w:bottom w:val="single" w:sz="8" w:color="808080"/>
            </w:tcBorders>
          </w:tcPr>
          <w:p>
            <w:pPr>
              <w:spacing w:after="0"/>
              <w:rPr>
                <w:sz w:val="19"/>
                <w:szCs w:val="19"/>
                <w:color w:val="auto"/>
              </w:rPr>
            </w:pPr>
          </w:p>
        </w:tc>
        <w:tc>
          <w:tcPr>
            <w:tcW w:w="7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-276225</wp:posOffset>
            </wp:positionV>
            <wp:extent cx="7250430" cy="3619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250430" cy="36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212725</wp:posOffset>
            </wp:positionV>
            <wp:extent cx="7250430" cy="215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4119"/>
          </w:cols>
          <w:pgMar w:left="240" w:top="438" w:right="1440" w:bottom="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Viacom Pictures Songs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PNW Sports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Radio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Radio Sales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Realty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Receivables Funding I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Receivables Funding II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Receivables Funding III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Retail Stores,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Satellite News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Services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Shopping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Songs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Stations Group of Detroit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Stations Group of Miami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Stations Group of Oklahoma City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Stations Group of Philadelphia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Stations Group of Pittsburgh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Telecommunications (D.C.)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Viacom Television Stations Group of Dallas/Fort Worth L.P.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Viacom Television Stations Group of Los Angeles LLC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Viacom Television Stations Group of San Francisco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Viacom Television Stations Group Partner I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Television Stations Group Partner 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Television Stations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Television Station WTCN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Television Station WWHB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Tunes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UK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VHENO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 World Wide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Viacom/Westinghouse of PA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Via-Sac Music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Viper Productions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(B.C.)</w:t>
      </w:r>
    </w:p>
    <w:p>
      <w:pPr>
        <w:sectPr>
          <w:pgSz w:w="11900" w:h="16838" w:orient="portrait"/>
          <w:cols w:equalWidth="0" w:num="2">
            <w:col w:w="5380" w:space="720"/>
            <w:col w:w="4119"/>
          </w:cols>
          <w:pgMar w:left="240" w:top="438" w:right="1440" w:bottom="0" w:gutter="0" w:footer="0" w:header="0"/>
          <w:type w:val="continuous"/>
        </w:sectPr>
      </w:pPr>
    </w:p>
    <w:bookmarkStart w:id="193" w:name="page194"/>
    <w:bookmarkEnd w:id="193"/>
    <w:tbl>
      <w:tblPr>
        <w:tblLayout w:type="fixed"/>
        <w:tblInd w:w="0" w:type="dxa"/>
        <w:tblCellMar>
          <w:top w:w="0" w:type="dxa"/>
          <w:left w:w="0" w:type="dxa"/>
          <w:bottom w:w="0" w:type="dxa"/>
          <w:right w:w="0" w:type="dxa"/>
        </w:tblCellMar>
      </w:tblP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VISI Services Inc.</w:t>
            </w:r>
          </w:p>
        </w:tc>
        <w:tc>
          <w:tcPr>
            <w:tcW w:w="700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Visionair Television B.V.</w:t>
            </w:r>
          </w:p>
        </w:tc>
        <w:tc>
          <w:tcPr>
            <w:tcW w:w="7000" w:type="dxa"/>
            <w:vAlign w:val="bottom"/>
          </w:tcPr>
          <w:p>
            <w:pPr>
              <w:ind w:left="1680"/>
              <w:spacing w:after="0"/>
              <w:rPr>
                <w:sz w:val="20"/>
                <w:szCs w:val="20"/>
                <w:color w:val="auto"/>
              </w:rPr>
            </w:pPr>
            <w:r>
              <w:rPr>
                <w:rFonts w:ascii="Arial" w:cs="Arial" w:eastAsia="Arial" w:hAnsi="Arial"/>
                <w:sz w:val="18"/>
                <w:szCs w:val="18"/>
                <w:color w:val="auto"/>
              </w:rPr>
              <w:t>The Netherlands</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VIVA Connect Gmbh</w:t>
            </w:r>
          </w:p>
        </w:tc>
        <w:tc>
          <w:tcPr>
            <w:tcW w:w="7000" w:type="dxa"/>
            <w:vAlign w:val="bottom"/>
          </w:tcPr>
          <w:p>
            <w:pPr>
              <w:ind w:left="1680"/>
              <w:spacing w:after="0"/>
              <w:rPr>
                <w:sz w:val="20"/>
                <w:szCs w:val="20"/>
                <w:color w:val="auto"/>
              </w:rPr>
            </w:pPr>
            <w:r>
              <w:rPr>
                <w:rFonts w:ascii="Arial" w:cs="Arial" w:eastAsia="Arial" w:hAnsi="Arial"/>
                <w:sz w:val="18"/>
                <w:szCs w:val="18"/>
                <w:color w:val="auto"/>
              </w:rPr>
              <w:t>Germany</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VIVA Fernsehen Gmbh</w:t>
            </w:r>
          </w:p>
        </w:tc>
        <w:tc>
          <w:tcPr>
            <w:tcW w:w="7000" w:type="dxa"/>
            <w:vAlign w:val="bottom"/>
          </w:tcPr>
          <w:p>
            <w:pPr>
              <w:ind w:left="1680"/>
              <w:spacing w:after="0"/>
              <w:rPr>
                <w:sz w:val="20"/>
                <w:szCs w:val="20"/>
                <w:color w:val="auto"/>
              </w:rPr>
            </w:pPr>
            <w:r>
              <w:rPr>
                <w:rFonts w:ascii="Arial" w:cs="Arial" w:eastAsia="Arial" w:hAnsi="Arial"/>
                <w:sz w:val="18"/>
                <w:szCs w:val="18"/>
                <w:color w:val="auto"/>
              </w:rPr>
              <w:t>Germany</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VIVA Hungary Z Broadcasting Company Ltd</w:t>
            </w:r>
          </w:p>
        </w:tc>
        <w:tc>
          <w:tcPr>
            <w:tcW w:w="7000" w:type="dxa"/>
            <w:vAlign w:val="bottom"/>
          </w:tcPr>
          <w:p>
            <w:pPr>
              <w:ind w:left="1680"/>
              <w:spacing w:after="0"/>
              <w:rPr>
                <w:sz w:val="20"/>
                <w:szCs w:val="20"/>
                <w:color w:val="auto"/>
              </w:rPr>
            </w:pPr>
            <w:r>
              <w:rPr>
                <w:rFonts w:ascii="Arial" w:cs="Arial" w:eastAsia="Arial" w:hAnsi="Arial"/>
                <w:sz w:val="18"/>
                <w:szCs w:val="18"/>
                <w:color w:val="auto"/>
              </w:rPr>
              <w:t>Hungary</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VIVA Media AG</w:t>
            </w:r>
          </w:p>
        </w:tc>
        <w:tc>
          <w:tcPr>
            <w:tcW w:w="7000" w:type="dxa"/>
            <w:vAlign w:val="bottom"/>
          </w:tcPr>
          <w:p>
            <w:pPr>
              <w:ind w:left="1680"/>
              <w:spacing w:after="0"/>
              <w:rPr>
                <w:sz w:val="20"/>
                <w:szCs w:val="20"/>
                <w:color w:val="auto"/>
              </w:rPr>
            </w:pPr>
            <w:r>
              <w:rPr>
                <w:rFonts w:ascii="Arial" w:cs="Arial" w:eastAsia="Arial" w:hAnsi="Arial"/>
                <w:sz w:val="18"/>
                <w:szCs w:val="18"/>
                <w:color w:val="auto"/>
              </w:rPr>
              <w:t>Germany</w:t>
            </w:r>
          </w:p>
        </w:tc>
      </w:tr>
      <w:tr>
        <w:trPr>
          <w:trHeight w:val="432"/>
        </w:trPr>
        <w:tc>
          <w:tcPr>
            <w:tcW w:w="4420" w:type="dxa"/>
            <w:vAlign w:val="bottom"/>
          </w:tcPr>
          <w:p>
            <w:pPr>
              <w:spacing w:after="0"/>
              <w:rPr>
                <w:sz w:val="24"/>
                <w:szCs w:val="24"/>
                <w:color w:val="auto"/>
              </w:rPr>
            </w:pPr>
          </w:p>
        </w:tc>
        <w:tc>
          <w:tcPr>
            <w:tcW w:w="7000" w:type="dxa"/>
            <w:vAlign w:val="bottom"/>
          </w:tcPr>
          <w:p>
            <w:pPr>
              <w:ind w:left="1200"/>
              <w:spacing w:after="0"/>
              <w:rPr>
                <w:sz w:val="20"/>
                <w:szCs w:val="20"/>
                <w:color w:val="auto"/>
              </w:rPr>
            </w:pPr>
            <w:r>
              <w:rPr>
                <w:rFonts w:ascii="Arial" w:cs="Arial" w:eastAsia="Arial" w:hAnsi="Arial"/>
                <w:sz w:val="18"/>
                <w:szCs w:val="18"/>
                <w:color w:val="auto"/>
              </w:rPr>
              <w:t>23</w:t>
            </w:r>
          </w:p>
        </w:tc>
      </w:tr>
      <w:tr>
        <w:trPr>
          <w:trHeight w:val="228"/>
        </w:trPr>
        <w:tc>
          <w:tcPr>
            <w:tcW w:w="4420" w:type="dxa"/>
            <w:vAlign w:val="bottom"/>
            <w:tcBorders>
              <w:bottom w:val="single" w:sz="8" w:color="808080"/>
            </w:tcBorders>
          </w:tcPr>
          <w:p>
            <w:pPr>
              <w:spacing w:after="0"/>
              <w:rPr>
                <w:sz w:val="19"/>
                <w:szCs w:val="19"/>
                <w:color w:val="auto"/>
              </w:rPr>
            </w:pPr>
          </w:p>
        </w:tc>
        <w:tc>
          <w:tcPr>
            <w:tcW w:w="7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-276225</wp:posOffset>
            </wp:positionV>
            <wp:extent cx="7250430" cy="3619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250430" cy="36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212725</wp:posOffset>
            </wp:positionV>
            <wp:extent cx="7250430" cy="215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4119"/>
          </w:cols>
          <w:pgMar w:left="240" w:top="437" w:right="1440" w:bottom="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VIVA Media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VIVA Plus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VIVA Polska VIVA TV Productions Sp.o.o.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VIVA Radio Beteiligungs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VJK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VNM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VP Direct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VP Programs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VSC Compositions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VSC Music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Waste Resource Energy,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WBCE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WCC FSC I,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WCC Project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WD Productions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Western Row Properties,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Westinghouse (New Zealand)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Westinghouse Aircraft Leasing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Westinghouse Asset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Westinghouse Beverage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Westinghouse Canada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Westinghouse CBS Holdings Company,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Westinghouse Corporate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Westinghouse Electric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Westinghouse Electric Europe Coordination Center SA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Westinghouse Electric GmbH, Birsfelden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Westinghouse Foreign Sales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Westinghouse Gulf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Westinghouse Hanford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Westinghouse Holdings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Westinghouse Idaho Nuclear Company,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Westinghouse Investment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Westinghouse Licensing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Westinghouse Pictures,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Westinghouse Reinvestment Company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 (B.C.)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Barbados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UAE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5380" w:space="720"/>
            <w:col w:w="4119"/>
          </w:cols>
          <w:pgMar w:left="240" w:top="437" w:right="1440" w:bottom="0" w:gutter="0" w:footer="0" w:header="0"/>
          <w:type w:val="continuous"/>
        </w:sectPr>
      </w:pPr>
    </w:p>
    <w:bookmarkStart w:id="195" w:name="page196"/>
    <w:bookmarkEnd w:id="195"/>
    <w:tbl>
      <w:tblPr>
        <w:tblLayout w:type="fixed"/>
        <w:tblInd w:w="0" w:type="dxa"/>
        <w:tblCellMar>
          <w:top w:w="0" w:type="dxa"/>
          <w:left w:w="0" w:type="dxa"/>
          <w:bottom w:w="0" w:type="dxa"/>
          <w:right w:w="0" w:type="dxa"/>
        </w:tblCellMar>
      </w:tblPr>
      <w:tr>
        <w:trPr>
          <w:trHeight w:val="222"/>
        </w:trPr>
        <w:tc>
          <w:tcPr>
            <w:tcW w:w="5040" w:type="dxa"/>
            <w:vAlign w:val="bottom"/>
          </w:tcPr>
          <w:p>
            <w:pPr>
              <w:spacing w:after="0"/>
              <w:rPr>
                <w:sz w:val="20"/>
                <w:szCs w:val="20"/>
                <w:color w:val="auto"/>
              </w:rPr>
            </w:pPr>
            <w:r>
              <w:rPr>
                <w:rFonts w:ascii="Arial" w:cs="Arial" w:eastAsia="Arial" w:hAnsi="Arial"/>
                <w:sz w:val="18"/>
                <w:szCs w:val="18"/>
                <w:color w:val="auto"/>
                <w:w w:val="99"/>
              </w:rPr>
              <w:t>Westinghouse Wireless Communications Products, SRL de CV</w:t>
            </w:r>
          </w:p>
        </w:tc>
        <w:tc>
          <w:tcPr>
            <w:tcW w:w="6380" w:type="dxa"/>
            <w:vAlign w:val="bottom"/>
          </w:tcPr>
          <w:p>
            <w:pPr>
              <w:ind w:left="1060"/>
              <w:spacing w:after="0"/>
              <w:rPr>
                <w:sz w:val="20"/>
                <w:szCs w:val="20"/>
                <w:color w:val="auto"/>
              </w:rPr>
            </w:pPr>
            <w:r>
              <w:rPr>
                <w:rFonts w:ascii="Arial" w:cs="Arial" w:eastAsia="Arial" w:hAnsi="Arial"/>
                <w:sz w:val="18"/>
                <w:szCs w:val="18"/>
                <w:color w:val="auto"/>
              </w:rPr>
              <w:t>Mexico</w:t>
            </w: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Westinghouse World Investment Corporation</w:t>
            </w:r>
          </w:p>
        </w:tc>
        <w:tc>
          <w:tcPr>
            <w:tcW w:w="6380" w:type="dxa"/>
            <w:vAlign w:val="bottom"/>
          </w:tcPr>
          <w:p>
            <w:pPr>
              <w:ind w:left="1060"/>
              <w:spacing w:after="0"/>
              <w:rPr>
                <w:sz w:val="20"/>
                <w:szCs w:val="20"/>
                <w:color w:val="auto"/>
              </w:rPr>
            </w:pPr>
            <w:r>
              <w:rPr>
                <w:rFonts w:ascii="Arial" w:cs="Arial" w:eastAsia="Arial" w:hAnsi="Arial"/>
                <w:sz w:val="18"/>
                <w:szCs w:val="18"/>
                <w:color w:val="auto"/>
              </w:rPr>
              <w:t>Delaware</w:t>
            </w: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Westka Interactive GmbH i. L.</w:t>
            </w:r>
          </w:p>
        </w:tc>
        <w:tc>
          <w:tcPr>
            <w:tcW w:w="6380" w:type="dxa"/>
            <w:vAlign w:val="bottom"/>
          </w:tcPr>
          <w:p>
            <w:pPr>
              <w:ind w:left="1060"/>
              <w:spacing w:after="0"/>
              <w:rPr>
                <w:sz w:val="20"/>
                <w:szCs w:val="20"/>
                <w:color w:val="auto"/>
              </w:rPr>
            </w:pPr>
            <w:r>
              <w:rPr>
                <w:rFonts w:ascii="Arial" w:cs="Arial" w:eastAsia="Arial" w:hAnsi="Arial"/>
                <w:sz w:val="18"/>
                <w:szCs w:val="18"/>
                <w:color w:val="auto"/>
              </w:rPr>
              <w:t>Germany</w:t>
            </w: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W-F Productions, Inc.</w:t>
            </w:r>
          </w:p>
        </w:tc>
        <w:tc>
          <w:tcPr>
            <w:tcW w:w="6380" w:type="dxa"/>
            <w:vAlign w:val="bottom"/>
          </w:tcPr>
          <w:p>
            <w:pPr>
              <w:ind w:left="1060"/>
              <w:spacing w:after="0"/>
              <w:rPr>
                <w:sz w:val="20"/>
                <w:szCs w:val="20"/>
                <w:color w:val="auto"/>
              </w:rPr>
            </w:pPr>
            <w:r>
              <w:rPr>
                <w:rFonts w:ascii="Arial" w:cs="Arial" w:eastAsia="Arial" w:hAnsi="Arial"/>
                <w:sz w:val="18"/>
                <w:szCs w:val="18"/>
                <w:color w:val="auto"/>
              </w:rPr>
              <w:t>Delaware</w:t>
            </w: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Wilshire Court Productions, Inc.</w:t>
            </w:r>
          </w:p>
        </w:tc>
        <w:tc>
          <w:tcPr>
            <w:tcW w:w="6380" w:type="dxa"/>
            <w:vAlign w:val="bottom"/>
          </w:tcPr>
          <w:p>
            <w:pPr>
              <w:ind w:left="1060"/>
              <w:spacing w:after="0"/>
              <w:rPr>
                <w:sz w:val="20"/>
                <w:szCs w:val="20"/>
                <w:color w:val="auto"/>
              </w:rPr>
            </w:pPr>
            <w:r>
              <w:rPr>
                <w:rFonts w:ascii="Arial" w:cs="Arial" w:eastAsia="Arial" w:hAnsi="Arial"/>
                <w:sz w:val="18"/>
                <w:szCs w:val="18"/>
                <w:color w:val="auto"/>
              </w:rPr>
              <w:t>Delaware</w:t>
            </w: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Wilshire Entertainment Inc.</w:t>
            </w:r>
          </w:p>
        </w:tc>
        <w:tc>
          <w:tcPr>
            <w:tcW w:w="6380" w:type="dxa"/>
            <w:vAlign w:val="bottom"/>
          </w:tcPr>
          <w:p>
            <w:pPr>
              <w:ind w:left="1060"/>
              <w:spacing w:after="0"/>
              <w:rPr>
                <w:sz w:val="20"/>
                <w:szCs w:val="20"/>
                <w:color w:val="auto"/>
              </w:rPr>
            </w:pPr>
            <w:r>
              <w:rPr>
                <w:rFonts w:ascii="Arial" w:cs="Arial" w:eastAsia="Arial" w:hAnsi="Arial"/>
                <w:sz w:val="18"/>
                <w:szCs w:val="18"/>
                <w:color w:val="auto"/>
              </w:rPr>
              <w:t>Delaware</w:t>
            </w:r>
          </w:p>
        </w:tc>
      </w:tr>
      <w:tr>
        <w:trPr>
          <w:trHeight w:val="432"/>
        </w:trPr>
        <w:tc>
          <w:tcPr>
            <w:tcW w:w="5040" w:type="dxa"/>
            <w:vAlign w:val="bottom"/>
          </w:tcPr>
          <w:p>
            <w:pPr>
              <w:spacing w:after="0"/>
              <w:rPr>
                <w:sz w:val="24"/>
                <w:szCs w:val="24"/>
                <w:color w:val="auto"/>
              </w:rPr>
            </w:pPr>
          </w:p>
        </w:tc>
        <w:tc>
          <w:tcPr>
            <w:tcW w:w="6380" w:type="dxa"/>
            <w:vAlign w:val="bottom"/>
          </w:tcPr>
          <w:p>
            <w:pPr>
              <w:ind w:left="580"/>
              <w:spacing w:after="0"/>
              <w:rPr>
                <w:sz w:val="20"/>
                <w:szCs w:val="20"/>
                <w:color w:val="auto"/>
              </w:rPr>
            </w:pPr>
            <w:r>
              <w:rPr>
                <w:rFonts w:ascii="Arial" w:cs="Arial" w:eastAsia="Arial" w:hAnsi="Arial"/>
                <w:sz w:val="18"/>
                <w:szCs w:val="18"/>
                <w:color w:val="auto"/>
              </w:rPr>
              <w:t>24</w:t>
            </w:r>
          </w:p>
        </w:tc>
      </w:tr>
      <w:tr>
        <w:trPr>
          <w:trHeight w:val="228"/>
        </w:trPr>
        <w:tc>
          <w:tcPr>
            <w:tcW w:w="5040" w:type="dxa"/>
            <w:vAlign w:val="bottom"/>
            <w:tcBorders>
              <w:bottom w:val="single" w:sz="8" w:color="808080"/>
            </w:tcBorders>
          </w:tcPr>
          <w:p>
            <w:pPr>
              <w:spacing w:after="0"/>
              <w:rPr>
                <w:sz w:val="19"/>
                <w:szCs w:val="19"/>
                <w:color w:val="auto"/>
              </w:rPr>
            </w:pPr>
          </w:p>
        </w:tc>
        <w:tc>
          <w:tcPr>
            <w:tcW w:w="6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ind w:left="610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3619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250430" cy="36195"/>
                    </a:xfrm>
                    <a:prstGeom prst="rect">
                      <a:avLst/>
                    </a:prstGeom>
                    <a:noFill/>
                  </pic:spPr>
                </pic:pic>
              </a:graphicData>
            </a:graphic>
          </wp:anchor>
        </w:drawing>
        <w:t>Place of Incorporation</w:t>
      </w:r>
    </w:p>
    <w:p>
      <w:pPr>
        <w:spacing w:after="0" w:line="24" w:lineRule="exact"/>
        <w:rPr>
          <w:sz w:val="20"/>
          <w:szCs w:val="20"/>
          <w:color w:val="auto"/>
        </w:rPr>
      </w:pPr>
    </w:p>
    <w:p>
      <w:pPr>
        <w:spacing w:after="0"/>
        <w:tabs>
          <w:tab w:leader="none" w:pos="6220" w:val="left"/>
        </w:tabs>
        <w:rPr>
          <w:sz w:val="20"/>
          <w:szCs w:val="20"/>
          <w:color w:val="auto"/>
        </w:rPr>
      </w:pPr>
      <w:r>
        <w:rPr>
          <w:rFonts w:ascii="Arial" w:cs="Arial" w:eastAsia="Arial" w:hAnsi="Arial"/>
          <w:sz w:val="14"/>
          <w:szCs w:val="14"/>
          <w:b w:val="1"/>
          <w:bCs w:val="1"/>
          <w:color w:val="auto"/>
        </w:rPr>
        <w:t>Subsidiary Name</w:t>
      </w:r>
      <w:r>
        <w:rPr>
          <w:sz w:val="20"/>
          <w:szCs w:val="20"/>
          <w:color w:val="auto"/>
        </w:rPr>
        <w:tab/>
      </w:r>
      <w:r>
        <w:rPr>
          <w:rFonts w:ascii="Arial" w:cs="Arial" w:eastAsia="Arial" w:hAnsi="Arial"/>
          <w:sz w:val="12"/>
          <w:szCs w:val="12"/>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Wilshire/Hauser Company</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Wilson-Curtis, Inc.</w:t>
      </w:r>
      <w:r>
        <w:rPr>
          <w:sz w:val="20"/>
          <w:szCs w:val="20"/>
          <w:color w:val="auto"/>
        </w:rPr>
        <w:tab/>
      </w:r>
      <w:r>
        <w:rPr>
          <w:rFonts w:ascii="Arial" w:cs="Arial" w:eastAsia="Arial" w:hAnsi="Arial"/>
          <w:sz w:val="16"/>
          <w:szCs w:val="16"/>
          <w:color w:val="auto"/>
        </w:rPr>
        <w:t>Missouri</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Winning Productions Inc.</w:t>
      </w:r>
      <w:r>
        <w:rPr>
          <w:sz w:val="20"/>
          <w:szCs w:val="20"/>
          <w:color w:val="auto"/>
        </w:rPr>
        <w:tab/>
      </w:r>
      <w:r>
        <w:rPr>
          <w:rFonts w:ascii="Arial" w:cs="Arial" w:eastAsia="Arial" w:hAnsi="Arial"/>
          <w:sz w:val="15"/>
          <w:szCs w:val="15"/>
          <w:color w:val="auto"/>
        </w:rPr>
        <w:t>Canada (Ontario)</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Woburn Insurance Ltd.</w:t>
      </w:r>
      <w:r>
        <w:rPr>
          <w:sz w:val="20"/>
          <w:szCs w:val="20"/>
          <w:color w:val="auto"/>
        </w:rPr>
        <w:tab/>
      </w:r>
      <w:r>
        <w:rPr>
          <w:rFonts w:ascii="Arial" w:cs="Arial" w:eastAsia="Arial" w:hAnsi="Arial"/>
          <w:sz w:val="15"/>
          <w:szCs w:val="15"/>
          <w:color w:val="auto"/>
        </w:rPr>
        <w:t>Bermuda</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World Sports Enterprises</w:t>
      </w:r>
      <w:r>
        <w:rPr>
          <w:sz w:val="20"/>
          <w:szCs w:val="20"/>
          <w:color w:val="auto"/>
        </w:rPr>
        <w:tab/>
      </w:r>
      <w:r>
        <w:rPr>
          <w:rFonts w:ascii="Arial" w:cs="Arial" w:eastAsia="Arial" w:hAnsi="Arial"/>
          <w:sz w:val="14"/>
          <w:szCs w:val="14"/>
          <w:color w:val="auto"/>
        </w:rPr>
        <w:t>Tennessee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World Volleyball League, Inc.</w:t>
      </w:r>
      <w:r>
        <w:rPr>
          <w:sz w:val="20"/>
          <w:szCs w:val="20"/>
          <w:color w:val="auto"/>
        </w:rPr>
        <w:tab/>
      </w:r>
      <w:r>
        <w:rPr>
          <w:rFonts w:ascii="Arial" w:cs="Arial" w:eastAsia="Arial" w:hAnsi="Arial"/>
          <w:sz w:val="16"/>
          <w:szCs w:val="16"/>
          <w:color w:val="auto"/>
        </w:rPr>
        <w:t>New York</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Worldvision Enterprises France S.A.R.L.</w:t>
      </w:r>
      <w:r>
        <w:rPr>
          <w:sz w:val="20"/>
          <w:szCs w:val="20"/>
          <w:color w:val="auto"/>
        </w:rPr>
        <w:tab/>
      </w:r>
      <w:r>
        <w:rPr>
          <w:rFonts w:ascii="Arial" w:cs="Arial" w:eastAsia="Arial" w:hAnsi="Arial"/>
          <w:sz w:val="15"/>
          <w:szCs w:val="15"/>
          <w:color w:val="auto"/>
        </w:rPr>
        <w:t>France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Worldvision Enterprises (United Kingdom), Ltd.</w:t>
      </w:r>
      <w:r>
        <w:rPr>
          <w:sz w:val="20"/>
          <w:szCs w:val="20"/>
          <w:color w:val="auto"/>
        </w:rPr>
        <w:tab/>
      </w:r>
      <w:r>
        <w:rPr>
          <w:rFonts w:ascii="Arial" w:cs="Arial" w:eastAsia="Arial" w:hAnsi="Arial"/>
          <w:sz w:val="16"/>
          <w:szCs w:val="16"/>
          <w:color w:val="auto"/>
        </w:rPr>
        <w:t>New York</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Worldvision Enterprises de Venezuela</w:t>
      </w:r>
      <w:r>
        <w:rPr>
          <w:sz w:val="20"/>
          <w:szCs w:val="20"/>
          <w:color w:val="auto"/>
        </w:rPr>
        <w:tab/>
      </w:r>
      <w:r>
        <w:rPr>
          <w:rFonts w:ascii="Arial" w:cs="Arial" w:eastAsia="Arial" w:hAnsi="Arial"/>
          <w:sz w:val="15"/>
          <w:szCs w:val="15"/>
          <w:color w:val="auto"/>
        </w:rPr>
        <w:t>Venezuela</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Worldvision Enterprises Latino-Americana, S.A.</w:t>
      </w:r>
      <w:r>
        <w:rPr>
          <w:sz w:val="20"/>
          <w:szCs w:val="20"/>
          <w:color w:val="auto"/>
        </w:rPr>
        <w:tab/>
      </w:r>
      <w:r>
        <w:rPr>
          <w:rFonts w:ascii="Arial" w:cs="Arial" w:eastAsia="Arial" w:hAnsi="Arial"/>
          <w:sz w:val="15"/>
          <w:szCs w:val="15"/>
          <w:color w:val="auto"/>
        </w:rPr>
        <w:t>Panama</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Worldvision Enterprises of Canada, Limited</w:t>
      </w:r>
      <w:r>
        <w:rPr>
          <w:sz w:val="20"/>
          <w:szCs w:val="20"/>
          <w:color w:val="auto"/>
        </w:rPr>
        <w:tab/>
      </w:r>
      <w:r>
        <w:rPr>
          <w:rFonts w:ascii="Arial" w:cs="Arial" w:eastAsia="Arial" w:hAnsi="Arial"/>
          <w:sz w:val="16"/>
          <w:szCs w:val="16"/>
          <w:color w:val="auto"/>
        </w:rPr>
        <w:t>New York</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Worldvision Enterprises, GmbH</w:t>
      </w:r>
      <w:r>
        <w:rPr>
          <w:sz w:val="20"/>
          <w:szCs w:val="20"/>
          <w:color w:val="auto"/>
        </w:rPr>
        <w:tab/>
      </w:r>
      <w:r>
        <w:rPr>
          <w:rFonts w:ascii="Arial" w:cs="Arial" w:eastAsia="Arial" w:hAnsi="Arial"/>
          <w:sz w:val="16"/>
          <w:szCs w:val="16"/>
          <w:color w:val="auto"/>
        </w:rPr>
        <w:t>Germany</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Worldvision Enterprises, Inc.</w:t>
      </w:r>
      <w:r>
        <w:rPr>
          <w:sz w:val="20"/>
          <w:szCs w:val="20"/>
          <w:color w:val="auto"/>
        </w:rPr>
        <w:tab/>
      </w:r>
      <w:r>
        <w:rPr>
          <w:rFonts w:ascii="Arial" w:cs="Arial" w:eastAsia="Arial" w:hAnsi="Arial"/>
          <w:sz w:val="16"/>
          <w:szCs w:val="16"/>
          <w:color w:val="auto"/>
        </w:rPr>
        <w:t>New York</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Worldvision Filmes do Brasil, Ltda.</w:t>
      </w:r>
      <w:r>
        <w:rPr>
          <w:sz w:val="20"/>
          <w:szCs w:val="20"/>
          <w:color w:val="auto"/>
        </w:rPr>
        <w:tab/>
      </w:r>
      <w:r>
        <w:rPr>
          <w:rFonts w:ascii="Arial" w:cs="Arial" w:eastAsia="Arial" w:hAnsi="Arial"/>
          <w:sz w:val="16"/>
          <w:szCs w:val="16"/>
          <w:color w:val="auto"/>
        </w:rPr>
        <w:t>Brazil</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Worldvision Foreign Sales Corporation</w:t>
      </w:r>
      <w:r>
        <w:rPr>
          <w:sz w:val="20"/>
          <w:szCs w:val="20"/>
          <w:color w:val="auto"/>
        </w:rPr>
        <w:tab/>
      </w:r>
      <w:r>
        <w:rPr>
          <w:rFonts w:ascii="Arial" w:cs="Arial" w:eastAsia="Arial" w:hAnsi="Arial"/>
          <w:sz w:val="16"/>
          <w:szCs w:val="16"/>
          <w:color w:val="auto"/>
        </w:rPr>
        <w:t>Virgin Islands</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Worldvision Home Video, Inc.</w:t>
      </w:r>
      <w:r>
        <w:rPr>
          <w:sz w:val="20"/>
          <w:szCs w:val="20"/>
          <w:color w:val="auto"/>
        </w:rPr>
        <w:tab/>
      </w:r>
      <w:r>
        <w:rPr>
          <w:rFonts w:ascii="Arial" w:cs="Arial" w:eastAsia="Arial" w:hAnsi="Arial"/>
          <w:sz w:val="16"/>
          <w:szCs w:val="16"/>
          <w:color w:val="auto"/>
        </w:rPr>
        <w:t>New York</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Worldwide MSP Limited</w:t>
      </w:r>
      <w:r>
        <w:rPr>
          <w:sz w:val="20"/>
          <w:szCs w:val="20"/>
          <w:color w:val="auto"/>
        </w:rPr>
        <w:tab/>
      </w:r>
      <w:r>
        <w:rPr>
          <w:rFonts w:ascii="Arial" w:cs="Arial" w:eastAsia="Arial" w:hAnsi="Arial"/>
          <w:sz w:val="16"/>
          <w:szCs w:val="16"/>
          <w:color w:val="auto"/>
        </w:rPr>
        <w:t>United Kingdom</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Worldwide Productions,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WPIC Corporation</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WT Animal Music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WT Productions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WV Productions,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WVI Films B.V.</w:t>
      </w:r>
      <w:r>
        <w:rPr>
          <w:sz w:val="20"/>
          <w:szCs w:val="20"/>
          <w:color w:val="auto"/>
        </w:rPr>
        <w:tab/>
      </w:r>
      <w:r>
        <w:rPr>
          <w:rFonts w:ascii="Arial" w:cs="Arial" w:eastAsia="Arial" w:hAnsi="Arial"/>
          <w:sz w:val="15"/>
          <w:szCs w:val="15"/>
          <w:color w:val="auto"/>
        </w:rPr>
        <w:t>The Netherlands</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Yellams LDC</w:t>
      </w:r>
      <w:r>
        <w:rPr>
          <w:sz w:val="20"/>
          <w:szCs w:val="20"/>
          <w:color w:val="auto"/>
        </w:rPr>
        <w:tab/>
      </w:r>
      <w:r>
        <w:rPr>
          <w:rFonts w:ascii="Arial" w:cs="Arial" w:eastAsia="Arial" w:hAnsi="Arial"/>
          <w:sz w:val="15"/>
          <w:szCs w:val="15"/>
          <w:color w:val="auto"/>
        </w:rPr>
        <w:t>Cayman Islands</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York Resource Energy Systems,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Young Reader's Press, Inc.</w:t>
      </w:r>
      <w:r>
        <w:rPr>
          <w:sz w:val="20"/>
          <w:szCs w:val="20"/>
          <w:color w:val="auto"/>
        </w:rPr>
        <w:tab/>
      </w:r>
      <w:r>
        <w:rPr>
          <w:rFonts w:ascii="Arial" w:cs="Arial" w:eastAsia="Arial" w:hAnsi="Arial"/>
          <w:sz w:val="16"/>
          <w:szCs w:val="16"/>
          <w:color w:val="auto"/>
        </w:rPr>
        <w:t>Delaware</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YP Productions Inc.</w:t>
      </w:r>
      <w:r>
        <w:rPr>
          <w:sz w:val="20"/>
          <w:szCs w:val="20"/>
          <w:color w:val="auto"/>
        </w:rPr>
        <w:tab/>
      </w:r>
      <w:r>
        <w:rPr>
          <w:rFonts w:ascii="Arial" w:cs="Arial" w:eastAsia="Arial" w:hAnsi="Arial"/>
          <w:sz w:val="15"/>
          <w:szCs w:val="15"/>
          <w:color w:val="auto"/>
        </w:rPr>
        <w:t>Canada (Ontario)</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Zarina 99 Vermogensverwaltungesellschaft GmbH</w:t>
      </w:r>
      <w:r>
        <w:rPr>
          <w:sz w:val="20"/>
          <w:szCs w:val="20"/>
          <w:color w:val="auto"/>
        </w:rPr>
        <w:tab/>
      </w:r>
      <w:r>
        <w:rPr>
          <w:rFonts w:ascii="Arial" w:cs="Arial" w:eastAsia="Arial" w:hAnsi="Arial"/>
          <w:sz w:val="16"/>
          <w:szCs w:val="16"/>
          <w:color w:val="auto"/>
        </w:rPr>
        <w:t>Germany</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Zone Broadcasting Showtime (Turkey) Limited</w:t>
      </w:r>
      <w:r>
        <w:rPr>
          <w:sz w:val="20"/>
          <w:szCs w:val="20"/>
          <w:color w:val="auto"/>
        </w:rPr>
        <w:tab/>
      </w:r>
      <w:r>
        <w:rPr>
          <w:rFonts w:ascii="Arial" w:cs="Arial" w:eastAsia="Arial" w:hAnsi="Arial"/>
          <w:sz w:val="16"/>
          <w:szCs w:val="16"/>
          <w:color w:val="auto"/>
        </w:rPr>
        <w:t>United Kingdom</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Zoo Films LLC</w:t>
      </w:r>
      <w:r>
        <w:rPr>
          <w:sz w:val="20"/>
          <w:szCs w:val="20"/>
          <w:color w:val="auto"/>
        </w:rPr>
        <w:tab/>
      </w:r>
      <w:r>
        <w:rPr>
          <w:rFonts w:ascii="Arial" w:cs="Arial" w:eastAsia="Arial" w:hAnsi="Arial"/>
          <w:sz w:val="16"/>
          <w:szCs w:val="16"/>
          <w:color w:val="auto"/>
        </w:rPr>
        <w:t>Delaware</w:t>
      </w:r>
    </w:p>
    <w:p>
      <w:pPr>
        <w:sectPr>
          <w:pgSz w:w="11900" w:h="16838" w:orient="portrait"/>
          <w:cols w:equalWidth="0" w:num="1">
            <w:col w:w="10219"/>
          </w:cols>
          <w:pgMar w:left="240" w:top="437" w:right="1440"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37" w:right="1440" w:bottom="1440" w:gutter="0" w:footer="0" w:header="0"/>
          <w:type w:val="continuous"/>
        </w:sectPr>
      </w:pPr>
    </w:p>
    <w:bookmarkStart w:id="197" w:name="page198"/>
    <w:bookmarkEnd w:id="19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23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hereby consent to the incorporation by reference in the Registration Statements on Forms S-3 (No. 333-52728 and No. 333-62052) and Forms S-8 (No. 333-108105, No. 33-41934, No. 33-55173, No. 33-55709, No. 33-56088, No. 33-59049, No. 33-59141, No. 33-60943, No. 333-34125, No. 333-36440, No. 333-42987, No. 333-55346, No. 333-75752, No. 333-82422, No. 333-88613 and No. 333-116918) of Viacom Inc. of our report dated March 15, 2005, relating to the financial statements, financial statement schedule, management's assessment of the effectiveness of internal control over financial reporting and the effectiveness of internal control over financial reporting, which appears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99" w:name="page200"/>
    <w:bookmarkEnd w:id="19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2004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2005.</w:t>
      </w:r>
    </w:p>
    <w:p>
      <w:pPr>
        <w:spacing w:after="0" w:line="35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GEORGE S.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George S.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1" w:name="page202"/>
    <w:bookmarkEnd w:id="201"/>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2004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2005.</w:t>
      </w:r>
    </w:p>
    <w:p>
      <w:pPr>
        <w:spacing w:after="0" w:line="35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DAVID R. ANDELMAN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David R. Andelman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02" w:name="page203"/>
    <w:bookmarkEnd w:id="202"/>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2004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2005.</w:t>
      </w:r>
    </w:p>
    <w:p>
      <w:pPr>
        <w:spacing w:after="0" w:line="35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JOSEPH A. CALIFANO,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Joseph A. Califano,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6" w:right="439" w:bottom="1440" w:gutter="0" w:footer="0" w:header="0"/>
        </w:sectPr>
      </w:pPr>
    </w:p>
    <w:bookmarkStart w:id="203" w:name="page204"/>
    <w:bookmarkEnd w:id="203"/>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2004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2005.</w:t>
      </w:r>
    </w:p>
    <w:p>
      <w:pPr>
        <w:spacing w:after="0" w:line="35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WILLIAM S.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William S.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04" w:name="page205"/>
    <w:bookmarkEnd w:id="204"/>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2004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2005.</w:t>
      </w:r>
    </w:p>
    <w:p>
      <w:pPr>
        <w:spacing w:after="0" w:line="35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 PHILIPPE P. DAUMAN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77470</wp:posOffset>
            </wp:positionV>
            <wp:extent cx="2919730" cy="215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2919730" cy="21590"/>
                    </a:xfrm>
                    <a:prstGeom prst="rect">
                      <a:avLst/>
                    </a:prstGeom>
                    <a:noFill/>
                  </pic:spPr>
                </pic:pic>
              </a:graphicData>
            </a:graphic>
          </wp:anchor>
        </w:drawing>
      </w:r>
    </w:p>
    <w:p>
      <w:pPr>
        <w:spacing w:after="0" w:line="23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Philippe P. Dauman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05" w:name="page206"/>
    <w:bookmarkEnd w:id="205"/>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2004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2005.</w:t>
      </w:r>
    </w:p>
    <w:p>
      <w:pPr>
        <w:spacing w:after="0" w:line="35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 ALAN C.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77470</wp:posOffset>
            </wp:positionV>
            <wp:extent cx="2919730" cy="215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2919730" cy="21590"/>
                    </a:xfrm>
                    <a:prstGeom prst="rect">
                      <a:avLst/>
                    </a:prstGeom>
                    <a:noFill/>
                  </pic:spPr>
                </pic:pic>
              </a:graphicData>
            </a:graphic>
          </wp:anchor>
        </w:drawing>
      </w:r>
    </w:p>
    <w:p>
      <w:pPr>
        <w:spacing w:after="0" w:line="23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Alan C.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06" w:name="page207"/>
    <w:bookmarkEnd w:id="206"/>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2004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2005.</w:t>
      </w:r>
    </w:p>
    <w:p>
      <w:pPr>
        <w:spacing w:after="0" w:line="35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 JAN LESCHLY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77470</wp:posOffset>
            </wp:positionV>
            <wp:extent cx="2919730" cy="215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2919730" cy="21590"/>
                    </a:xfrm>
                    <a:prstGeom prst="rect">
                      <a:avLst/>
                    </a:prstGeom>
                    <a:noFill/>
                  </pic:spPr>
                </pic:pic>
              </a:graphicData>
            </a:graphic>
          </wp:anchor>
        </w:drawing>
      </w:r>
    </w:p>
    <w:p>
      <w:pPr>
        <w:spacing w:after="0" w:line="23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Jan Leschly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07" w:name="page208"/>
    <w:bookmarkEnd w:id="207"/>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2004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2005.</w:t>
      </w:r>
    </w:p>
    <w:p>
      <w:pPr>
        <w:spacing w:after="0" w:line="35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 CHARLES E. PHILLIPS,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77470</wp:posOffset>
            </wp:positionV>
            <wp:extent cx="2919730" cy="215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2919730" cy="21590"/>
                    </a:xfrm>
                    <a:prstGeom prst="rect">
                      <a:avLst/>
                    </a:prstGeom>
                    <a:noFill/>
                  </pic:spPr>
                </pic:pic>
              </a:graphicData>
            </a:graphic>
          </wp:anchor>
        </w:drawing>
      </w:r>
    </w:p>
    <w:p>
      <w:pPr>
        <w:spacing w:after="0" w:line="23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Charles E. Phillips,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6" w:right="439" w:bottom="1440" w:gutter="0" w:footer="0" w:header="0"/>
        </w:sectPr>
      </w:pPr>
    </w:p>
    <w:bookmarkStart w:id="208" w:name="page209"/>
    <w:bookmarkEnd w:id="208"/>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her true and lawful attorney-in-fact and agent, with full power of substitution and resubstitution, for her and in her name, place and stead, in any and all capacities, to sign the Company's Annual Report on Form 10-K for the fiscal year ended December 31, 2004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his substitute or substitutes, shall lawfully do or cause to be done by virtue hereof.</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2005.</w:t>
      </w:r>
    </w:p>
    <w:p>
      <w:pPr>
        <w:spacing w:after="0" w:line="35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09" w:name="page210"/>
    <w:bookmarkEnd w:id="209"/>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2004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2005.</w:t>
      </w:r>
    </w:p>
    <w:p>
      <w:pPr>
        <w:spacing w:after="0" w:line="35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FREDERIC V.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Frederic V.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10" w:name="page211"/>
    <w:bookmarkEnd w:id="210"/>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2004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2005.</w:t>
      </w:r>
    </w:p>
    <w:p>
      <w:pPr>
        <w:spacing w:after="0" w:line="35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WILLIAM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William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11" w:name="page212"/>
    <w:bookmarkEnd w:id="211"/>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her true and lawful attorney-in-fact and agent, with full power of substitution and resubstitution, for her and in her name, place and stead, in any and all capacities, to sign the Company's Annual Report on Form 10-K for the fiscal year ended December 31, 2004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his substitute or substitutes, shall lawfully do or cause to be done by virtue hereof.</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2005.</w:t>
      </w:r>
    </w:p>
    <w:p>
      <w:pPr>
        <w:spacing w:after="0" w:line="35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PATTY STONESIFER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Patty Stonesifer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12" w:name="page213"/>
    <w:bookmarkEnd w:id="212"/>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2004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2005.</w:t>
      </w:r>
    </w:p>
    <w:p>
      <w:pPr>
        <w:spacing w:after="0" w:line="35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ROBERT D.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Robert D.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13" w:name="page214"/>
    <w:bookmarkEnd w:id="2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Sumner M. Redstone, certify that:</w:t>
      </w:r>
    </w:p>
    <w:p>
      <w:pPr>
        <w:spacing w:after="0" w:line="239" w:lineRule="exact"/>
        <w:rPr>
          <w:sz w:val="20"/>
          <w:szCs w:val="20"/>
          <w:color w:val="auto"/>
        </w:rPr>
      </w:pPr>
    </w:p>
    <w:p>
      <w:pPr>
        <w:ind w:left="540" w:hanging="532"/>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Viacom Inc.;</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8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60" w:hanging="532"/>
        <w:spacing w:after="0" w:line="332" w:lineRule="auto"/>
        <w:tabs>
          <w:tab w:leader="none" w:pos="1080" w:val="left"/>
        </w:tabs>
        <w:numPr>
          <w:ilvl w:val="1"/>
          <w:numId w:val="8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560" w:hanging="532"/>
        <w:spacing w:after="0" w:line="332" w:lineRule="auto"/>
        <w:tabs>
          <w:tab w:leader="none" w:pos="5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2005</w:t>
      </w:r>
    </w:p>
    <w:p>
      <w:pPr>
        <w:spacing w:after="0" w:line="200" w:lineRule="exact"/>
        <w:rPr>
          <w:sz w:val="20"/>
          <w:szCs w:val="20"/>
          <w:color w:val="auto"/>
        </w:rPr>
      </w:pPr>
    </w:p>
    <w:p>
      <w:pPr>
        <w:spacing w:after="0" w:line="23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81280</wp:posOffset>
            </wp:positionV>
            <wp:extent cx="3914775" cy="215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Sumner M. Redstone</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5" w:name="page216"/>
    <w:bookmarkEnd w:id="2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Richard J. Bressler, certify that:</w:t>
      </w:r>
    </w:p>
    <w:p>
      <w:pPr>
        <w:spacing w:after="0" w:line="239" w:lineRule="exact"/>
        <w:rPr>
          <w:sz w:val="20"/>
          <w:szCs w:val="20"/>
          <w:color w:val="auto"/>
        </w:rPr>
      </w:pPr>
    </w:p>
    <w:p>
      <w:pPr>
        <w:ind w:left="540" w:hanging="532"/>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Viacom Inc.;</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8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60" w:hanging="532"/>
        <w:spacing w:after="0" w:line="332" w:lineRule="auto"/>
        <w:tabs>
          <w:tab w:leader="none" w:pos="10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560" w:hanging="532"/>
        <w:spacing w:after="0" w:line="332" w:lineRule="auto"/>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2005</w:t>
      </w:r>
    </w:p>
    <w:p>
      <w:pPr>
        <w:spacing w:after="0" w:line="200" w:lineRule="exact"/>
        <w:rPr>
          <w:sz w:val="20"/>
          <w:szCs w:val="20"/>
          <w:color w:val="auto"/>
        </w:rPr>
      </w:pPr>
    </w:p>
    <w:p>
      <w:pPr>
        <w:spacing w:after="0" w:line="23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RICHARD J. BRESSLER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81280</wp:posOffset>
            </wp:positionV>
            <wp:extent cx="3837305" cy="215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3837305" cy="21590"/>
                    </a:xfrm>
                    <a:prstGeom prst="rect">
                      <a:avLst/>
                    </a:prstGeom>
                    <a:noFill/>
                  </pic:spPr>
                </pic:pic>
              </a:graphicData>
            </a:graphic>
          </wp:anchor>
        </w:drawing>
      </w:r>
    </w:p>
    <w:p>
      <w:pPr>
        <w:spacing w:after="0" w:line="23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Richard J. Bressler</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Senior Executive Vice President and</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7" w:name="page218"/>
    <w:bookmarkEnd w:id="21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In connection with the Annual Report of Viacom Inc. (the "Company") on Form 10-K for the period ending December 31, 2004 as filed with the Securities and Exchange Commission (the "Report"), I, Sumner M. Redstone, Chief Executive Officer of the Company, certify that to my knowledge:</w:t>
      </w:r>
    </w:p>
    <w:p>
      <w:pPr>
        <w:spacing w:after="0" w:line="153"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902585" cy="215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Sumner M. Redstone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2005</w:t>
      </w:r>
    </w:p>
    <w:p>
      <w:pPr>
        <w:spacing w:after="0" w:line="219"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This written statement is being furnished to the Securities and Exchange Commission as an exhibit to the Report. A signed original of this written statement required by Section 906 has been provided to Viacom Inc. and will be retained by Viacom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9" w:name="page220"/>
    <w:bookmarkEnd w:id="2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In connection with the Annual Report of Viacom Inc. (the "Company") on Form 10-K for the period ending December 31, 2004 as filed with the Securities and Exchange Commission (the "Report"), I, Richard J. Bressler, Chief Financial Officer of the Company, certify that to my knowledge:</w:t>
      </w:r>
    </w:p>
    <w:p>
      <w:pPr>
        <w:spacing w:after="0" w:line="153"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RICHARD J. BRESSLER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902585" cy="215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Richard J. Bressler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2005</w:t>
      </w:r>
    </w:p>
    <w:p>
      <w:pPr>
        <w:spacing w:after="0" w:line="219"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This written statement is being furnished to the Securities and Exchange Commission as an exhibit to the Report. A signed original of this written statement required by Section 906 has been provided to Viacom Inc. and will be retained by Viacom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1" w:name="page222"/>
    <w:bookmarkEnd w:id="2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o"/>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1)"/>
      <w:numFmt w:val="decimal"/>
      <w:start w:val="1"/>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1)"/>
      <w:numFmt w:val="lowerLetter"/>
      <w:start w:val="1"/>
    </w:lvl>
  </w:abstractNum>
  <w:abstractNum w:abstractNumId="6">
    <w:nsid w:val="38437FDB"/>
    <w:multiLevelType w:val="hybridMultilevel"/>
    <w:lvl w:ilvl="0">
      <w:lvlJc w:val="left"/>
      <w:lvlText w:val="(%1)"/>
      <w:numFmt w:val="lowerLetter"/>
      <w:start w:val="3"/>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1)"/>
      <w:numFmt w:val="lowerLetter"/>
      <w:start w:val="1"/>
    </w:lvl>
  </w:abstractNum>
  <w:abstractNum w:abstractNumId="11">
    <w:nsid w:val="749ABB43"/>
    <w:multiLevelType w:val="hybridMultilevel"/>
    <w:lvl w:ilvl="0">
      <w:lvlJc w:val="left"/>
      <w:lvlText w:val="(%1)"/>
      <w:numFmt w:val="decimal"/>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1)"/>
      <w:numFmt w:val="lowerLetter"/>
      <w:start w:val="1"/>
    </w:lvl>
  </w:abstractNum>
  <w:abstractNum w:abstractNumId="18">
    <w:nsid w:val="520EEDD1"/>
    <w:multiLevelType w:val="hybridMultilevel"/>
    <w:lvl w:ilvl="0">
      <w:lvlJc w:val="left"/>
      <w:lvlText w:val="(%1)"/>
      <w:numFmt w:val="lowerLetter"/>
      <w:start w:val="1"/>
    </w:lvl>
  </w:abstractNum>
  <w:abstractNum w:abstractNumId="19">
    <w:nsid w:val="374A3FE6"/>
    <w:multiLevelType w:val="hybridMultilevel"/>
    <w:lvl w:ilvl="0">
      <w:lvlJc w:val="left"/>
      <w:lvlText w:val="%1)"/>
      <w:numFmt w:val="decimal"/>
      <w:start w:val="11"/>
    </w:lvl>
  </w:abstractNum>
  <w:abstractNum w:abstractNumId="20">
    <w:nsid w:val="4F4EF005"/>
    <w:multiLevelType w:val="hybridMultilevel"/>
    <w:lvl w:ilvl="0">
      <w:lvlJc w:val="left"/>
      <w:lvlText w:val="%1)"/>
      <w:numFmt w:val="decimal"/>
      <w:start w:val="11"/>
    </w:lvl>
  </w:abstractNum>
  <w:abstractNum w:abstractNumId="21">
    <w:nsid w:val="23F9C13C"/>
    <w:multiLevelType w:val="hybridMultilevel"/>
    <w:lvl w:ilvl="0">
      <w:lvlJc w:val="left"/>
      <w:lvlText w:val="%1)"/>
      <w:numFmt w:val="decimal"/>
      <w:start w:val="11"/>
    </w:lvl>
  </w:abstractNum>
  <w:abstractNum w:abstractNumId="22">
    <w:nsid w:val="649BB77C"/>
    <w:multiLevelType w:val="hybridMultilevel"/>
    <w:lvl w:ilvl="0">
      <w:lvlJc w:val="left"/>
      <w:lvlText w:val="%1)"/>
      <w:numFmt w:val="decimal"/>
      <w:start w:val="12"/>
    </w:lvl>
  </w:abstractNum>
  <w:abstractNum w:abstractNumId="23">
    <w:nsid w:val="275AC794"/>
    <w:multiLevelType w:val="hybridMultilevel"/>
    <w:lvl w:ilvl="0">
      <w:lvlJc w:val="left"/>
      <w:lvlText w:val="%1)"/>
      <w:numFmt w:val="decimal"/>
      <w:start w:val="12"/>
    </w:lvl>
  </w:abstractNum>
  <w:abstractNum w:abstractNumId="24">
    <w:nsid w:val="39386575"/>
    <w:multiLevelType w:val="hybridMultilevel"/>
    <w:lvl w:ilvl="0">
      <w:lvlJc w:val="left"/>
      <w:lvlText w:val="%1)"/>
      <w:numFmt w:val="decimal"/>
      <w:start w:val="12"/>
    </w:lvl>
  </w:abstractNum>
  <w:abstractNum w:abstractNumId="25">
    <w:nsid w:val="1CF10FD8"/>
    <w:multiLevelType w:val="hybridMultilevel"/>
    <w:lvl w:ilvl="0">
      <w:lvlJc w:val="left"/>
      <w:lvlText w:val="(%1)"/>
      <w:numFmt w:val="decimal"/>
      <w:start w:val="1"/>
    </w:lvl>
  </w:abstractNum>
  <w:abstractNum w:abstractNumId="26">
    <w:nsid w:val="180115BE"/>
    <w:multiLevelType w:val="hybridMultilevel"/>
    <w:lvl w:ilvl="0">
      <w:lvlJc w:val="left"/>
      <w:lvlText w:val="%1)"/>
      <w:numFmt w:val="decimal"/>
      <w:start w:val="12"/>
    </w:lvl>
  </w:abstractNum>
  <w:abstractNum w:abstractNumId="27">
    <w:nsid w:val="235BA861"/>
    <w:multiLevelType w:val="hybridMultilevel"/>
    <w:lvl w:ilvl="0">
      <w:lvlJc w:val="left"/>
      <w:lvlText w:val="(%1)"/>
      <w:numFmt w:val="lowerLetter"/>
      <w:start w:val="1"/>
    </w:lvl>
  </w:abstractNum>
  <w:abstractNum w:abstractNumId="28">
    <w:nsid w:val="47398C89"/>
    <w:multiLevelType w:val="hybridMultilevel"/>
    <w:lvl w:ilvl="0">
      <w:lvlJc w:val="left"/>
      <w:lvlText w:val="(%1)"/>
      <w:numFmt w:val="lowerLetter"/>
      <w:start w:val="1"/>
    </w:lvl>
  </w:abstractNum>
  <w:abstractNum w:abstractNumId="29">
    <w:nsid w:val="354FE9F9"/>
    <w:multiLevelType w:val="hybridMultilevel"/>
    <w:lvl w:ilvl="0">
      <w:lvlJc w:val="left"/>
      <w:lvlText w:val="%1"/>
      <w:numFmt w:val="decimal"/>
      <w:start w:val="1"/>
    </w:lvl>
    <w:lvl w:ilvl="1">
      <w:lvlJc w:val="left"/>
      <w:lvlText w:val="(%2)"/>
      <w:numFmt w:val="lowerLetter"/>
      <w:start w:val="1"/>
    </w:lvl>
  </w:abstractNum>
  <w:abstractNum w:abstractNumId="30">
    <w:nsid w:val="15B5AF5C"/>
    <w:multiLevelType w:val="hybridMultilevel"/>
    <w:lvl w:ilvl="0">
      <w:lvlJc w:val="left"/>
      <w:lvlText w:val="%1)"/>
      <w:numFmt w:val="decimal"/>
      <w:start w:val="15"/>
    </w:lvl>
    <w:lvl w:ilvl="1">
      <w:lvlJc w:val="left"/>
      <w:lvlText w:val="%2"/>
      <w:numFmt w:val="lowerLetter"/>
      <w:start w:val="1"/>
    </w:lvl>
  </w:abstractNum>
  <w:abstractNum w:abstractNumId="31">
    <w:nsid w:val="741226BB"/>
    <w:multiLevelType w:val="hybridMultilevel"/>
    <w:lvl w:ilvl="0">
      <w:lvlJc w:val="left"/>
      <w:lvlText w:val="(%1)"/>
      <w:numFmt w:val="lowerLetter"/>
      <w:start w:val="1"/>
    </w:lvl>
  </w:abstractNum>
  <w:abstractNum w:abstractNumId="32">
    <w:nsid w:val="D34B6A8"/>
    <w:multiLevelType w:val="hybridMultilevel"/>
    <w:lvl w:ilvl="0">
      <w:lvlJc w:val="left"/>
      <w:lvlText w:val="(%1)"/>
      <w:numFmt w:val="lowerLetter"/>
      <w:start w:val="1"/>
    </w:lvl>
  </w:abstractNum>
  <w:abstractNum w:abstractNumId="33">
    <w:nsid w:val="10233C99"/>
    <w:multiLevelType w:val="hybridMultilevel"/>
    <w:lvl w:ilvl="0">
      <w:lvlJc w:val="left"/>
      <w:lvlText w:val="%1."/>
      <w:numFmt w:val="decimal"/>
      <w:start w:val="1"/>
    </w:lvl>
  </w:abstractNum>
  <w:abstractNum w:abstractNumId="34">
    <w:nsid w:val="3F6AB60F"/>
    <w:multiLevelType w:val="hybridMultilevel"/>
    <w:lvl w:ilvl="0">
      <w:lvlJc w:val="left"/>
      <w:lvlText w:val="%1."/>
      <w:numFmt w:val="decimal"/>
      <w:start w:val="2"/>
    </w:lvl>
  </w:abstractNum>
  <w:abstractNum w:abstractNumId="35">
    <w:nsid w:val="61574095"/>
    <w:multiLevelType w:val="hybridMultilevel"/>
    <w:lvl w:ilvl="0">
      <w:lvlJc w:val="left"/>
      <w:lvlText w:val="%1."/>
      <w:numFmt w:val="decimal"/>
      <w:start w:val="3"/>
    </w:lvl>
  </w:abstractNum>
  <w:abstractNum w:abstractNumId="36">
    <w:nsid w:val="7E0C57B1"/>
    <w:multiLevelType w:val="hybridMultilevel"/>
    <w:lvl w:ilvl="0">
      <w:lvlJc w:val="left"/>
      <w:lvlText w:val="(%1)"/>
      <w:numFmt w:val="lowerLetter"/>
      <w:start w:val="2"/>
    </w:lvl>
  </w:abstractNum>
  <w:abstractNum w:abstractNumId="37">
    <w:nsid w:val="77AE35EB"/>
    <w:multiLevelType w:val="hybridMultilevel"/>
    <w:lvl w:ilvl="0">
      <w:lvlJc w:val="left"/>
      <w:lvlText w:val="(%1)"/>
      <w:numFmt w:val="lowerLetter"/>
      <w:start w:val="1"/>
    </w:lvl>
  </w:abstractNum>
  <w:abstractNum w:abstractNumId="38">
    <w:nsid w:val="579BE4F1"/>
    <w:multiLevelType w:val="hybridMultilevel"/>
    <w:lvl w:ilvl="0">
      <w:lvlJc w:val="left"/>
      <w:lvlText w:val="(%1)"/>
      <w:numFmt w:val="lowerLetter"/>
      <w:start w:val="1"/>
    </w:lvl>
  </w:abstractNum>
  <w:abstractNum w:abstractNumId="39">
    <w:nsid w:val="310C50B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42">
    <w:nsid w:val="25A70BF7"/>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43">
    <w:nsid w:val="1DBABF00"/>
    <w:multiLevelType w:val="hybridMultilevel"/>
    <w:lvl w:ilvl="0">
      <w:lvlJc w:val="left"/>
      <w:lvlText w:val="*"/>
      <w:numFmt w:val="bullet"/>
      <w:start w:val="1"/>
    </w:lvl>
    <w:lvl w:ilvl="1">
      <w:lvlJc w:val="left"/>
      <w:lvlText w:val="(%2)"/>
      <w:numFmt w:val="lowerLetter"/>
      <w:start w:val="8"/>
    </w:lvl>
    <w:lvl w:ilvl="2">
      <w:lvlJc w:val="left"/>
      <w:lvlText w:val="(%3)"/>
      <w:numFmt w:val="lowerRoman"/>
      <w:start w:val="1"/>
    </w:lvl>
  </w:abstractNum>
  <w:abstractNum w:abstractNumId="44">
    <w:nsid w:val="4AD084E9"/>
    <w:multiLevelType w:val="hybridMultilevel"/>
    <w:lvl w:ilvl="0">
      <w:lvlJc w:val="left"/>
      <w:lvlText w:val="*"/>
      <w:numFmt w:val="bullet"/>
      <w:start w:val="1"/>
    </w:lvl>
    <w:lvl w:ilvl="1">
      <w:lvlJc w:val="left"/>
      <w:lvlText w:val="(%2)"/>
      <w:numFmt w:val="lowerLetter"/>
      <w:start w:val="17"/>
    </w:lvl>
    <w:lvl w:ilvl="2">
      <w:lvlJc w:val="left"/>
      <w:lvlText w:val="(%3)"/>
      <w:numFmt w:val="lowerRoman"/>
      <w:start w:val="1"/>
    </w:lvl>
  </w:abstractNum>
  <w:abstractNum w:abstractNumId="45">
    <w:nsid w:val="1F48EAA1"/>
    <w:multiLevelType w:val="hybridMultilevel"/>
    <w:lvl w:ilvl="0">
      <w:lvlJc w:val="left"/>
      <w:lvlText w:val="%1"/>
      <w:numFmt w:val="lowerLetter"/>
      <w:start w:val="1"/>
    </w:lvl>
    <w:lvl w:ilvl="1">
      <w:lvlJc w:val="left"/>
      <w:lvlText w:val="(%2)"/>
      <w:numFmt w:val="lowerRoman"/>
      <w:start w:val="7"/>
    </w:lvl>
  </w:abstractNum>
  <w:abstractNum w:abstractNumId="46">
    <w:nsid w:val="1381823A"/>
    <w:multiLevelType w:val="hybridMultilevel"/>
    <w:lvl w:ilvl="0">
      <w:lvlJc w:val="left"/>
      <w:lvlText w:val="(%1)"/>
      <w:numFmt w:val="lowerLetter"/>
      <w:start w:val="24"/>
    </w:lvl>
    <w:lvl w:ilvl="1">
      <w:lvlJc w:val="left"/>
      <w:lvlText w:val="%2"/>
      <w:numFmt w:val="lowerRoman"/>
      <w:start w:val="1"/>
    </w:lvl>
  </w:abstractNum>
  <w:abstractNum w:abstractNumId="47">
    <w:nsid w:val="5DB70AE5"/>
    <w:multiLevelType w:val="hybridMultilevel"/>
    <w:lvl w:ilvl="0">
      <w:lvlJc w:val="left"/>
      <w:lvlText w:val="*"/>
      <w:numFmt w:val="bullet"/>
      <w:start w:val="1"/>
    </w:lvl>
    <w:lvl w:ilvl="1">
      <w:lvlJc w:val="left"/>
      <w:lvlText w:val="(%2)"/>
      <w:numFmt w:val="lowerLetter"/>
      <w:start w:val="27"/>
    </w:lvl>
  </w:abstractNum>
  <w:abstractNum w:abstractNumId="48">
    <w:nsid w:val="100F8FCA"/>
    <w:multiLevelType w:val="hybridMultilevel"/>
    <w:lvl w:ilvl="0">
      <w:lvlJc w:val="left"/>
      <w:lvlText w:val="(%1)"/>
      <w:numFmt w:val="decimal"/>
      <w:start w:val="12"/>
    </w:lvl>
  </w:abstractNum>
  <w:abstractNum w:abstractNumId="49">
    <w:nsid w:val="6590700B"/>
    <w:multiLevelType w:val="hybridMultilevel"/>
    <w:lvl w:ilvl="0">
      <w:lvlJc w:val="left"/>
      <w:lvlText w:val="(%1)"/>
      <w:numFmt w:val="decimal"/>
      <w:start w:val="21"/>
    </w:lvl>
  </w:abstractNum>
  <w:abstractNum w:abstractNumId="50">
    <w:nsid w:val="15014ACB"/>
    <w:multiLevelType w:val="hybridMultilevel"/>
    <w:lvl w:ilvl="0">
      <w:lvlJc w:val="left"/>
      <w:lvlText w:val="(%1)"/>
      <w:numFmt w:val="decimal"/>
      <w:start w:val="23"/>
    </w:lvl>
    <w:lvl w:ilvl="1">
      <w:lvlJc w:val="left"/>
      <w:lvlText w:val="(%2)"/>
      <w:numFmt w:val="lowerLetter"/>
      <w:start w:val="1"/>
    </w:lvl>
  </w:abstractNum>
  <w:abstractNum w:abstractNumId="51">
    <w:nsid w:val="5F5E7FD0"/>
    <w:multiLevelType w:val="hybridMultilevel"/>
    <w:lvl w:ilvl="0">
      <w:lvlJc w:val="left"/>
      <w:lvlText w:val="(%1)"/>
      <w:numFmt w:val="decimal"/>
      <w:start w:val="24"/>
    </w:lvl>
  </w:abstractNum>
  <w:abstractNum w:abstractNumId="52">
    <w:nsid w:val="98A3148"/>
    <w:multiLevelType w:val="hybridMultilevel"/>
    <w:lvl w:ilvl="0">
      <w:lvlJc w:val="left"/>
      <w:lvlText w:val="(%1)"/>
      <w:numFmt w:val="decimal"/>
      <w:start w:val="31"/>
    </w:lvl>
    <w:lvl w:ilvl="1">
      <w:lvlJc w:val="left"/>
      <w:lvlText w:val="(%2)"/>
      <w:numFmt w:val="lowerLetter"/>
      <w:start w:val="1"/>
    </w:lvl>
  </w:abstractNum>
  <w:abstractNum w:abstractNumId="53">
    <w:nsid w:val="799D0247"/>
    <w:multiLevelType w:val="hybridMultilevel"/>
    <w:lvl w:ilvl="0">
      <w:lvlJc w:val="left"/>
      <w:lvlText w:val="(%1)"/>
      <w:numFmt w:val="decimal"/>
      <w:start w:val="32"/>
    </w:lvl>
    <w:lvl w:ilvl="1">
      <w:lvlJc w:val="left"/>
      <w:lvlText w:val="(%2)"/>
      <w:numFmt w:val="lowerLetter"/>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1."/>
      <w:numFmt w:val="decimal"/>
      <w:start w:val="6"/>
    </w:lvl>
  </w:abstractNum>
  <w:abstractNum w:abstractNumId="56">
    <w:nsid w:val="168E121F"/>
    <w:multiLevelType w:val="hybridMultilevel"/>
    <w:lvl w:ilvl="0">
      <w:lvlJc w:val="left"/>
      <w:lvlText w:val="(%1)"/>
      <w:numFmt w:val="decimal"/>
      <w:start w:val="1"/>
    </w:lvl>
  </w:abstractNum>
  <w:abstractNum w:abstractNumId="57">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8">
    <w:nsid w:val="661E3F1E"/>
    <w:multiLevelType w:val="hybridMultilevel"/>
    <w:lvl w:ilvl="0">
      <w:lvlJc w:val="left"/>
      <w:lvlText w:val="%1"/>
      <w:numFmt w:val="decimal"/>
      <w:start w:val="1"/>
    </w:lvl>
    <w:lvl w:ilvl="1">
      <w:lvlJc w:val="left"/>
      <w:lvlText w:val="(%2)"/>
      <w:numFmt w:val="lowerLetter"/>
      <w:start w:val="2"/>
    </w:lvl>
  </w:abstractNum>
  <w:abstractNum w:abstractNumId="59">
    <w:nsid w:val="5DC79EA8"/>
    <w:multiLevelType w:val="hybridMultilevel"/>
    <w:lvl w:ilvl="0">
      <w:lvlJc w:val="left"/>
      <w:lvlText w:val="(%1)"/>
      <w:numFmt w:val="decimal"/>
      <w:start w:val="2"/>
    </w:lvl>
    <w:lvl w:ilvl="1">
      <w:lvlJc w:val="left"/>
      <w:lvlText w:val="%2"/>
      <w:numFmt w:val="lowerLetter"/>
      <w:start w:val="1"/>
    </w:lvl>
  </w:abstractNum>
  <w:abstractNum w:abstractNumId="60">
    <w:nsid w:val="540A471C"/>
    <w:multiLevelType w:val="hybridMultilevel"/>
    <w:lvl w:ilvl="0">
      <w:lvlJc w:val="left"/>
      <w:lvlText w:val="%1."/>
      <w:numFmt w:val="upperLetter"/>
      <w:start w:val="1"/>
    </w:lvl>
  </w:abstractNum>
  <w:abstractNum w:abstractNumId="61">
    <w:nsid w:val="7BD3EE7B"/>
    <w:multiLevelType w:val="hybridMultilevel"/>
    <w:lvl w:ilvl="0">
      <w:lvlJc w:val="left"/>
      <w:lvlText w:val="(%1)"/>
      <w:numFmt w:val="decimal"/>
      <w:start w:val="3"/>
    </w:lvl>
  </w:abstractNum>
  <w:abstractNum w:abstractNumId="62">
    <w:nsid w:val="51D9C564"/>
    <w:multiLevelType w:val="hybridMultilevel"/>
    <w:lvl w:ilvl="0">
      <w:lvlJc w:val="left"/>
      <w:lvlText w:val="(%1)"/>
      <w:numFmt w:val="decimal"/>
      <w:start w:val="4"/>
    </w:lvl>
  </w:abstractNum>
  <w:abstractNum w:abstractNumId="63">
    <w:nsid w:val="613EFDC5"/>
    <w:multiLevelType w:val="hybridMultilevel"/>
    <w:lvl w:ilvl="0">
      <w:lvlJc w:val="left"/>
      <w:lvlText w:val="(%1)"/>
      <w:numFmt w:val="decimal"/>
      <w:start w:val="1"/>
    </w:lvl>
    <w:lvl w:ilvl="1">
      <w:lvlJc w:val="left"/>
      <w:lvlText w:val="(%2)"/>
      <w:numFmt w:val="lowerLetter"/>
      <w:start w:val="1"/>
    </w:lvl>
  </w:abstractNum>
  <w:abstractNum w:abstractNumId="64">
    <w:nsid w:val="BF72B14"/>
    <w:multiLevelType w:val="hybridMultilevel"/>
    <w:lvl w:ilvl="0">
      <w:lvlJc w:val="left"/>
      <w:lvlText w:val="(%1)"/>
      <w:numFmt w:val="decimal"/>
      <w:start w:val="1"/>
    </w:lvl>
  </w:abstractNum>
  <w:abstractNum w:abstractNumId="65">
    <w:nsid w:val="11447B73"/>
    <w:multiLevelType w:val="hybridMultilevel"/>
    <w:lvl w:ilvl="0">
      <w:lvlJc w:val="left"/>
      <w:lvlText w:val="(%1)"/>
      <w:numFmt w:val="decimal"/>
      <w:start w:val="2"/>
    </w:lvl>
    <w:lvl w:ilvl="1">
      <w:lvlJc w:val="left"/>
      <w:lvlText w:val="(%2)"/>
      <w:numFmt w:val="lowerLetter"/>
      <w:start w:val="1"/>
    </w:lvl>
  </w:abstractNum>
  <w:abstractNum w:abstractNumId="66">
    <w:nsid w:val="42963E5A"/>
    <w:multiLevelType w:val="hybridMultilevel"/>
    <w:lvl w:ilvl="0">
      <w:lvlJc w:val="left"/>
      <w:lvlText w:val="(%1)"/>
      <w:numFmt w:val="decimal"/>
      <w:start w:val="7"/>
    </w:lvl>
  </w:abstractNum>
  <w:abstractNum w:abstractNumId="67">
    <w:nsid w:val="A0382C5"/>
    <w:multiLevelType w:val="hybridMultilevel"/>
    <w:lvl w:ilvl="0">
      <w:lvlJc w:val="left"/>
      <w:lvlText w:val="(%1)"/>
      <w:numFmt w:val="lowerLetter"/>
      <w:start w:val="1"/>
    </w:lvl>
  </w:abstractNum>
  <w:abstractNum w:abstractNumId="68">
    <w:nsid w:val="8F2B15E"/>
    <w:multiLevelType w:val="hybridMultilevel"/>
    <w:lvl w:ilvl="0">
      <w:lvlJc w:val="left"/>
      <w:lvlText w:val="(%1)"/>
      <w:numFmt w:val="decimal"/>
      <w:start w:val="8"/>
    </w:lvl>
  </w:abstractNum>
  <w:abstractNum w:abstractNumId="69">
    <w:nsid w:val="1A32234B"/>
    <w:multiLevelType w:val="hybridMultilevel"/>
    <w:lvl w:ilvl="0">
      <w:lvlJc w:val="left"/>
      <w:lvlText w:val="(%1)"/>
      <w:numFmt w:val="decimal"/>
      <w:start w:val="1"/>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1)"/>
      <w:numFmt w:val="decimal"/>
      <w:start w:val="1"/>
    </w:lvl>
  </w:abstractNum>
  <w:abstractNum w:abstractNumId="72">
    <w:nsid w:val="4962813B"/>
    <w:multiLevelType w:val="hybridMultilevel"/>
    <w:lvl w:ilvl="0">
      <w:lvlJc w:val="left"/>
      <w:lvlText w:val="(%1)"/>
      <w:numFmt w:val="lowerRoman"/>
      <w:start w:val="3"/>
    </w:lvl>
    <w:lvl w:ilvl="1">
      <w:lvlJc w:val="left"/>
      <w:lvlText w:val="(%2)"/>
      <w:numFmt w:val="decimal"/>
      <w:start w:val="2"/>
    </w:lvl>
  </w:abstractNum>
  <w:abstractNum w:abstractNumId="73">
    <w:nsid w:val="60B6DF70"/>
    <w:multiLevelType w:val="hybridMultilevel"/>
    <w:lvl w:ilvl="0">
      <w:lvlJc w:val="left"/>
      <w:lvlText w:val="(%1)"/>
      <w:numFmt w:val="upperLetter"/>
      <w:start w:val="2"/>
    </w:lvl>
  </w:abstractNum>
  <w:abstractNum w:abstractNumId="74">
    <w:nsid w:val="6A5EE64"/>
    <w:multiLevelType w:val="hybridMultilevel"/>
    <w:lvl w:ilvl="0">
      <w:lvlJc w:val="left"/>
      <w:lvlText w:val="(%1)"/>
      <w:numFmt w:val="lowerRoman"/>
      <w:start w:val="1"/>
    </w:lvl>
  </w:abstractNum>
  <w:abstractNum w:abstractNumId="75">
    <w:nsid w:val="14330624"/>
    <w:multiLevelType w:val="hybridMultilevel"/>
    <w:lvl w:ilvl="0">
      <w:lvlJc w:val="left"/>
      <w:lvlText w:val="(%1)"/>
      <w:numFmt w:val="upperLetter"/>
      <w:start w:val="2"/>
    </w:lvl>
  </w:abstractNum>
  <w:abstractNum w:abstractNumId="76">
    <w:nsid w:val="7FFFCA11"/>
    <w:multiLevelType w:val="hybridMultilevel"/>
    <w:lvl w:ilvl="0">
      <w:lvlJc w:val="left"/>
      <w:lvlText w:val="(%1)"/>
      <w:numFmt w:val="upperLetter"/>
      <w:start w:val="2"/>
    </w:lvl>
  </w:abstractNum>
  <w:abstractNum w:abstractNumId="77">
    <w:nsid w:val="1A27709E"/>
    <w:multiLevelType w:val="hybridMultilevel"/>
    <w:lvl w:ilvl="0">
      <w:lvlJc w:val="left"/>
      <w:lvlText w:val="(%1)"/>
      <w:numFmt w:val="lowerRoman"/>
      <w:start w:val="1"/>
    </w:lvl>
  </w:abstractNum>
  <w:abstractNum w:abstractNumId="78">
    <w:nsid w:val="71EA1109"/>
    <w:multiLevelType w:val="hybridMultilevel"/>
    <w:lvl w:ilvl="0">
      <w:lvlJc w:val="left"/>
      <w:lvlText w:val="(%1)"/>
      <w:numFmt w:val="upperLetter"/>
      <w:start w:val="2"/>
    </w:lvl>
  </w:abstractNum>
  <w:abstractNum w:abstractNumId="79">
    <w:nsid w:val="100F59DC"/>
    <w:multiLevelType w:val="hybridMultilevel"/>
    <w:lvl w:ilvl="0">
      <w:lvlJc w:val="left"/>
      <w:lvlText w:val="(%1)"/>
      <w:numFmt w:val="upperLetter"/>
      <w:start w:val="1"/>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2019-12-20T09:49:20Z</dcterms:created>
  <dcterms:modified xsi:type="dcterms:W3CDTF">2019-12-20T09:49:20Z</dcterms:modified>
</cp:coreProperties>
</file>